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A379" w14:textId="77777777" w:rsidR="00F5359F" w:rsidRPr="005629B0" w:rsidRDefault="00F5359F" w:rsidP="00F5359F">
      <w:pPr>
        <w:spacing w:before="120" w:after="120"/>
        <w:jc w:val="center"/>
        <w:rPr>
          <w:rFonts w:asciiTheme="majorHAnsi" w:hAnsiTheme="majorHAnsi" w:cs="Arial"/>
          <w:sz w:val="24"/>
          <w:szCs w:val="24"/>
        </w:rPr>
      </w:pPr>
    </w:p>
    <w:p w14:paraId="26E05291" w14:textId="0632D867" w:rsidR="00F5359F" w:rsidRPr="005629B0" w:rsidRDefault="00F5359F" w:rsidP="008C585E">
      <w:pPr>
        <w:spacing w:before="120" w:after="120"/>
        <w:jc w:val="both"/>
        <w:rPr>
          <w:rFonts w:asciiTheme="majorHAnsi" w:hAnsiTheme="majorHAnsi" w:cs="Arial"/>
          <w:sz w:val="24"/>
          <w:szCs w:val="24"/>
        </w:rPr>
      </w:pPr>
      <w:r w:rsidRPr="005629B0">
        <w:rPr>
          <w:rFonts w:asciiTheme="majorHAnsi" w:hAnsiTheme="majorHAnsi" w:cs="Arial"/>
          <w:noProof/>
          <w:sz w:val="24"/>
          <w:szCs w:val="24"/>
          <w:lang w:eastAsia="en-AU"/>
        </w:rPr>
        <w:drawing>
          <wp:inline distT="0" distB="0" distL="0" distR="0" wp14:anchorId="090A9004" wp14:editId="660BB6FD">
            <wp:extent cx="2734175" cy="1080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a DPOAustralia_Logo_Email_200px.jpg"/>
                    <pic:cNvPicPr/>
                  </pic:nvPicPr>
                  <pic:blipFill>
                    <a:blip r:embed="rId8">
                      <a:extLst>
                        <a:ext uri="{28A0092B-C50C-407E-A947-70E740481C1C}">
                          <a14:useLocalDpi xmlns:a14="http://schemas.microsoft.com/office/drawing/2010/main" val="0"/>
                        </a:ext>
                      </a:extLst>
                    </a:blip>
                    <a:stretch>
                      <a:fillRect/>
                    </a:stretch>
                  </pic:blipFill>
                  <pic:spPr>
                    <a:xfrm>
                      <a:off x="0" y="0"/>
                      <a:ext cx="2734175" cy="1080000"/>
                    </a:xfrm>
                    <a:prstGeom prst="rect">
                      <a:avLst/>
                    </a:prstGeom>
                  </pic:spPr>
                </pic:pic>
              </a:graphicData>
            </a:graphic>
          </wp:inline>
        </w:drawing>
      </w:r>
      <w:r w:rsidR="008C585E">
        <w:rPr>
          <w:rFonts w:asciiTheme="majorHAnsi" w:hAnsiTheme="majorHAnsi" w:cs="Arial"/>
          <w:sz w:val="24"/>
          <w:szCs w:val="24"/>
        </w:rPr>
        <w:t xml:space="preserve">                               </w:t>
      </w:r>
      <w:r w:rsidR="008C585E">
        <w:rPr>
          <w:rFonts w:asciiTheme="majorHAnsi" w:hAnsiTheme="majorHAnsi" w:cs="Arial"/>
          <w:noProof/>
          <w:sz w:val="24"/>
          <w:szCs w:val="24"/>
        </w:rPr>
        <w:drawing>
          <wp:inline distT="0" distB="0" distL="0" distR="0" wp14:anchorId="2FCD5315" wp14:editId="500F0529">
            <wp:extent cx="1355322" cy="1162050"/>
            <wp:effectExtent l="0" t="0" r="0" b="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9734" cy="1174407"/>
                    </a:xfrm>
                    <a:prstGeom prst="rect">
                      <a:avLst/>
                    </a:prstGeom>
                  </pic:spPr>
                </pic:pic>
              </a:graphicData>
            </a:graphic>
          </wp:inline>
        </w:drawing>
      </w:r>
    </w:p>
    <w:p w14:paraId="06CC56F3" w14:textId="77777777" w:rsidR="00F5359F" w:rsidRPr="005629B0" w:rsidRDefault="00F5359F" w:rsidP="00F5359F">
      <w:pPr>
        <w:spacing w:before="120" w:after="120"/>
        <w:rPr>
          <w:rFonts w:asciiTheme="majorHAnsi" w:hAnsiTheme="majorHAnsi" w:cs="Arial"/>
          <w:sz w:val="24"/>
          <w:szCs w:val="24"/>
        </w:rPr>
      </w:pPr>
    </w:p>
    <w:p w14:paraId="68306CAF" w14:textId="77777777" w:rsidR="00F5359F" w:rsidRPr="005629B0" w:rsidRDefault="00F5359F" w:rsidP="00F5359F">
      <w:pPr>
        <w:spacing w:before="120" w:after="120"/>
        <w:rPr>
          <w:rFonts w:asciiTheme="majorHAnsi" w:hAnsiTheme="majorHAnsi" w:cs="Arial"/>
          <w:sz w:val="24"/>
          <w:szCs w:val="24"/>
        </w:rPr>
      </w:pPr>
    </w:p>
    <w:p w14:paraId="24C66F8F" w14:textId="77777777" w:rsidR="00F5359F" w:rsidRPr="005629B0" w:rsidRDefault="00F5359F" w:rsidP="00F5359F">
      <w:pPr>
        <w:spacing w:before="120" w:after="120"/>
        <w:rPr>
          <w:rFonts w:asciiTheme="majorHAnsi" w:hAnsiTheme="majorHAnsi" w:cs="Arial"/>
          <w:sz w:val="24"/>
          <w:szCs w:val="24"/>
        </w:rPr>
      </w:pPr>
    </w:p>
    <w:p w14:paraId="6BB28FB2" w14:textId="77777777" w:rsidR="00F5359F" w:rsidRPr="005629B0" w:rsidRDefault="00F5359F" w:rsidP="00F5359F">
      <w:pPr>
        <w:spacing w:before="120" w:after="120"/>
        <w:rPr>
          <w:rFonts w:asciiTheme="majorHAnsi" w:hAnsiTheme="majorHAnsi" w:cs="Arial"/>
          <w:sz w:val="24"/>
          <w:szCs w:val="24"/>
        </w:rPr>
      </w:pPr>
    </w:p>
    <w:p w14:paraId="3C3F9C32" w14:textId="77777777" w:rsidR="00F5359F" w:rsidRPr="005629B0" w:rsidRDefault="00F5359F" w:rsidP="00F5359F">
      <w:pPr>
        <w:spacing w:before="120" w:after="120"/>
        <w:rPr>
          <w:rFonts w:asciiTheme="majorHAnsi" w:hAnsiTheme="majorHAnsi" w:cs="Arial"/>
          <w:sz w:val="24"/>
          <w:szCs w:val="24"/>
        </w:rPr>
      </w:pPr>
    </w:p>
    <w:p w14:paraId="6F57FFCE" w14:textId="77777777" w:rsidR="00F5359F" w:rsidRPr="005629B0" w:rsidRDefault="00F5359F" w:rsidP="00F5359F">
      <w:pPr>
        <w:spacing w:before="120" w:after="120"/>
        <w:rPr>
          <w:rFonts w:asciiTheme="majorHAnsi" w:hAnsiTheme="majorHAnsi" w:cs="Arial"/>
          <w:sz w:val="24"/>
          <w:szCs w:val="24"/>
        </w:rPr>
      </w:pPr>
    </w:p>
    <w:p w14:paraId="1DFD7348" w14:textId="77777777" w:rsidR="00F5359F" w:rsidRPr="005629B0" w:rsidRDefault="00F5359F" w:rsidP="00F5359F">
      <w:pPr>
        <w:spacing w:before="120" w:after="120"/>
        <w:rPr>
          <w:rFonts w:asciiTheme="majorHAnsi" w:hAnsiTheme="majorHAnsi" w:cs="Arial"/>
          <w:b/>
          <w:sz w:val="36"/>
          <w:szCs w:val="36"/>
        </w:rPr>
      </w:pPr>
      <w:r w:rsidRPr="005629B0">
        <w:rPr>
          <w:rFonts w:asciiTheme="majorHAnsi" w:hAnsiTheme="majorHAnsi" w:cs="Arial"/>
          <w:b/>
          <w:sz w:val="36"/>
          <w:szCs w:val="36"/>
        </w:rPr>
        <w:t>Submission</w:t>
      </w:r>
    </w:p>
    <w:p w14:paraId="1F3C44EF" w14:textId="77777777" w:rsidR="00F5359F" w:rsidRPr="005629B0" w:rsidRDefault="00F5359F" w:rsidP="00F5359F">
      <w:pPr>
        <w:pBdr>
          <w:bottom w:val="single" w:sz="24" w:space="1" w:color="auto"/>
        </w:pBdr>
        <w:rPr>
          <w:rFonts w:cs="Arial"/>
        </w:rPr>
      </w:pPr>
    </w:p>
    <w:p w14:paraId="662D4C01" w14:textId="45209433" w:rsidR="00F5359F" w:rsidRPr="005629B0" w:rsidRDefault="009C36FB" w:rsidP="00F5359F">
      <w:pPr>
        <w:spacing w:before="120" w:after="120"/>
        <w:rPr>
          <w:rFonts w:asciiTheme="majorHAnsi" w:hAnsiTheme="majorHAnsi" w:cs="Arial"/>
          <w:b/>
          <w:sz w:val="36"/>
          <w:szCs w:val="36"/>
        </w:rPr>
      </w:pPr>
      <w:r>
        <w:rPr>
          <w:rFonts w:asciiTheme="majorHAnsi" w:hAnsiTheme="majorHAnsi" w:cs="Arial"/>
          <w:b/>
          <w:sz w:val="36"/>
          <w:szCs w:val="36"/>
        </w:rPr>
        <w:t xml:space="preserve">Department of </w:t>
      </w:r>
      <w:r w:rsidR="00192870">
        <w:rPr>
          <w:rFonts w:asciiTheme="majorHAnsi" w:hAnsiTheme="majorHAnsi" w:cs="Arial"/>
          <w:b/>
          <w:sz w:val="36"/>
          <w:szCs w:val="36"/>
        </w:rPr>
        <w:t xml:space="preserve">Industry, Science, Energy and Resources </w:t>
      </w:r>
    </w:p>
    <w:p w14:paraId="72C9B1A1" w14:textId="60AF81CD" w:rsidR="00F5359F" w:rsidRPr="00C461EE" w:rsidRDefault="004D6A81" w:rsidP="00F5359F">
      <w:pPr>
        <w:spacing w:before="120" w:after="120"/>
        <w:rPr>
          <w:rFonts w:asciiTheme="majorHAnsi" w:hAnsiTheme="majorHAnsi" w:cs="Arial"/>
          <w:b/>
          <w:sz w:val="36"/>
          <w:szCs w:val="36"/>
        </w:rPr>
      </w:pPr>
      <w:r w:rsidRPr="00C461EE">
        <w:rPr>
          <w:rFonts w:asciiTheme="majorHAnsi" w:hAnsiTheme="majorHAnsi" w:cs="Arial"/>
          <w:b/>
          <w:sz w:val="36"/>
          <w:szCs w:val="36"/>
        </w:rPr>
        <w:t xml:space="preserve">Second Review of the Disability (Access to the Premises- Building) Standards, 2021 </w:t>
      </w:r>
    </w:p>
    <w:p w14:paraId="3EB06393" w14:textId="77777777" w:rsidR="00F5359F" w:rsidRPr="005629B0" w:rsidRDefault="00F5359F" w:rsidP="00F5359F">
      <w:pPr>
        <w:pBdr>
          <w:bottom w:val="single" w:sz="24" w:space="1" w:color="auto"/>
        </w:pBdr>
        <w:rPr>
          <w:rFonts w:cs="Arial"/>
        </w:rPr>
      </w:pPr>
    </w:p>
    <w:p w14:paraId="0FE8E26F" w14:textId="77777777" w:rsidR="00F5359F" w:rsidRPr="005629B0" w:rsidRDefault="00F5359F" w:rsidP="00F5359F">
      <w:pPr>
        <w:pStyle w:val="Footer"/>
        <w:rPr>
          <w:rFonts w:cs="Arial"/>
          <w:szCs w:val="24"/>
        </w:rPr>
      </w:pPr>
    </w:p>
    <w:p w14:paraId="7443829B" w14:textId="7B6C66D4" w:rsidR="00F5359F" w:rsidRPr="005629B0" w:rsidRDefault="00DA243D" w:rsidP="00F5359F">
      <w:pPr>
        <w:pStyle w:val="Footer"/>
        <w:rPr>
          <w:rFonts w:cs="Arial"/>
          <w:b/>
          <w:sz w:val="28"/>
          <w:szCs w:val="28"/>
        </w:rPr>
      </w:pPr>
      <w:r>
        <w:rPr>
          <w:rFonts w:cs="Arial"/>
          <w:b/>
          <w:sz w:val="28"/>
          <w:szCs w:val="28"/>
        </w:rPr>
        <w:t>April 2021</w:t>
      </w:r>
    </w:p>
    <w:p w14:paraId="5CF65CAF" w14:textId="77777777" w:rsidR="00F5359F" w:rsidRPr="005629B0" w:rsidRDefault="00F5359F" w:rsidP="00F5359F">
      <w:pPr>
        <w:ind w:left="360"/>
        <w:rPr>
          <w:rFonts w:cs="Arial"/>
          <w:b/>
          <w:bCs/>
        </w:rPr>
      </w:pPr>
    </w:p>
    <w:p w14:paraId="724E8076" w14:textId="77777777" w:rsidR="00F5359F" w:rsidRPr="005629B0" w:rsidRDefault="00F5359F" w:rsidP="00F5359F">
      <w:pPr>
        <w:spacing w:before="120" w:after="120"/>
        <w:rPr>
          <w:rFonts w:asciiTheme="majorHAnsi" w:hAnsiTheme="majorHAnsi" w:cs="Arial"/>
          <w:sz w:val="24"/>
          <w:szCs w:val="24"/>
        </w:rPr>
      </w:pPr>
    </w:p>
    <w:p w14:paraId="57E5F1E9" w14:textId="77777777" w:rsidR="00396117" w:rsidRDefault="00F5359F" w:rsidP="00F5359F">
      <w:pPr>
        <w:pBdr>
          <w:bottom w:val="single" w:sz="4" w:space="1" w:color="auto"/>
        </w:pBdr>
        <w:jc w:val="both"/>
        <w:rPr>
          <w:rFonts w:asciiTheme="majorHAnsi" w:hAnsiTheme="majorHAnsi" w:cs="Arial"/>
          <w:sz w:val="24"/>
          <w:szCs w:val="24"/>
        </w:rPr>
      </w:pPr>
      <w:r w:rsidRPr="005629B0">
        <w:rPr>
          <w:rFonts w:asciiTheme="majorHAnsi" w:hAnsiTheme="majorHAnsi" w:cs="Arial"/>
          <w:sz w:val="24"/>
          <w:szCs w:val="24"/>
        </w:rPr>
        <w:br w:type="page"/>
      </w:r>
    </w:p>
    <w:p w14:paraId="2833F1C8" w14:textId="77777777" w:rsidR="00396117" w:rsidRDefault="00396117" w:rsidP="00F5359F">
      <w:pPr>
        <w:pBdr>
          <w:bottom w:val="single" w:sz="4" w:space="1" w:color="auto"/>
        </w:pBdr>
        <w:jc w:val="both"/>
        <w:rPr>
          <w:rFonts w:asciiTheme="majorHAnsi" w:hAnsiTheme="majorHAnsi" w:cs="Arial"/>
          <w:sz w:val="24"/>
          <w:szCs w:val="24"/>
        </w:rPr>
      </w:pPr>
    </w:p>
    <w:p w14:paraId="09FA6611" w14:textId="77777777" w:rsidR="00396117" w:rsidRDefault="00396117" w:rsidP="00F5359F">
      <w:pPr>
        <w:pBdr>
          <w:bottom w:val="single" w:sz="4" w:space="1" w:color="auto"/>
        </w:pBdr>
        <w:jc w:val="both"/>
        <w:rPr>
          <w:rFonts w:asciiTheme="majorHAnsi" w:hAnsiTheme="majorHAnsi" w:cs="Arial"/>
          <w:sz w:val="24"/>
          <w:szCs w:val="24"/>
        </w:rPr>
      </w:pPr>
    </w:p>
    <w:p w14:paraId="48A3155E" w14:textId="6BCF4797" w:rsidR="00F5359F" w:rsidRPr="005629B0" w:rsidRDefault="00F5359F" w:rsidP="00F5359F">
      <w:pPr>
        <w:pBdr>
          <w:bottom w:val="single" w:sz="4" w:space="1" w:color="auto"/>
        </w:pBdr>
        <w:jc w:val="both"/>
        <w:rPr>
          <w:rFonts w:ascii="Arial" w:eastAsiaTheme="minorEastAsia" w:hAnsi="Arial" w:cs="Arial"/>
          <w:b/>
          <w:color w:val="44546A" w:themeColor="text2"/>
          <w:sz w:val="28"/>
          <w:szCs w:val="28"/>
        </w:rPr>
      </w:pPr>
      <w:r w:rsidRPr="005629B0">
        <w:rPr>
          <w:rFonts w:ascii="Arial" w:eastAsiaTheme="minorEastAsia" w:hAnsi="Arial" w:cs="Arial"/>
          <w:b/>
          <w:color w:val="44546A" w:themeColor="text2"/>
          <w:sz w:val="28"/>
          <w:szCs w:val="28"/>
        </w:rPr>
        <w:t>Publishing Information</w:t>
      </w:r>
    </w:p>
    <w:p w14:paraId="3377A392" w14:textId="77777777" w:rsidR="00F5359F" w:rsidRPr="005629B0" w:rsidRDefault="00F5359F" w:rsidP="00F5359F">
      <w:pPr>
        <w:pBdr>
          <w:bottom w:val="single" w:sz="4" w:space="1" w:color="auto"/>
        </w:pBdr>
        <w:jc w:val="both"/>
        <w:rPr>
          <w:rFonts w:ascii="Arial" w:eastAsiaTheme="minorEastAsia" w:hAnsi="Arial" w:cs="Arial"/>
          <w:b/>
          <w:sz w:val="24"/>
          <w:szCs w:val="24"/>
        </w:rPr>
      </w:pPr>
    </w:p>
    <w:p w14:paraId="7D658BF9" w14:textId="77777777" w:rsidR="00A44BB3" w:rsidRPr="00992459" w:rsidRDefault="00A44BB3" w:rsidP="004A713B">
      <w:pPr>
        <w:spacing w:after="120" w:line="240" w:lineRule="auto"/>
        <w:rPr>
          <w:rFonts w:asciiTheme="majorHAnsi" w:eastAsiaTheme="minorEastAsia" w:hAnsiTheme="majorHAnsi" w:cstheme="majorHAnsi"/>
          <w:b/>
          <w:sz w:val="24"/>
          <w:szCs w:val="24"/>
        </w:rPr>
      </w:pPr>
      <w:r w:rsidRPr="00992459">
        <w:rPr>
          <w:rFonts w:asciiTheme="majorHAnsi" w:eastAsiaTheme="minorEastAsia" w:hAnsiTheme="majorHAnsi" w:cstheme="majorHAnsi"/>
          <w:b/>
          <w:sz w:val="24"/>
          <w:szCs w:val="24"/>
        </w:rPr>
        <w:t>Suggested Citation:</w:t>
      </w:r>
    </w:p>
    <w:p w14:paraId="02381BC3" w14:textId="3B62CD7F" w:rsidR="00F5359F" w:rsidRPr="00CB509D" w:rsidRDefault="00A44BB3" w:rsidP="00F5359F">
      <w:pPr>
        <w:rPr>
          <w:rFonts w:asciiTheme="majorHAnsi" w:eastAsiaTheme="minorEastAsia" w:hAnsiTheme="majorHAnsi" w:cstheme="majorHAnsi"/>
        </w:rPr>
      </w:pPr>
      <w:r w:rsidRPr="00C7792D">
        <w:rPr>
          <w:rFonts w:asciiTheme="majorHAnsi" w:eastAsiaTheme="minorEastAsia" w:hAnsiTheme="majorHAnsi" w:cstheme="majorHAnsi"/>
          <w:sz w:val="24"/>
          <w:szCs w:val="24"/>
        </w:rPr>
        <w:t>Disabled Pe</w:t>
      </w:r>
      <w:r w:rsidR="004A713B">
        <w:rPr>
          <w:rFonts w:asciiTheme="majorHAnsi" w:eastAsiaTheme="minorEastAsia" w:hAnsiTheme="majorHAnsi" w:cstheme="majorHAnsi"/>
          <w:sz w:val="24"/>
          <w:szCs w:val="24"/>
        </w:rPr>
        <w:t>ople’s Organisations Australia</w:t>
      </w:r>
      <w:r w:rsidR="00DA243D">
        <w:rPr>
          <w:rFonts w:asciiTheme="majorHAnsi" w:eastAsiaTheme="minorEastAsia" w:hAnsiTheme="majorHAnsi" w:cstheme="majorHAnsi"/>
          <w:sz w:val="24"/>
          <w:szCs w:val="24"/>
        </w:rPr>
        <w:t xml:space="preserve"> and Disability Voices Tasmania</w:t>
      </w:r>
      <w:r w:rsidRPr="00A44BB3">
        <w:rPr>
          <w:rFonts w:asciiTheme="majorHAnsi" w:eastAsiaTheme="minorEastAsia" w:hAnsiTheme="majorHAnsi" w:cstheme="majorHAnsi"/>
          <w:i/>
          <w:sz w:val="24"/>
          <w:szCs w:val="24"/>
        </w:rPr>
        <w:t xml:space="preserve"> Submission to the</w:t>
      </w:r>
      <w:r w:rsidR="004A713B">
        <w:rPr>
          <w:rFonts w:asciiTheme="majorHAnsi" w:eastAsiaTheme="minorEastAsia" w:hAnsiTheme="majorHAnsi" w:cstheme="majorHAnsi"/>
          <w:i/>
          <w:sz w:val="24"/>
          <w:szCs w:val="24"/>
        </w:rPr>
        <w:t xml:space="preserve"> </w:t>
      </w:r>
      <w:r w:rsidR="00447EA8">
        <w:rPr>
          <w:rFonts w:asciiTheme="majorHAnsi" w:eastAsiaTheme="minorEastAsia" w:hAnsiTheme="majorHAnsi" w:cstheme="majorHAnsi"/>
          <w:i/>
          <w:sz w:val="24"/>
          <w:szCs w:val="24"/>
        </w:rPr>
        <w:t>Second Review of the Disability (Access to Premises- Building) Standards,</w:t>
      </w:r>
      <w:r w:rsidR="00A04456">
        <w:rPr>
          <w:rFonts w:asciiTheme="majorHAnsi" w:eastAsiaTheme="minorEastAsia" w:hAnsiTheme="majorHAnsi" w:cstheme="majorHAnsi"/>
          <w:i/>
          <w:sz w:val="24"/>
          <w:szCs w:val="24"/>
        </w:rPr>
        <w:t xml:space="preserve"> April 2021. </w:t>
      </w:r>
    </w:p>
    <w:p w14:paraId="03D8E744" w14:textId="77777777" w:rsidR="00F5359F" w:rsidRPr="005629B0" w:rsidRDefault="00F5359F" w:rsidP="00F5359F">
      <w:pPr>
        <w:rPr>
          <w:rFonts w:asciiTheme="majorHAnsi" w:eastAsiaTheme="minorEastAsia" w:hAnsiTheme="majorHAnsi" w:cstheme="majorHAnsi"/>
          <w:sz w:val="24"/>
          <w:szCs w:val="24"/>
        </w:rPr>
      </w:pPr>
    </w:p>
    <w:p w14:paraId="56F881B2" w14:textId="5789442E" w:rsidR="00F5359F" w:rsidRPr="005629B0" w:rsidRDefault="00E81CAB" w:rsidP="00F5359F">
      <w:pPr>
        <w:rPr>
          <w:rFonts w:asciiTheme="majorHAnsi" w:eastAsiaTheme="minorEastAsia" w:hAnsiTheme="majorHAnsi" w:cstheme="majorHAnsi"/>
          <w:sz w:val="24"/>
          <w:szCs w:val="24"/>
        </w:rPr>
      </w:pPr>
      <w:r>
        <w:rPr>
          <w:rFonts w:asciiTheme="majorHAnsi" w:eastAsiaTheme="minorEastAsia" w:hAnsiTheme="majorHAnsi" w:cstheme="majorHAnsi"/>
          <w:sz w:val="24"/>
          <w:szCs w:val="24"/>
        </w:rPr>
        <w:t>This submission has been w</w:t>
      </w:r>
      <w:r w:rsidR="004A713B">
        <w:rPr>
          <w:rFonts w:asciiTheme="majorHAnsi" w:eastAsiaTheme="minorEastAsia" w:hAnsiTheme="majorHAnsi" w:cstheme="majorHAnsi"/>
          <w:sz w:val="24"/>
          <w:szCs w:val="24"/>
        </w:rPr>
        <w:t>ritten on behalf of Disabled People’s Organisations Australia (DPO Australia)</w:t>
      </w:r>
      <w:r w:rsidR="007255D8">
        <w:rPr>
          <w:rFonts w:asciiTheme="majorHAnsi" w:eastAsiaTheme="minorEastAsia" w:hAnsiTheme="majorHAnsi" w:cstheme="majorHAnsi"/>
          <w:sz w:val="24"/>
          <w:szCs w:val="24"/>
        </w:rPr>
        <w:t xml:space="preserve"> by</w:t>
      </w:r>
      <w:r w:rsidR="002E631B">
        <w:rPr>
          <w:rFonts w:asciiTheme="majorHAnsi" w:eastAsiaTheme="minorEastAsia" w:hAnsiTheme="majorHAnsi" w:cstheme="majorHAnsi"/>
          <w:sz w:val="24"/>
          <w:szCs w:val="24"/>
        </w:rPr>
        <w:t xml:space="preserve"> Samantha French and</w:t>
      </w:r>
      <w:r w:rsidR="004A713B">
        <w:rPr>
          <w:rFonts w:asciiTheme="majorHAnsi" w:eastAsiaTheme="minorEastAsia" w:hAnsiTheme="majorHAnsi" w:cstheme="majorHAnsi"/>
          <w:sz w:val="24"/>
          <w:szCs w:val="24"/>
        </w:rPr>
        <w:t xml:space="preserve"> </w:t>
      </w:r>
      <w:r w:rsidR="009C36FB">
        <w:rPr>
          <w:rFonts w:asciiTheme="majorHAnsi" w:eastAsiaTheme="minorEastAsia" w:hAnsiTheme="majorHAnsi" w:cstheme="majorHAnsi"/>
          <w:sz w:val="24"/>
          <w:szCs w:val="24"/>
        </w:rPr>
        <w:t>Jane Flanagan</w:t>
      </w:r>
      <w:r w:rsidR="007255D8">
        <w:rPr>
          <w:rFonts w:asciiTheme="majorHAnsi" w:eastAsiaTheme="minorEastAsia" w:hAnsiTheme="majorHAnsi" w:cstheme="majorHAnsi"/>
          <w:sz w:val="24"/>
          <w:szCs w:val="24"/>
        </w:rPr>
        <w:t xml:space="preserve"> and on behalf of Disability Voices Tasmania</w:t>
      </w:r>
      <w:r w:rsidR="002E631B">
        <w:rPr>
          <w:rFonts w:asciiTheme="majorHAnsi" w:eastAsiaTheme="minorEastAsia" w:hAnsiTheme="majorHAnsi" w:cstheme="majorHAnsi"/>
          <w:sz w:val="24"/>
          <w:szCs w:val="24"/>
        </w:rPr>
        <w:t xml:space="preserve"> </w:t>
      </w:r>
      <w:r w:rsidR="007255D8">
        <w:rPr>
          <w:rFonts w:asciiTheme="majorHAnsi" w:eastAsiaTheme="minorEastAsia" w:hAnsiTheme="majorHAnsi" w:cstheme="majorHAnsi"/>
          <w:sz w:val="24"/>
          <w:szCs w:val="24"/>
        </w:rPr>
        <w:t xml:space="preserve">by the </w:t>
      </w:r>
      <w:r w:rsidR="009C0F9B">
        <w:rPr>
          <w:rFonts w:asciiTheme="majorHAnsi" w:eastAsiaTheme="minorEastAsia" w:hAnsiTheme="majorHAnsi" w:cstheme="majorHAnsi"/>
          <w:sz w:val="24"/>
          <w:szCs w:val="24"/>
        </w:rPr>
        <w:t>Disability Voices</w:t>
      </w:r>
      <w:r w:rsidR="009E7345">
        <w:rPr>
          <w:rFonts w:asciiTheme="majorHAnsi" w:eastAsiaTheme="minorEastAsia" w:hAnsiTheme="majorHAnsi" w:cstheme="majorHAnsi"/>
          <w:sz w:val="24"/>
          <w:szCs w:val="24"/>
        </w:rPr>
        <w:t xml:space="preserve"> Tasmania</w:t>
      </w:r>
      <w:r w:rsidR="009C0F9B">
        <w:rPr>
          <w:rFonts w:asciiTheme="majorHAnsi" w:eastAsiaTheme="minorEastAsia" w:hAnsiTheme="majorHAnsi" w:cstheme="majorHAnsi"/>
          <w:sz w:val="24"/>
          <w:szCs w:val="24"/>
        </w:rPr>
        <w:t xml:space="preserve"> </w:t>
      </w:r>
      <w:r w:rsidR="007255D8">
        <w:rPr>
          <w:rFonts w:asciiTheme="majorHAnsi" w:eastAsiaTheme="minorEastAsia" w:hAnsiTheme="majorHAnsi" w:cstheme="majorHAnsi"/>
          <w:sz w:val="24"/>
          <w:szCs w:val="24"/>
        </w:rPr>
        <w:t>Board.</w:t>
      </w:r>
    </w:p>
    <w:p w14:paraId="16946A8D" w14:textId="77777777" w:rsidR="00F5359F" w:rsidRPr="005629B0" w:rsidRDefault="00F5359F" w:rsidP="00F5359F">
      <w:pPr>
        <w:rPr>
          <w:rFonts w:asciiTheme="majorHAnsi" w:eastAsiaTheme="minorEastAsia" w:hAnsiTheme="majorHAnsi" w:cstheme="majorHAnsi"/>
          <w:sz w:val="24"/>
          <w:szCs w:val="24"/>
        </w:rPr>
      </w:pPr>
    </w:p>
    <w:p w14:paraId="56C85161" w14:textId="5B5B6D91" w:rsidR="00F5359F" w:rsidRPr="005629B0" w:rsidRDefault="00F5359F" w:rsidP="00BF2908">
      <w:pPr>
        <w:spacing w:after="0"/>
        <w:jc w:val="both"/>
        <w:rPr>
          <w:rFonts w:asciiTheme="majorHAnsi" w:eastAsiaTheme="minorEastAsia" w:hAnsiTheme="majorHAnsi" w:cstheme="majorHAnsi"/>
          <w:sz w:val="24"/>
          <w:szCs w:val="24"/>
        </w:rPr>
      </w:pPr>
      <w:r w:rsidRPr="005629B0">
        <w:rPr>
          <w:rFonts w:asciiTheme="majorHAnsi" w:eastAsiaTheme="minorEastAsia" w:hAnsiTheme="majorHAnsi" w:cstheme="majorHAnsi"/>
          <w:sz w:val="24"/>
          <w:szCs w:val="24"/>
        </w:rPr>
        <w:t xml:space="preserve">© This work is copyright. Apart from any use as permitted under the Copyright Act 1968, no part may be reproduced without written permission from Disabled People’s Organisations Australia (DPO Australia). All possible care has been taken in the preparation of the information contained in this document. </w:t>
      </w:r>
      <w:r w:rsidR="004A713B">
        <w:rPr>
          <w:rFonts w:asciiTheme="majorHAnsi" w:eastAsiaTheme="minorEastAsia" w:hAnsiTheme="majorHAnsi" w:cstheme="majorHAnsi"/>
          <w:sz w:val="24"/>
          <w:szCs w:val="24"/>
        </w:rPr>
        <w:t>DPO Australia</w:t>
      </w:r>
      <w:r w:rsidRPr="005629B0">
        <w:rPr>
          <w:rFonts w:asciiTheme="majorHAnsi" w:eastAsiaTheme="minorEastAsia" w:hAnsiTheme="majorHAnsi" w:cstheme="majorHAnsi"/>
          <w:sz w:val="24"/>
          <w:szCs w:val="24"/>
        </w:rPr>
        <w:t xml:space="preserve"> disclaims any liability for the accuracy and sufficiency of the information and under no circumstances shall be liable in negligence or otherwise in or arising out of the preparation or supply of any of the information aforesaid.</w:t>
      </w:r>
    </w:p>
    <w:p w14:paraId="5DE6CBE1" w14:textId="77777777" w:rsidR="00F5359F" w:rsidRPr="005629B0" w:rsidRDefault="00F5359F" w:rsidP="00F5359F">
      <w:pPr>
        <w:jc w:val="both"/>
        <w:rPr>
          <w:rFonts w:ascii="Arial" w:eastAsiaTheme="minorEastAsia" w:hAnsi="Arial" w:cs="Arial"/>
        </w:rPr>
      </w:pPr>
    </w:p>
    <w:p w14:paraId="7B3186B2" w14:textId="77777777" w:rsidR="00F5359F" w:rsidRPr="005629B0" w:rsidRDefault="00F5359F" w:rsidP="00F5359F">
      <w:pPr>
        <w:jc w:val="both"/>
        <w:rPr>
          <w:rFonts w:ascii="Arial" w:eastAsiaTheme="minorEastAsia" w:hAnsi="Arial" w:cs="Arial"/>
        </w:rPr>
      </w:pPr>
    </w:p>
    <w:p w14:paraId="654AE528" w14:textId="02FB72C7" w:rsidR="00F5359F" w:rsidRPr="005629B0" w:rsidRDefault="00F5359F" w:rsidP="00F5359F">
      <w:pPr>
        <w:pBdr>
          <w:bottom w:val="single" w:sz="4" w:space="1" w:color="auto"/>
        </w:pBdr>
        <w:jc w:val="both"/>
        <w:rPr>
          <w:rFonts w:ascii="Arial" w:eastAsiaTheme="minorEastAsia" w:hAnsi="Arial" w:cs="Arial"/>
          <w:b/>
          <w:color w:val="44546A" w:themeColor="text2"/>
          <w:sz w:val="28"/>
          <w:szCs w:val="28"/>
        </w:rPr>
      </w:pPr>
      <w:r w:rsidRPr="005629B0">
        <w:rPr>
          <w:rFonts w:ascii="Arial" w:eastAsiaTheme="minorEastAsia" w:hAnsi="Arial" w:cs="Arial"/>
          <w:b/>
          <w:color w:val="44546A" w:themeColor="text2"/>
          <w:sz w:val="28"/>
          <w:szCs w:val="28"/>
        </w:rPr>
        <w:t>Contact</w:t>
      </w:r>
      <w:r w:rsidR="00C23922">
        <w:rPr>
          <w:rFonts w:ascii="Arial" w:eastAsiaTheme="minorEastAsia" w:hAnsi="Arial" w:cs="Arial"/>
          <w:b/>
          <w:color w:val="44546A" w:themeColor="text2"/>
          <w:sz w:val="28"/>
          <w:szCs w:val="28"/>
        </w:rPr>
        <w:t>s</w:t>
      </w:r>
      <w:r w:rsidRPr="005629B0">
        <w:rPr>
          <w:rFonts w:ascii="Arial" w:eastAsiaTheme="minorEastAsia" w:hAnsi="Arial" w:cs="Arial"/>
          <w:b/>
          <w:color w:val="44546A" w:themeColor="text2"/>
          <w:sz w:val="28"/>
          <w:szCs w:val="28"/>
        </w:rPr>
        <w:t xml:space="preserve"> for this Submission</w:t>
      </w:r>
    </w:p>
    <w:p w14:paraId="05462758" w14:textId="77777777" w:rsidR="00F5359F" w:rsidRPr="005629B0" w:rsidRDefault="00F5359F" w:rsidP="00F5359F">
      <w:pPr>
        <w:pBdr>
          <w:bottom w:val="single" w:sz="4" w:space="1" w:color="auto"/>
        </w:pBdr>
        <w:jc w:val="both"/>
        <w:rPr>
          <w:rFonts w:ascii="Arial" w:eastAsiaTheme="minorEastAsia" w:hAnsi="Arial" w:cs="Arial"/>
          <w:sz w:val="24"/>
          <w:szCs w:val="28"/>
        </w:rPr>
      </w:pPr>
    </w:p>
    <w:p w14:paraId="6FC3FE31" w14:textId="09443AFC" w:rsidR="00A90402" w:rsidRDefault="00A90402" w:rsidP="001F1836">
      <w:pPr>
        <w:spacing w:after="0" w:line="240" w:lineRule="auto"/>
        <w:rPr>
          <w:rFonts w:asciiTheme="majorHAnsi" w:eastAsiaTheme="minorEastAsia" w:hAnsiTheme="majorHAnsi" w:cstheme="majorHAnsi"/>
          <w:sz w:val="24"/>
          <w:szCs w:val="24"/>
        </w:rPr>
      </w:pPr>
      <w:r>
        <w:rPr>
          <w:rFonts w:asciiTheme="majorHAnsi" w:eastAsiaTheme="minorEastAsia" w:hAnsiTheme="majorHAnsi" w:cstheme="majorHAnsi"/>
          <w:sz w:val="24"/>
          <w:szCs w:val="24"/>
        </w:rPr>
        <w:t>Disability Voices Tasmania</w:t>
      </w:r>
    </w:p>
    <w:p w14:paraId="57BA37C5" w14:textId="7E1F18FB" w:rsidR="00BE3443" w:rsidRDefault="007B5CEC" w:rsidP="001F1836">
      <w:pPr>
        <w:spacing w:after="0" w:line="240" w:lineRule="auto"/>
        <w:rPr>
          <w:rFonts w:asciiTheme="majorHAnsi" w:eastAsiaTheme="minorEastAsia" w:hAnsiTheme="majorHAnsi" w:cstheme="majorHAnsi"/>
          <w:sz w:val="24"/>
          <w:szCs w:val="24"/>
        </w:rPr>
      </w:pPr>
      <w:r>
        <w:rPr>
          <w:rFonts w:asciiTheme="majorHAnsi" w:eastAsiaTheme="minorEastAsia" w:hAnsiTheme="majorHAnsi" w:cstheme="majorHAnsi"/>
          <w:sz w:val="24"/>
          <w:szCs w:val="24"/>
        </w:rPr>
        <w:t xml:space="preserve">Email: </w:t>
      </w:r>
      <w:hyperlink r:id="rId10" w:history="1">
        <w:r w:rsidR="009C0F9B" w:rsidRPr="002D45DD">
          <w:rPr>
            <w:rStyle w:val="Hyperlink"/>
            <w:rFonts w:asciiTheme="majorHAnsi" w:eastAsiaTheme="minorEastAsia" w:hAnsiTheme="majorHAnsi" w:cstheme="majorHAnsi"/>
            <w:sz w:val="24"/>
            <w:szCs w:val="24"/>
          </w:rPr>
          <w:t>office@disabilityvoicestas.org.au</w:t>
        </w:r>
      </w:hyperlink>
      <w:r w:rsidR="009C0F9B">
        <w:rPr>
          <w:rFonts w:asciiTheme="majorHAnsi" w:eastAsiaTheme="minorEastAsia" w:hAnsiTheme="majorHAnsi" w:cstheme="majorHAnsi"/>
          <w:sz w:val="24"/>
          <w:szCs w:val="24"/>
        </w:rPr>
        <w:t xml:space="preserve"> </w:t>
      </w:r>
    </w:p>
    <w:p w14:paraId="0ACE7479" w14:textId="77777777" w:rsidR="007B5CEC" w:rsidRDefault="007B5CEC" w:rsidP="001F1836">
      <w:pPr>
        <w:spacing w:after="0" w:line="240" w:lineRule="auto"/>
        <w:rPr>
          <w:rFonts w:asciiTheme="majorHAnsi" w:eastAsiaTheme="minorEastAsia" w:hAnsiTheme="majorHAnsi" w:cstheme="majorHAnsi"/>
          <w:sz w:val="24"/>
          <w:szCs w:val="24"/>
        </w:rPr>
      </w:pPr>
    </w:p>
    <w:p w14:paraId="6474E695" w14:textId="466E26AC" w:rsidR="00C23922" w:rsidRDefault="00C23922" w:rsidP="001F1836">
      <w:pPr>
        <w:spacing w:after="0" w:line="240" w:lineRule="auto"/>
        <w:rPr>
          <w:rFonts w:asciiTheme="majorHAnsi" w:eastAsiaTheme="minorEastAsia" w:hAnsiTheme="majorHAnsi" w:cstheme="majorHAnsi"/>
          <w:sz w:val="24"/>
          <w:szCs w:val="24"/>
        </w:rPr>
      </w:pPr>
      <w:r>
        <w:rPr>
          <w:rFonts w:asciiTheme="majorHAnsi" w:eastAsiaTheme="minorEastAsia" w:hAnsiTheme="majorHAnsi" w:cstheme="majorHAnsi"/>
          <w:sz w:val="24"/>
          <w:szCs w:val="24"/>
        </w:rPr>
        <w:t>Samantha French</w:t>
      </w:r>
    </w:p>
    <w:p w14:paraId="19D26428" w14:textId="6F4CAD4E" w:rsidR="00C23922" w:rsidRDefault="00C23922" w:rsidP="001F1836">
      <w:pPr>
        <w:spacing w:after="0" w:line="240" w:lineRule="auto"/>
        <w:rPr>
          <w:rFonts w:asciiTheme="majorHAnsi" w:eastAsiaTheme="minorEastAsia" w:hAnsiTheme="majorHAnsi" w:cstheme="majorHAnsi"/>
          <w:sz w:val="24"/>
          <w:szCs w:val="24"/>
        </w:rPr>
      </w:pPr>
      <w:r>
        <w:rPr>
          <w:rFonts w:asciiTheme="majorHAnsi" w:eastAsiaTheme="minorEastAsia" w:hAnsiTheme="majorHAnsi" w:cstheme="majorHAnsi"/>
          <w:sz w:val="24"/>
          <w:szCs w:val="24"/>
        </w:rPr>
        <w:t>People with Disability Australia</w:t>
      </w:r>
    </w:p>
    <w:p w14:paraId="6BA1887D" w14:textId="1CD80740" w:rsidR="00C23922" w:rsidRDefault="00C23922" w:rsidP="001F1836">
      <w:pPr>
        <w:spacing w:after="0" w:line="240" w:lineRule="auto"/>
        <w:rPr>
          <w:rFonts w:asciiTheme="majorHAnsi" w:eastAsiaTheme="minorEastAsia" w:hAnsiTheme="majorHAnsi" w:cstheme="majorHAnsi"/>
          <w:sz w:val="24"/>
          <w:szCs w:val="24"/>
        </w:rPr>
      </w:pPr>
      <w:commentRangeStart w:id="0"/>
      <w:r>
        <w:rPr>
          <w:rFonts w:asciiTheme="majorHAnsi" w:eastAsiaTheme="minorEastAsia" w:hAnsiTheme="majorHAnsi" w:cstheme="majorHAnsi"/>
          <w:sz w:val="24"/>
          <w:szCs w:val="24"/>
        </w:rPr>
        <w:t xml:space="preserve">Email: </w:t>
      </w:r>
      <w:hyperlink r:id="rId11" w:history="1">
        <w:r w:rsidR="00AC5A09" w:rsidRPr="00AC5A09">
          <w:rPr>
            <w:rStyle w:val="Hyperlink"/>
            <w:rFonts w:asciiTheme="majorHAnsi" w:eastAsiaTheme="minorEastAsia" w:hAnsiTheme="majorHAnsi" w:cstheme="majorHAnsi"/>
            <w:sz w:val="24"/>
            <w:szCs w:val="24"/>
          </w:rPr>
          <w:t>samanthaf@pwd.org.au</w:t>
        </w:r>
      </w:hyperlink>
      <w:r w:rsidR="009C36FB">
        <w:rPr>
          <w:rFonts w:asciiTheme="majorHAnsi" w:eastAsiaTheme="minorEastAsia" w:hAnsiTheme="majorHAnsi" w:cstheme="majorHAnsi"/>
          <w:sz w:val="24"/>
          <w:szCs w:val="24"/>
        </w:rPr>
        <w:t xml:space="preserve"> </w:t>
      </w:r>
      <w:commentRangeEnd w:id="0"/>
      <w:r w:rsidR="009C0F9B">
        <w:rPr>
          <w:rStyle w:val="CommentReference"/>
        </w:rPr>
        <w:commentReference w:id="0"/>
      </w:r>
    </w:p>
    <w:p w14:paraId="641C3145" w14:textId="7A9E7439" w:rsidR="00C23922" w:rsidRDefault="00C23922" w:rsidP="001F1836">
      <w:pPr>
        <w:spacing w:after="0" w:line="240" w:lineRule="auto"/>
        <w:rPr>
          <w:rFonts w:asciiTheme="majorHAnsi" w:eastAsiaTheme="minorEastAsia" w:hAnsiTheme="majorHAnsi" w:cstheme="majorHAnsi"/>
          <w:sz w:val="24"/>
          <w:szCs w:val="24"/>
        </w:rPr>
      </w:pPr>
      <w:r>
        <w:rPr>
          <w:rFonts w:asciiTheme="majorHAnsi" w:eastAsiaTheme="minorEastAsia" w:hAnsiTheme="majorHAnsi" w:cstheme="majorHAnsi"/>
          <w:sz w:val="24"/>
          <w:szCs w:val="24"/>
        </w:rPr>
        <w:t>Phone:</w:t>
      </w:r>
      <w:r w:rsidR="009C36FB">
        <w:rPr>
          <w:rFonts w:asciiTheme="majorHAnsi" w:eastAsiaTheme="minorEastAsia" w:hAnsiTheme="majorHAnsi" w:cstheme="majorHAnsi"/>
          <w:sz w:val="24"/>
          <w:szCs w:val="24"/>
        </w:rPr>
        <w:t xml:space="preserve"> (02) 9370 3100</w:t>
      </w:r>
    </w:p>
    <w:p w14:paraId="2BDDB2CF" w14:textId="73216BAA" w:rsidR="00F46CD8" w:rsidRDefault="00F46CD8" w:rsidP="001F1836">
      <w:pPr>
        <w:spacing w:after="0" w:line="240" w:lineRule="auto"/>
        <w:rPr>
          <w:rFonts w:asciiTheme="majorHAnsi" w:eastAsiaTheme="minorEastAsia" w:hAnsiTheme="majorHAnsi" w:cstheme="majorHAnsi"/>
          <w:sz w:val="24"/>
          <w:szCs w:val="24"/>
        </w:rPr>
      </w:pPr>
    </w:p>
    <w:p w14:paraId="6CD95857" w14:textId="691EFC69" w:rsidR="00F46CD8" w:rsidRDefault="00F46CD8" w:rsidP="001F1836">
      <w:pPr>
        <w:spacing w:after="0" w:line="240" w:lineRule="auto"/>
        <w:rPr>
          <w:rFonts w:asciiTheme="majorHAnsi" w:eastAsiaTheme="minorEastAsia" w:hAnsiTheme="majorHAnsi" w:cstheme="majorHAnsi"/>
          <w:sz w:val="24"/>
          <w:szCs w:val="24"/>
        </w:rPr>
      </w:pPr>
    </w:p>
    <w:p w14:paraId="64C63D41" w14:textId="77777777" w:rsidR="00F46CD8" w:rsidRDefault="00F46CD8" w:rsidP="001F1836">
      <w:pPr>
        <w:spacing w:after="0" w:line="240" w:lineRule="auto"/>
        <w:rPr>
          <w:rFonts w:asciiTheme="majorHAnsi" w:eastAsiaTheme="minorEastAsia" w:hAnsiTheme="majorHAnsi" w:cstheme="majorHAnsi"/>
          <w:sz w:val="24"/>
          <w:szCs w:val="24"/>
        </w:rPr>
      </w:pPr>
    </w:p>
    <w:p w14:paraId="74ADB122" w14:textId="46714A0E" w:rsidR="009C36FB" w:rsidRDefault="009C36FB" w:rsidP="001F1836">
      <w:pPr>
        <w:spacing w:after="0" w:line="240" w:lineRule="auto"/>
        <w:rPr>
          <w:rFonts w:asciiTheme="majorHAnsi" w:eastAsiaTheme="minorEastAsia" w:hAnsiTheme="majorHAnsi" w:cstheme="majorHAnsi"/>
          <w:sz w:val="24"/>
          <w:szCs w:val="24"/>
        </w:rPr>
      </w:pPr>
    </w:p>
    <w:p w14:paraId="714A0956" w14:textId="77777777" w:rsidR="00CB70DD" w:rsidRDefault="00CB70DD">
      <w:r>
        <w:rPr>
          <w:b/>
          <w:bCs/>
        </w:rPr>
        <w:br w:type="page"/>
      </w:r>
    </w:p>
    <w:p w14:paraId="30AEC4DE" w14:textId="62215ED9" w:rsidR="00F5359F" w:rsidRPr="005629B0" w:rsidRDefault="002C70CD" w:rsidP="00F5359F">
      <w:pPr>
        <w:pStyle w:val="Heading1"/>
        <w:ind w:left="567" w:hanging="567"/>
      </w:pPr>
      <w:r>
        <w:lastRenderedPageBreak/>
        <w:t>About us</w:t>
      </w:r>
    </w:p>
    <w:p w14:paraId="3BC3569C" w14:textId="77777777" w:rsidR="00F5359F" w:rsidRPr="005629B0" w:rsidRDefault="00F5359F" w:rsidP="00F5359F">
      <w:pPr>
        <w:pBdr>
          <w:bottom w:val="single" w:sz="12" w:space="1" w:color="auto"/>
        </w:pBdr>
        <w:rPr>
          <w:sz w:val="16"/>
          <w:szCs w:val="16"/>
        </w:rPr>
      </w:pPr>
    </w:p>
    <w:p w14:paraId="27E6953F" w14:textId="111E198E" w:rsidR="002C70CD" w:rsidRPr="00874B64" w:rsidRDefault="002C70CD"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b/>
          <w:bCs/>
          <w:sz w:val="24"/>
          <w:szCs w:val="24"/>
        </w:rPr>
      </w:pPr>
      <w:r w:rsidRPr="00874B64">
        <w:rPr>
          <w:rFonts w:asciiTheme="majorHAnsi" w:hAnsiTheme="majorHAnsi" w:cs="Arial"/>
          <w:b/>
          <w:bCs/>
          <w:sz w:val="24"/>
          <w:szCs w:val="24"/>
        </w:rPr>
        <w:t>D</w:t>
      </w:r>
      <w:r w:rsidR="00874B64" w:rsidRPr="00874B64">
        <w:rPr>
          <w:rFonts w:asciiTheme="majorHAnsi" w:hAnsiTheme="majorHAnsi" w:cs="Arial"/>
          <w:b/>
          <w:bCs/>
          <w:sz w:val="24"/>
          <w:szCs w:val="24"/>
        </w:rPr>
        <w:t>PO Australia</w:t>
      </w:r>
    </w:p>
    <w:p w14:paraId="4FDE6FF8" w14:textId="7971A299" w:rsidR="00F5359F" w:rsidRPr="004007B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r w:rsidRPr="004007B0">
        <w:rPr>
          <w:rFonts w:asciiTheme="majorHAnsi" w:hAnsiTheme="majorHAnsi" w:cs="Arial"/>
          <w:sz w:val="24"/>
          <w:szCs w:val="24"/>
        </w:rPr>
        <w:t>Disabled People’s Organisations Australia (DPO Australia) is an alliance of four national DPOs in Australia.  DPOs are organisations that are governed, led by and constituted of people with disability.</w:t>
      </w:r>
    </w:p>
    <w:p w14:paraId="237A5A02" w14:textId="116586D1" w:rsidR="00F5359F" w:rsidRPr="004007B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r w:rsidRPr="004007B0">
        <w:rPr>
          <w:rFonts w:asciiTheme="majorHAnsi" w:hAnsiTheme="majorHAnsi" w:cs="Arial"/>
          <w:sz w:val="24"/>
          <w:szCs w:val="24"/>
        </w:rPr>
        <w:t xml:space="preserve">The key purpose of DPO Australia is to promote, protect and advance the human rights and freedoms of people with disability in Australia by working collaboratively on areas of shared interests, purposes and strategic priorities and opportunities. </w:t>
      </w:r>
    </w:p>
    <w:p w14:paraId="27DBBB32" w14:textId="1F0B48E3" w:rsidR="00F5359F" w:rsidRPr="004007B0"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heme="majorHAnsi" w:hAnsiTheme="majorHAnsi" w:cs="Arial"/>
          <w:sz w:val="24"/>
          <w:szCs w:val="24"/>
        </w:rPr>
      </w:pPr>
      <w:r w:rsidRPr="004007B0">
        <w:rPr>
          <w:rFonts w:asciiTheme="majorHAnsi" w:hAnsiTheme="majorHAnsi" w:cs="Arial"/>
          <w:sz w:val="24"/>
          <w:szCs w:val="24"/>
        </w:rPr>
        <w:t xml:space="preserve">DPO Australia is made up of four national population specific and cross-disability DPOs that have been funded by the Australian Government to </w:t>
      </w:r>
      <w:r w:rsidR="000479A5">
        <w:rPr>
          <w:rFonts w:asciiTheme="majorHAnsi" w:hAnsiTheme="majorHAnsi" w:cs="Arial"/>
          <w:sz w:val="24"/>
          <w:szCs w:val="24"/>
        </w:rPr>
        <w:t xml:space="preserve">represent the views of people with disability and provide advice to </w:t>
      </w:r>
      <w:r w:rsidRPr="004007B0">
        <w:rPr>
          <w:rFonts w:asciiTheme="majorHAnsi" w:hAnsiTheme="majorHAnsi" w:cs="Arial"/>
          <w:sz w:val="24"/>
          <w:szCs w:val="24"/>
        </w:rPr>
        <w:t>Government/s and other stakeholders</w:t>
      </w:r>
      <w:r w:rsidR="009C434C">
        <w:rPr>
          <w:rFonts w:asciiTheme="majorHAnsi" w:hAnsiTheme="majorHAnsi" w:cs="Arial"/>
          <w:sz w:val="24"/>
          <w:szCs w:val="24"/>
        </w:rPr>
        <w:t>.</w:t>
      </w:r>
      <w:r w:rsidRPr="004007B0">
        <w:rPr>
          <w:rFonts w:asciiTheme="majorHAnsi" w:hAnsiTheme="majorHAnsi" w:cs="Arial"/>
          <w:sz w:val="24"/>
          <w:szCs w:val="24"/>
        </w:rPr>
        <w:t xml:space="preserve">  </w:t>
      </w:r>
    </w:p>
    <w:p w14:paraId="33A9370B" w14:textId="4AC71BC0" w:rsidR="00F5359F"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r w:rsidRPr="004007B0">
        <w:rPr>
          <w:rFonts w:asciiTheme="majorHAnsi" w:hAnsiTheme="majorHAnsi" w:cs="Arial"/>
          <w:sz w:val="24"/>
          <w:szCs w:val="24"/>
        </w:rPr>
        <w:t>The four DPO Australia members are:</w:t>
      </w:r>
      <w:r w:rsidR="00995AA0">
        <w:rPr>
          <w:rFonts w:asciiTheme="majorHAnsi" w:hAnsiTheme="majorHAnsi" w:cs="Arial"/>
          <w:sz w:val="24"/>
          <w:szCs w:val="24"/>
        </w:rPr>
        <w:t xml:space="preserve"> Women With Disabilities Australia</w:t>
      </w:r>
      <w:r w:rsidR="006853F9">
        <w:rPr>
          <w:rFonts w:asciiTheme="majorHAnsi" w:hAnsiTheme="majorHAnsi" w:cs="Arial"/>
          <w:sz w:val="24"/>
          <w:szCs w:val="24"/>
        </w:rPr>
        <w:t xml:space="preserve">, First Peoples Disability Network Australia (FPDNA), People with Disability Australia (PWDA) and National Ethnic Disability Alliance (NEDA). </w:t>
      </w:r>
    </w:p>
    <w:p w14:paraId="5380734F" w14:textId="634DB834" w:rsidR="00874B64" w:rsidRDefault="00874B64"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b/>
          <w:bCs/>
          <w:sz w:val="24"/>
          <w:szCs w:val="24"/>
        </w:rPr>
      </w:pPr>
      <w:r w:rsidRPr="00874B64">
        <w:rPr>
          <w:rFonts w:asciiTheme="majorHAnsi" w:hAnsiTheme="majorHAnsi" w:cs="Arial"/>
          <w:b/>
          <w:bCs/>
          <w:sz w:val="24"/>
          <w:szCs w:val="24"/>
        </w:rPr>
        <w:t>Disability Voices Tasmania</w:t>
      </w:r>
    </w:p>
    <w:p w14:paraId="37A082F3" w14:textId="4599BB90" w:rsidR="004B1C3C" w:rsidRPr="004B1C3C" w:rsidRDefault="004B1C3C"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r>
        <w:rPr>
          <w:rFonts w:asciiTheme="majorHAnsi" w:hAnsiTheme="majorHAnsi" w:cs="Arial"/>
          <w:sz w:val="24"/>
          <w:szCs w:val="24"/>
        </w:rPr>
        <w:t xml:space="preserve">Disability Voices Tasmania is a cross-disability organisation building the collective voice of Tasmanians with disability. Our purpose is to advance a Tasmanian </w:t>
      </w:r>
      <w:r w:rsidR="00C34D82">
        <w:rPr>
          <w:rFonts w:asciiTheme="majorHAnsi" w:hAnsiTheme="majorHAnsi" w:cs="Arial"/>
          <w:sz w:val="24"/>
          <w:szCs w:val="24"/>
        </w:rPr>
        <w:t xml:space="preserve">community </w:t>
      </w:r>
      <w:r>
        <w:rPr>
          <w:rFonts w:asciiTheme="majorHAnsi" w:hAnsiTheme="majorHAnsi" w:cs="Arial"/>
          <w:sz w:val="24"/>
          <w:szCs w:val="24"/>
        </w:rPr>
        <w:t xml:space="preserve">in which people with disability understand their </w:t>
      </w:r>
      <w:r w:rsidR="00C64D51">
        <w:rPr>
          <w:rFonts w:asciiTheme="majorHAnsi" w:hAnsiTheme="majorHAnsi" w:cs="Arial"/>
          <w:sz w:val="24"/>
          <w:szCs w:val="24"/>
        </w:rPr>
        <w:t xml:space="preserve">rights, and the equal and inherent dignity of people with disability are respected and promoted. </w:t>
      </w:r>
      <w:r w:rsidR="00FD1F96">
        <w:rPr>
          <w:rFonts w:asciiTheme="majorHAnsi" w:hAnsiTheme="majorHAnsi" w:cs="Arial"/>
          <w:sz w:val="24"/>
          <w:szCs w:val="24"/>
        </w:rPr>
        <w:t xml:space="preserve">Disability Voices Tasmania is funded by the Commonwealth Government to deliver </w:t>
      </w:r>
      <w:r w:rsidR="00EB7DE6">
        <w:rPr>
          <w:rFonts w:asciiTheme="majorHAnsi" w:hAnsiTheme="majorHAnsi" w:cs="Arial"/>
          <w:sz w:val="24"/>
          <w:szCs w:val="24"/>
        </w:rPr>
        <w:t xml:space="preserve">projects aimed at capacity building for people with disability.  </w:t>
      </w:r>
    </w:p>
    <w:p w14:paraId="5DE57BEB" w14:textId="6846E91E" w:rsidR="00F5359F" w:rsidRPr="00FB002E" w:rsidRDefault="00F5359F" w:rsidP="00F53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both"/>
        <w:rPr>
          <w:rFonts w:asciiTheme="majorHAnsi" w:hAnsiTheme="majorHAnsi" w:cs="Arial"/>
          <w:sz w:val="24"/>
          <w:szCs w:val="24"/>
        </w:rPr>
      </w:pPr>
      <w:r w:rsidRPr="005629B0">
        <w:br w:type="page"/>
      </w:r>
    </w:p>
    <w:p w14:paraId="47CFC202" w14:textId="77777777" w:rsidR="00F5359F" w:rsidRPr="005629B0" w:rsidRDefault="00F5359F" w:rsidP="00F5359F">
      <w:pPr>
        <w:pStyle w:val="Heading1"/>
        <w:ind w:left="567" w:hanging="567"/>
      </w:pPr>
      <w:bookmarkStart w:id="1" w:name="_Toc532458958"/>
      <w:r w:rsidRPr="005629B0">
        <w:lastRenderedPageBreak/>
        <w:t>Introduction</w:t>
      </w:r>
      <w:bookmarkEnd w:id="1"/>
    </w:p>
    <w:p w14:paraId="0852A630" w14:textId="77777777" w:rsidR="00F5359F" w:rsidRPr="005629B0" w:rsidRDefault="00F5359F" w:rsidP="00F5359F">
      <w:pPr>
        <w:pBdr>
          <w:bottom w:val="single" w:sz="12" w:space="1" w:color="auto"/>
        </w:pBdr>
        <w:jc w:val="right"/>
        <w:rPr>
          <w:sz w:val="16"/>
          <w:szCs w:val="16"/>
        </w:rPr>
      </w:pPr>
    </w:p>
    <w:p w14:paraId="1B2BA7B5" w14:textId="77141BE3" w:rsidR="0020502D" w:rsidRPr="0020502D" w:rsidRDefault="00FE049B" w:rsidP="00973FA9">
      <w:pPr>
        <w:pStyle w:val="ListParagraph"/>
        <w:numPr>
          <w:ilvl w:val="0"/>
          <w:numId w:val="16"/>
        </w:numPr>
        <w:spacing w:after="0"/>
        <w:rPr>
          <w:rFonts w:cs="Calibri"/>
          <w:color w:val="000000" w:themeColor="text1"/>
          <w:sz w:val="24"/>
          <w:szCs w:val="24"/>
        </w:rPr>
      </w:pPr>
      <w:r w:rsidRPr="0020502D">
        <w:rPr>
          <w:rFonts w:cs="Arial"/>
          <w:sz w:val="24"/>
          <w:szCs w:val="24"/>
        </w:rPr>
        <w:t>Disabled Peoples Organi</w:t>
      </w:r>
      <w:r w:rsidR="00AE5070" w:rsidRPr="0020502D">
        <w:rPr>
          <w:rFonts w:cs="Arial"/>
          <w:sz w:val="24"/>
          <w:szCs w:val="24"/>
        </w:rPr>
        <w:t>s</w:t>
      </w:r>
      <w:r w:rsidRPr="0020502D">
        <w:rPr>
          <w:rFonts w:cs="Arial"/>
          <w:sz w:val="24"/>
          <w:szCs w:val="24"/>
        </w:rPr>
        <w:t xml:space="preserve">ations Australia (DPO Australia) and Disability Voices Tasmania welcome the opportunity to provide this joint submission to the second review of the Disability (Access to Premises – Building) Standards 2010 </w:t>
      </w:r>
      <w:r w:rsidR="00C34D82">
        <w:rPr>
          <w:rFonts w:cs="Arial"/>
          <w:sz w:val="24"/>
          <w:szCs w:val="24"/>
        </w:rPr>
        <w:t xml:space="preserve">(Premises Standards) </w:t>
      </w:r>
      <w:r w:rsidRPr="0020502D">
        <w:rPr>
          <w:rFonts w:cs="Arial"/>
          <w:sz w:val="24"/>
          <w:szCs w:val="24"/>
        </w:rPr>
        <w:t>and would also welcome further opportunities for ongoing involvement in reviewing the Standards</w:t>
      </w:r>
      <w:r w:rsidR="005F1A2D">
        <w:rPr>
          <w:rFonts w:cs="Arial"/>
          <w:sz w:val="24"/>
          <w:szCs w:val="24"/>
        </w:rPr>
        <w:t>.</w:t>
      </w:r>
    </w:p>
    <w:p w14:paraId="7490CEB3" w14:textId="77777777" w:rsidR="0020502D" w:rsidRPr="0020502D" w:rsidRDefault="0020502D" w:rsidP="0020502D">
      <w:pPr>
        <w:pStyle w:val="ListParagraph"/>
        <w:spacing w:after="0"/>
        <w:rPr>
          <w:rFonts w:cs="Calibri"/>
          <w:color w:val="000000" w:themeColor="text1"/>
          <w:sz w:val="24"/>
          <w:szCs w:val="24"/>
        </w:rPr>
      </w:pPr>
    </w:p>
    <w:p w14:paraId="3347EC8E" w14:textId="3809723C" w:rsidR="0020502D" w:rsidRPr="0020502D" w:rsidRDefault="00ED14B7" w:rsidP="00555B22">
      <w:pPr>
        <w:pStyle w:val="ListParagraph"/>
        <w:widowControl w:val="0"/>
        <w:numPr>
          <w:ilvl w:val="0"/>
          <w:numId w:val="1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r w:rsidRPr="0020502D">
        <w:rPr>
          <w:rFonts w:cs="Arial"/>
          <w:sz w:val="24"/>
          <w:szCs w:val="24"/>
        </w:rPr>
        <w:t xml:space="preserve">We strongly reaffirm our support of the Premises Standards and believe in the integrity of the legislation, which we note was developed through a rigorous process of research and negotiations involving all relevant parties. The introduction of the Premises Standards in 2011 represented the beginning of significant and widespread potential for improvement in the lives of people with disability. Improved access to premises positively impacts a person’s opportunities to gain employment, access health care, pursue education, vote, participate in recreational and sporting activities, travel, and access goods and services. Breaking down barriers to access brings greater opportunities for people with disability to exercise their economic, social, cultural, civil and political rights.  </w:t>
      </w:r>
    </w:p>
    <w:p w14:paraId="0E50227E" w14:textId="77777777" w:rsidR="0020502D" w:rsidRPr="0020502D" w:rsidRDefault="0020502D" w:rsidP="0020502D">
      <w:pPr>
        <w:pStyle w:val="ListParagraph"/>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rPr>
      </w:pPr>
    </w:p>
    <w:p w14:paraId="7525FE9D" w14:textId="3318B6BE" w:rsidR="00B0037A" w:rsidRPr="0020502D" w:rsidRDefault="00B0037A" w:rsidP="0020502D">
      <w:pPr>
        <w:pStyle w:val="ListParagraph"/>
        <w:numPr>
          <w:ilvl w:val="0"/>
          <w:numId w:val="16"/>
        </w:numPr>
        <w:spacing w:after="0"/>
        <w:rPr>
          <w:rFonts w:cs="Arial"/>
          <w:sz w:val="24"/>
          <w:szCs w:val="24"/>
        </w:rPr>
      </w:pPr>
      <w:r w:rsidRPr="0020502D">
        <w:rPr>
          <w:rFonts w:cs="Arial"/>
          <w:sz w:val="24"/>
          <w:szCs w:val="24"/>
        </w:rPr>
        <w:t xml:space="preserve">Further, the Premise Standards provides an important mechanism through which Australia can fulfil its obligations under Article 9 ‘Accessibility’ in the Convention on the Rights of Persons </w:t>
      </w:r>
      <w:r w:rsidR="00EE2025">
        <w:rPr>
          <w:rFonts w:cs="Arial"/>
          <w:sz w:val="24"/>
          <w:szCs w:val="24"/>
        </w:rPr>
        <w:t xml:space="preserve">with Disabilities </w:t>
      </w:r>
      <w:r w:rsidRPr="0020502D">
        <w:rPr>
          <w:rFonts w:cs="Arial"/>
          <w:sz w:val="24"/>
          <w:szCs w:val="24"/>
        </w:rPr>
        <w:t xml:space="preserve">(CRPD); Priority Area 1 ‘Inclusive and Accessible Communities’ of the National Disability Strategy (NDS); the Objects of the National Disability Insurance Scheme (NDIS) Act 2013; and the Disability Discrimination Act (Cth) 1992 (DDA). </w:t>
      </w:r>
    </w:p>
    <w:p w14:paraId="347F4443" w14:textId="77777777" w:rsidR="001D137D" w:rsidRPr="002B65B5" w:rsidRDefault="001D137D" w:rsidP="001D137D">
      <w:pPr>
        <w:spacing w:after="0"/>
        <w:ind w:left="567" w:hanging="567"/>
        <w:rPr>
          <w:rFonts w:cs="Arial"/>
          <w:sz w:val="24"/>
          <w:szCs w:val="24"/>
        </w:rPr>
      </w:pPr>
    </w:p>
    <w:p w14:paraId="4BBAE0EF" w14:textId="72A0DB61" w:rsidR="00BE5384" w:rsidRPr="0020502D" w:rsidRDefault="00BE5384" w:rsidP="0020502D">
      <w:pPr>
        <w:pStyle w:val="ListParagraph"/>
        <w:numPr>
          <w:ilvl w:val="0"/>
          <w:numId w:val="16"/>
        </w:numPr>
        <w:spacing w:after="0"/>
        <w:rPr>
          <w:rFonts w:cs="Arial"/>
          <w:sz w:val="24"/>
          <w:szCs w:val="24"/>
        </w:rPr>
      </w:pPr>
      <w:r w:rsidRPr="0020502D">
        <w:rPr>
          <w:rFonts w:cs="Arial"/>
          <w:sz w:val="24"/>
          <w:szCs w:val="24"/>
        </w:rPr>
        <w:t xml:space="preserve">This second review provides an important opportunity to increase consistency of application, deliver greater compliance, and to minimise ambiguity about how the Premises Standards work in relation to other legislation, policies and frameworks in Australia. </w:t>
      </w:r>
    </w:p>
    <w:p w14:paraId="7A200AD5" w14:textId="378A648B" w:rsidR="004757F2" w:rsidRDefault="004757F2" w:rsidP="001D137D">
      <w:pPr>
        <w:spacing w:after="0"/>
        <w:ind w:left="567" w:hanging="567"/>
        <w:rPr>
          <w:rFonts w:cs="Arial"/>
          <w:sz w:val="24"/>
          <w:szCs w:val="24"/>
        </w:rPr>
      </w:pPr>
    </w:p>
    <w:p w14:paraId="5340087A" w14:textId="5A92244F" w:rsidR="004757F2" w:rsidRDefault="004757F2" w:rsidP="001D137D">
      <w:pPr>
        <w:spacing w:after="0"/>
        <w:ind w:left="567" w:hanging="567"/>
        <w:rPr>
          <w:rFonts w:cs="Arial"/>
          <w:sz w:val="24"/>
          <w:szCs w:val="24"/>
        </w:rPr>
      </w:pPr>
    </w:p>
    <w:p w14:paraId="3387CB6F" w14:textId="7B9427E7" w:rsidR="004757F2" w:rsidRDefault="004757F2" w:rsidP="001D137D">
      <w:pPr>
        <w:spacing w:after="0"/>
        <w:ind w:left="567" w:hanging="567"/>
        <w:rPr>
          <w:rFonts w:cs="Arial"/>
          <w:sz w:val="24"/>
          <w:szCs w:val="24"/>
        </w:rPr>
      </w:pPr>
    </w:p>
    <w:p w14:paraId="7DCBCD2A" w14:textId="0E8AB507" w:rsidR="004757F2" w:rsidRDefault="004757F2" w:rsidP="001D137D">
      <w:pPr>
        <w:spacing w:after="0"/>
        <w:ind w:left="567" w:hanging="567"/>
        <w:rPr>
          <w:rFonts w:cs="Arial"/>
          <w:sz w:val="24"/>
          <w:szCs w:val="24"/>
        </w:rPr>
      </w:pPr>
    </w:p>
    <w:p w14:paraId="7A4F8F40" w14:textId="593795EA" w:rsidR="004757F2" w:rsidRDefault="004757F2" w:rsidP="001D137D">
      <w:pPr>
        <w:spacing w:after="0"/>
        <w:ind w:left="567" w:hanging="567"/>
        <w:rPr>
          <w:rFonts w:cs="Arial"/>
          <w:sz w:val="24"/>
          <w:szCs w:val="24"/>
        </w:rPr>
      </w:pPr>
    </w:p>
    <w:p w14:paraId="447F2207" w14:textId="5C492F39" w:rsidR="004757F2" w:rsidRDefault="004757F2" w:rsidP="001D137D">
      <w:pPr>
        <w:spacing w:after="0"/>
        <w:ind w:left="567" w:hanging="567"/>
        <w:rPr>
          <w:rFonts w:cs="Arial"/>
          <w:sz w:val="24"/>
          <w:szCs w:val="24"/>
        </w:rPr>
      </w:pPr>
    </w:p>
    <w:p w14:paraId="7EA57EE3" w14:textId="2E01BADC" w:rsidR="004757F2" w:rsidRDefault="004757F2" w:rsidP="001D137D">
      <w:pPr>
        <w:spacing w:after="0"/>
        <w:ind w:left="567" w:hanging="567"/>
        <w:rPr>
          <w:rFonts w:cs="Arial"/>
          <w:sz w:val="24"/>
          <w:szCs w:val="24"/>
        </w:rPr>
      </w:pPr>
    </w:p>
    <w:p w14:paraId="136A4F15" w14:textId="0ED71EB4" w:rsidR="004757F2" w:rsidRDefault="004757F2" w:rsidP="001D137D">
      <w:pPr>
        <w:spacing w:after="0"/>
        <w:ind w:left="567" w:hanging="567"/>
        <w:rPr>
          <w:rFonts w:cs="Arial"/>
          <w:sz w:val="24"/>
          <w:szCs w:val="24"/>
        </w:rPr>
      </w:pPr>
    </w:p>
    <w:p w14:paraId="6DC18BBF" w14:textId="77777777" w:rsidR="006733AC" w:rsidRDefault="006733AC" w:rsidP="001D137D">
      <w:pPr>
        <w:spacing w:after="0"/>
        <w:ind w:left="567" w:hanging="567"/>
        <w:rPr>
          <w:rFonts w:cs="Arial"/>
          <w:sz w:val="24"/>
          <w:szCs w:val="24"/>
        </w:rPr>
      </w:pPr>
    </w:p>
    <w:p w14:paraId="7996AE27" w14:textId="77777777" w:rsidR="004757F2" w:rsidRPr="002B65B5" w:rsidRDefault="004757F2" w:rsidP="001D137D">
      <w:pPr>
        <w:spacing w:after="0"/>
        <w:ind w:left="567" w:hanging="567"/>
        <w:rPr>
          <w:rFonts w:cs="Arial"/>
          <w:sz w:val="24"/>
          <w:szCs w:val="24"/>
        </w:rPr>
      </w:pPr>
    </w:p>
    <w:p w14:paraId="43873E57" w14:textId="5B53FC93" w:rsidR="00C443B8" w:rsidRPr="002B65B5" w:rsidRDefault="00FB50A5" w:rsidP="008D54B4">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ind w:left="567" w:hanging="567"/>
        <w:rPr>
          <w:rFonts w:cs="Calibri"/>
          <w:sz w:val="24"/>
          <w:szCs w:val="24"/>
        </w:rPr>
      </w:pPr>
      <w:r w:rsidRPr="002B65B5">
        <w:rPr>
          <w:rFonts w:cs="Calibri"/>
          <w:sz w:val="24"/>
          <w:szCs w:val="24"/>
        </w:rPr>
        <w:t xml:space="preserve"> </w:t>
      </w:r>
    </w:p>
    <w:p w14:paraId="20568288" w14:textId="7435E230" w:rsidR="00CF2781" w:rsidRPr="005629B0" w:rsidRDefault="00FA3118" w:rsidP="00CF2781">
      <w:pPr>
        <w:pStyle w:val="Heading1"/>
        <w:ind w:hanging="720"/>
      </w:pPr>
      <w:r>
        <w:lastRenderedPageBreak/>
        <w:t>General Comments on Overarching Issues</w:t>
      </w:r>
    </w:p>
    <w:p w14:paraId="2E13DCC5" w14:textId="77777777" w:rsidR="00F5359F" w:rsidRPr="005629B0" w:rsidRDefault="00F5359F" w:rsidP="00F5359F">
      <w:pPr>
        <w:pBdr>
          <w:bottom w:val="single" w:sz="12" w:space="1" w:color="auto"/>
        </w:pBdr>
        <w:rPr>
          <w:sz w:val="16"/>
          <w:szCs w:val="16"/>
        </w:rPr>
      </w:pPr>
    </w:p>
    <w:p w14:paraId="71E30A26" w14:textId="1A9FA4BF" w:rsidR="007E207D" w:rsidRPr="002B65B5" w:rsidRDefault="007E207D" w:rsidP="0020502D">
      <w:pPr>
        <w:spacing w:after="0"/>
        <w:rPr>
          <w:rFonts w:asciiTheme="minorHAnsi" w:hAnsiTheme="minorHAnsi" w:cstheme="minorHAnsi"/>
          <w:sz w:val="24"/>
          <w:szCs w:val="24"/>
        </w:rPr>
      </w:pPr>
      <w:r w:rsidRPr="002B65B5">
        <w:rPr>
          <w:rFonts w:asciiTheme="minorHAnsi" w:hAnsiTheme="minorHAnsi" w:cstheme="minorHAnsi"/>
          <w:sz w:val="24"/>
          <w:szCs w:val="24"/>
        </w:rPr>
        <w:t>DPO Australia and Disability Voices Tasmania wish to make the following general comments on key overarching issues which need to be addressed in the second review of the Premises Standards:</w:t>
      </w:r>
    </w:p>
    <w:p w14:paraId="142FEC49" w14:textId="77777777" w:rsidR="00B3696C" w:rsidRPr="002B65B5" w:rsidRDefault="00B3696C" w:rsidP="00B3696C">
      <w:pPr>
        <w:spacing w:after="0"/>
        <w:rPr>
          <w:rFonts w:asciiTheme="minorHAnsi" w:hAnsiTheme="minorHAnsi" w:cstheme="minorHAnsi"/>
          <w:iCs/>
          <w:sz w:val="24"/>
          <w:szCs w:val="24"/>
        </w:rPr>
      </w:pPr>
    </w:p>
    <w:p w14:paraId="0D887A39" w14:textId="77777777" w:rsidR="00B3696C" w:rsidRPr="002B65B5" w:rsidRDefault="00B3696C" w:rsidP="00B3696C">
      <w:pPr>
        <w:pStyle w:val="ListParagraph"/>
        <w:numPr>
          <w:ilvl w:val="0"/>
          <w:numId w:val="11"/>
        </w:numPr>
        <w:spacing w:after="0"/>
        <w:rPr>
          <w:rFonts w:asciiTheme="minorHAnsi" w:hAnsiTheme="minorHAnsi" w:cstheme="minorHAnsi"/>
          <w:iCs/>
          <w:sz w:val="24"/>
          <w:szCs w:val="24"/>
        </w:rPr>
      </w:pPr>
      <w:r w:rsidRPr="002B65B5">
        <w:rPr>
          <w:rFonts w:asciiTheme="minorHAnsi" w:hAnsiTheme="minorHAnsi" w:cstheme="minorHAnsi"/>
          <w:iCs/>
          <w:sz w:val="24"/>
          <w:szCs w:val="24"/>
        </w:rPr>
        <w:t xml:space="preserve">The review of the Premises Standards must lead to significant improvement to access to premises for people with disability - any action taken as a result of this review must progressively eliminate discriminatory practices, increase accessible provisions, and raise minimum standards. This will require considerable and ongoing support and advice to all stakeholders through further development of practice guidelines, increased access to training and skills development, and the availability of professional advice where needed. </w:t>
      </w:r>
    </w:p>
    <w:p w14:paraId="47C59E0B" w14:textId="77777777" w:rsidR="00B3696C" w:rsidRPr="002B65B5" w:rsidRDefault="00B3696C" w:rsidP="00B3696C">
      <w:pPr>
        <w:pStyle w:val="ListParagraph"/>
        <w:spacing w:after="0"/>
        <w:rPr>
          <w:rFonts w:asciiTheme="minorHAnsi" w:hAnsiTheme="minorHAnsi" w:cstheme="minorHAnsi"/>
          <w:iCs/>
          <w:sz w:val="24"/>
          <w:szCs w:val="24"/>
        </w:rPr>
      </w:pPr>
    </w:p>
    <w:p w14:paraId="034CF4D3" w14:textId="127EC76B" w:rsidR="00B3696C" w:rsidRPr="002B65B5" w:rsidRDefault="00B3696C" w:rsidP="00B3696C">
      <w:pPr>
        <w:pStyle w:val="ListParagraph"/>
        <w:numPr>
          <w:ilvl w:val="0"/>
          <w:numId w:val="11"/>
        </w:numPr>
        <w:spacing w:after="0"/>
        <w:rPr>
          <w:rFonts w:asciiTheme="minorHAnsi" w:hAnsiTheme="minorHAnsi" w:cstheme="minorHAnsi"/>
          <w:iCs/>
          <w:sz w:val="24"/>
          <w:szCs w:val="24"/>
        </w:rPr>
      </w:pPr>
      <w:r w:rsidRPr="002B65B5">
        <w:rPr>
          <w:rFonts w:asciiTheme="minorHAnsi" w:hAnsiTheme="minorHAnsi" w:cstheme="minorHAnsi"/>
          <w:iCs/>
          <w:sz w:val="24"/>
          <w:szCs w:val="24"/>
        </w:rPr>
        <w:t xml:space="preserve">The Premises Standards must be accessible to people with disability - people with disability must have access to the Premise Standards in accessible and alternate formats, coupled with ongoing training and education for the disability sector to ensure people with disability are aware of their rights under the Standards, including how to exercise their rights through lodging complaints to the appropriate state or Commonwealth body </w:t>
      </w:r>
      <w:r w:rsidR="005F1A2D">
        <w:rPr>
          <w:rFonts w:asciiTheme="minorHAnsi" w:hAnsiTheme="minorHAnsi" w:cstheme="minorHAnsi"/>
          <w:iCs/>
          <w:sz w:val="24"/>
          <w:szCs w:val="24"/>
        </w:rPr>
        <w:t>(</w:t>
      </w:r>
      <w:r w:rsidRPr="002B65B5">
        <w:rPr>
          <w:rFonts w:asciiTheme="minorHAnsi" w:hAnsiTheme="minorHAnsi" w:cstheme="minorHAnsi"/>
          <w:iCs/>
          <w:sz w:val="24"/>
          <w:szCs w:val="24"/>
        </w:rPr>
        <w:t xml:space="preserve">such as the Australian Human Rights </w:t>
      </w:r>
      <w:r w:rsidR="00C34D82">
        <w:rPr>
          <w:rFonts w:asciiTheme="minorHAnsi" w:hAnsiTheme="minorHAnsi" w:cstheme="minorHAnsi"/>
          <w:iCs/>
          <w:sz w:val="24"/>
          <w:szCs w:val="24"/>
        </w:rPr>
        <w:t>C</w:t>
      </w:r>
      <w:r w:rsidRPr="002B65B5">
        <w:rPr>
          <w:rFonts w:asciiTheme="minorHAnsi" w:hAnsiTheme="minorHAnsi" w:cstheme="minorHAnsi"/>
          <w:iCs/>
          <w:sz w:val="24"/>
          <w:szCs w:val="24"/>
        </w:rPr>
        <w:t>ommission</w:t>
      </w:r>
      <w:r w:rsidR="005F1A2D">
        <w:rPr>
          <w:rFonts w:asciiTheme="minorHAnsi" w:hAnsiTheme="minorHAnsi" w:cstheme="minorHAnsi"/>
          <w:iCs/>
          <w:sz w:val="24"/>
          <w:szCs w:val="24"/>
        </w:rPr>
        <w:t>)</w:t>
      </w:r>
      <w:r w:rsidRPr="002B65B5">
        <w:rPr>
          <w:rFonts w:asciiTheme="minorHAnsi" w:hAnsiTheme="minorHAnsi" w:cstheme="minorHAnsi"/>
          <w:iCs/>
          <w:sz w:val="24"/>
          <w:szCs w:val="24"/>
        </w:rPr>
        <w:t>.</w:t>
      </w:r>
    </w:p>
    <w:p w14:paraId="3A58FA8D" w14:textId="77777777" w:rsidR="00B3696C" w:rsidRPr="002B65B5" w:rsidRDefault="00B3696C" w:rsidP="00B3696C">
      <w:pPr>
        <w:pStyle w:val="ListParagraph"/>
        <w:spacing w:after="0"/>
        <w:ind w:left="1080"/>
        <w:rPr>
          <w:rFonts w:asciiTheme="minorHAnsi" w:hAnsiTheme="minorHAnsi" w:cstheme="minorHAnsi"/>
          <w:iCs/>
          <w:sz w:val="24"/>
          <w:szCs w:val="24"/>
        </w:rPr>
      </w:pPr>
    </w:p>
    <w:p w14:paraId="0290BA09" w14:textId="223AE27C" w:rsidR="00B3696C" w:rsidRPr="002B65B5" w:rsidRDefault="00FB3388" w:rsidP="00B3696C">
      <w:pPr>
        <w:pStyle w:val="ListParagraph"/>
        <w:numPr>
          <w:ilvl w:val="0"/>
          <w:numId w:val="12"/>
        </w:numPr>
        <w:spacing w:after="0"/>
        <w:rPr>
          <w:rFonts w:asciiTheme="minorHAnsi" w:hAnsiTheme="minorHAnsi" w:cstheme="minorHAnsi"/>
          <w:sz w:val="24"/>
          <w:szCs w:val="24"/>
        </w:rPr>
      </w:pPr>
      <w:r>
        <w:rPr>
          <w:rFonts w:asciiTheme="minorHAnsi" w:hAnsiTheme="minorHAnsi" w:cstheme="minorHAnsi"/>
          <w:iCs/>
          <w:sz w:val="24"/>
          <w:szCs w:val="24"/>
        </w:rPr>
        <w:t>The Government must a</w:t>
      </w:r>
      <w:r w:rsidR="00B3696C" w:rsidRPr="002B65B5">
        <w:rPr>
          <w:rFonts w:asciiTheme="minorHAnsi" w:hAnsiTheme="minorHAnsi" w:cstheme="minorHAnsi"/>
          <w:iCs/>
          <w:sz w:val="24"/>
          <w:szCs w:val="24"/>
        </w:rPr>
        <w:t>ddress the lack of adequate data on implementation and effectiveness of the Premises Standards</w:t>
      </w:r>
      <w:r w:rsidR="003739D9">
        <w:rPr>
          <w:rFonts w:asciiTheme="minorHAnsi" w:hAnsiTheme="minorHAnsi" w:cstheme="minorHAnsi"/>
          <w:iCs/>
          <w:sz w:val="24"/>
          <w:szCs w:val="24"/>
        </w:rPr>
        <w:t xml:space="preserve"> - </w:t>
      </w:r>
      <w:r w:rsidR="00B3696C" w:rsidRPr="002B65B5">
        <w:rPr>
          <w:rFonts w:asciiTheme="minorHAnsi" w:hAnsiTheme="minorHAnsi" w:cstheme="minorHAnsi"/>
          <w:iCs/>
          <w:sz w:val="24"/>
          <w:szCs w:val="24"/>
        </w:rPr>
        <w:t>processes need to be established for the systematic and coordinated collation and analysis of data and research on implementation of the Premises Standards</w:t>
      </w:r>
      <w:r w:rsidR="00C34D82">
        <w:rPr>
          <w:rFonts w:asciiTheme="minorHAnsi" w:hAnsiTheme="minorHAnsi" w:cstheme="minorHAnsi"/>
          <w:iCs/>
          <w:sz w:val="24"/>
          <w:szCs w:val="24"/>
        </w:rPr>
        <w:t xml:space="preserve">. This should include </w:t>
      </w:r>
      <w:r w:rsidR="00B3696C" w:rsidRPr="002B65B5">
        <w:rPr>
          <w:rFonts w:asciiTheme="minorHAnsi" w:hAnsiTheme="minorHAnsi" w:cstheme="minorHAnsi"/>
          <w:iCs/>
          <w:sz w:val="24"/>
          <w:szCs w:val="24"/>
        </w:rPr>
        <w:t>rigorous consultation with people with disability on the barriers they face in accessing premises</w:t>
      </w:r>
      <w:r w:rsidR="00C34D82">
        <w:rPr>
          <w:rFonts w:asciiTheme="minorHAnsi" w:hAnsiTheme="minorHAnsi" w:cstheme="minorHAnsi"/>
          <w:iCs/>
          <w:sz w:val="24"/>
          <w:szCs w:val="24"/>
        </w:rPr>
        <w:t>;</w:t>
      </w:r>
      <w:r w:rsidR="00B3696C" w:rsidRPr="002B65B5">
        <w:rPr>
          <w:rFonts w:asciiTheme="minorHAnsi" w:hAnsiTheme="minorHAnsi" w:cstheme="minorHAnsi"/>
          <w:iCs/>
          <w:sz w:val="24"/>
          <w:szCs w:val="24"/>
        </w:rPr>
        <w:t xml:space="preserve"> effective evaluat</w:t>
      </w:r>
      <w:r w:rsidR="00C34D82">
        <w:rPr>
          <w:rFonts w:asciiTheme="minorHAnsi" w:hAnsiTheme="minorHAnsi" w:cstheme="minorHAnsi"/>
          <w:iCs/>
          <w:sz w:val="24"/>
          <w:szCs w:val="24"/>
        </w:rPr>
        <w:t>ion of</w:t>
      </w:r>
      <w:r w:rsidR="00B3696C" w:rsidRPr="002B65B5">
        <w:rPr>
          <w:rFonts w:asciiTheme="minorHAnsi" w:hAnsiTheme="minorHAnsi" w:cstheme="minorHAnsi"/>
          <w:iCs/>
          <w:sz w:val="24"/>
          <w:szCs w:val="24"/>
        </w:rPr>
        <w:t xml:space="preserve"> the implementation of the Standards</w:t>
      </w:r>
      <w:r w:rsidR="00C34D82">
        <w:rPr>
          <w:rFonts w:asciiTheme="minorHAnsi" w:hAnsiTheme="minorHAnsi" w:cstheme="minorHAnsi"/>
          <w:iCs/>
          <w:sz w:val="24"/>
          <w:szCs w:val="24"/>
        </w:rPr>
        <w:t xml:space="preserve"> and</w:t>
      </w:r>
      <w:r w:rsidR="00B3696C" w:rsidRPr="002B65B5">
        <w:rPr>
          <w:rFonts w:asciiTheme="minorHAnsi" w:hAnsiTheme="minorHAnsi" w:cstheme="minorHAnsi"/>
          <w:iCs/>
          <w:sz w:val="24"/>
          <w:szCs w:val="24"/>
        </w:rPr>
        <w:t xml:space="preserve"> improve</w:t>
      </w:r>
      <w:r w:rsidR="00C34D82">
        <w:rPr>
          <w:rFonts w:asciiTheme="minorHAnsi" w:hAnsiTheme="minorHAnsi" w:cstheme="minorHAnsi"/>
          <w:iCs/>
          <w:sz w:val="24"/>
          <w:szCs w:val="24"/>
        </w:rPr>
        <w:t>d</w:t>
      </w:r>
      <w:r w:rsidR="00B3696C" w:rsidRPr="002B65B5">
        <w:rPr>
          <w:rFonts w:asciiTheme="minorHAnsi" w:hAnsiTheme="minorHAnsi" w:cstheme="minorHAnsi"/>
          <w:iCs/>
          <w:sz w:val="24"/>
          <w:szCs w:val="24"/>
        </w:rPr>
        <w:t xml:space="preserve"> monitoring </w:t>
      </w:r>
      <w:r w:rsidR="00C34D82">
        <w:rPr>
          <w:rFonts w:asciiTheme="minorHAnsi" w:hAnsiTheme="minorHAnsi" w:cstheme="minorHAnsi"/>
          <w:iCs/>
          <w:sz w:val="24"/>
          <w:szCs w:val="24"/>
        </w:rPr>
        <w:t>– all of which</w:t>
      </w:r>
      <w:r w:rsidR="00544CF9">
        <w:rPr>
          <w:rFonts w:asciiTheme="minorHAnsi" w:hAnsiTheme="minorHAnsi" w:cstheme="minorHAnsi"/>
          <w:iCs/>
          <w:sz w:val="24"/>
          <w:szCs w:val="24"/>
        </w:rPr>
        <w:t xml:space="preserve"> can</w:t>
      </w:r>
      <w:r w:rsidR="00B3696C" w:rsidRPr="002B65B5">
        <w:rPr>
          <w:rFonts w:asciiTheme="minorHAnsi" w:hAnsiTheme="minorHAnsi" w:cstheme="minorHAnsi"/>
          <w:iCs/>
          <w:sz w:val="24"/>
          <w:szCs w:val="24"/>
        </w:rPr>
        <w:t xml:space="preserve"> inform future reviews. </w:t>
      </w:r>
      <w:r w:rsidR="00B3696C" w:rsidRPr="002B65B5">
        <w:rPr>
          <w:rFonts w:asciiTheme="minorHAnsi" w:hAnsiTheme="minorHAnsi" w:cstheme="minorHAnsi"/>
          <w:sz w:val="24"/>
          <w:szCs w:val="24"/>
        </w:rPr>
        <w:t>The Premises Standards have no mandatory compliance or data gathering measures which severely hampers the ability for parties to review, evaluate and implement improvements and good practices in a consistent manner. At the time the Premises Standards came into force, it was recommended that an audit be undertaken prior to the commencement of each review. This was never undertaken for the first or current review and has led to significant gaps in information and a lack of useable information for robust analysis as part of the second review.</w:t>
      </w:r>
    </w:p>
    <w:p w14:paraId="053DA857" w14:textId="77777777" w:rsidR="00B3696C" w:rsidRPr="002B65B5" w:rsidRDefault="00B3696C" w:rsidP="00B3696C">
      <w:pPr>
        <w:spacing w:after="0"/>
        <w:rPr>
          <w:rFonts w:asciiTheme="minorHAnsi" w:hAnsiTheme="minorHAnsi" w:cstheme="minorHAnsi"/>
          <w:iCs/>
          <w:sz w:val="24"/>
          <w:szCs w:val="24"/>
        </w:rPr>
      </w:pPr>
    </w:p>
    <w:p w14:paraId="296FC682" w14:textId="37776ECE" w:rsidR="00B3696C" w:rsidRPr="002B65B5" w:rsidRDefault="00CE4EF0" w:rsidP="00B3696C">
      <w:pPr>
        <w:pStyle w:val="ListParagraph"/>
        <w:numPr>
          <w:ilvl w:val="0"/>
          <w:numId w:val="11"/>
        </w:numPr>
        <w:spacing w:after="0"/>
        <w:rPr>
          <w:rFonts w:asciiTheme="minorHAnsi" w:hAnsiTheme="minorHAnsi" w:cstheme="minorHAnsi"/>
          <w:iCs/>
          <w:sz w:val="24"/>
          <w:szCs w:val="24"/>
        </w:rPr>
      </w:pPr>
      <w:r>
        <w:rPr>
          <w:rFonts w:asciiTheme="minorHAnsi" w:hAnsiTheme="minorHAnsi" w:cstheme="minorHAnsi"/>
          <w:iCs/>
          <w:sz w:val="24"/>
          <w:szCs w:val="24"/>
        </w:rPr>
        <w:t>There needs to be a c</w:t>
      </w:r>
      <w:r w:rsidR="00B3696C" w:rsidRPr="002B65B5">
        <w:rPr>
          <w:rFonts w:asciiTheme="minorHAnsi" w:hAnsiTheme="minorHAnsi" w:cstheme="minorHAnsi"/>
          <w:iCs/>
          <w:sz w:val="24"/>
          <w:szCs w:val="24"/>
        </w:rPr>
        <w:t>ommitment to providing increased guidance and support to implement the Premises Standards</w:t>
      </w:r>
      <w:r>
        <w:rPr>
          <w:rFonts w:asciiTheme="minorHAnsi" w:hAnsiTheme="minorHAnsi" w:cstheme="minorHAnsi"/>
          <w:iCs/>
          <w:sz w:val="24"/>
          <w:szCs w:val="24"/>
        </w:rPr>
        <w:t xml:space="preserve"> </w:t>
      </w:r>
      <w:r w:rsidR="00786E10">
        <w:rPr>
          <w:rFonts w:asciiTheme="minorHAnsi" w:hAnsiTheme="minorHAnsi" w:cstheme="minorHAnsi"/>
          <w:iCs/>
          <w:sz w:val="24"/>
          <w:szCs w:val="24"/>
        </w:rPr>
        <w:t xml:space="preserve">as </w:t>
      </w:r>
      <w:r w:rsidR="00B3696C" w:rsidRPr="002B65B5">
        <w:rPr>
          <w:rFonts w:asciiTheme="minorHAnsi" w:hAnsiTheme="minorHAnsi" w:cstheme="minorHAnsi"/>
          <w:sz w:val="24"/>
          <w:szCs w:val="24"/>
        </w:rPr>
        <w:t>there continues to be significant lack of understanding of the practical application and requirements of the Premises Standards</w:t>
      </w:r>
      <w:r w:rsidR="00786E10">
        <w:rPr>
          <w:rFonts w:asciiTheme="minorHAnsi" w:hAnsiTheme="minorHAnsi" w:cstheme="minorHAnsi"/>
          <w:sz w:val="24"/>
          <w:szCs w:val="24"/>
        </w:rPr>
        <w:t xml:space="preserve"> - i</w:t>
      </w:r>
      <w:r w:rsidR="00B3696C" w:rsidRPr="002B65B5">
        <w:rPr>
          <w:rFonts w:asciiTheme="minorHAnsi" w:hAnsiTheme="minorHAnsi" w:cstheme="minorHAnsi"/>
          <w:sz w:val="24"/>
          <w:szCs w:val="24"/>
        </w:rPr>
        <w:t>t has become increasingly apparent that many concerns and issues raised by people with disability and their representative organisations regarding implementation of the Standards arise from a lack of information and consistency in applying the legislation</w:t>
      </w:r>
      <w:r w:rsidR="00B3696C" w:rsidRPr="002B65B5">
        <w:rPr>
          <w:rFonts w:asciiTheme="minorHAnsi" w:hAnsiTheme="minorHAnsi" w:cstheme="minorHAnsi"/>
          <w:b/>
          <w:color w:val="7030A0"/>
          <w:sz w:val="24"/>
          <w:szCs w:val="24"/>
        </w:rPr>
        <w:t xml:space="preserve">. </w:t>
      </w:r>
      <w:r w:rsidR="00B3696C" w:rsidRPr="002B65B5">
        <w:rPr>
          <w:rFonts w:asciiTheme="minorHAnsi" w:hAnsiTheme="minorHAnsi" w:cstheme="minorHAnsi"/>
          <w:sz w:val="24"/>
          <w:szCs w:val="24"/>
        </w:rPr>
        <w:t xml:space="preserve">The problems in implementing the Premises Standards are not about its objectives and content so much as about the mechanisms put in place </w:t>
      </w:r>
      <w:r w:rsidR="00B3696C" w:rsidRPr="002B65B5">
        <w:rPr>
          <w:rFonts w:asciiTheme="minorHAnsi" w:hAnsiTheme="minorHAnsi" w:cstheme="minorHAnsi"/>
          <w:sz w:val="24"/>
          <w:szCs w:val="24"/>
        </w:rPr>
        <w:lastRenderedPageBreak/>
        <w:t xml:space="preserve">to resolve issues and the lack of flexibility to deal with different situations that arise. </w:t>
      </w:r>
      <w:r w:rsidR="00941DB6">
        <w:rPr>
          <w:rFonts w:asciiTheme="minorHAnsi" w:hAnsiTheme="minorHAnsi" w:cstheme="minorHAnsi"/>
          <w:sz w:val="24"/>
          <w:szCs w:val="24"/>
        </w:rPr>
        <w:t>The Government needs to e</w:t>
      </w:r>
      <w:r w:rsidR="00B3696C" w:rsidRPr="002B65B5">
        <w:rPr>
          <w:rFonts w:asciiTheme="minorHAnsi" w:hAnsiTheme="minorHAnsi" w:cstheme="minorHAnsi"/>
          <w:iCs/>
          <w:sz w:val="24"/>
          <w:szCs w:val="24"/>
        </w:rPr>
        <w:t xml:space="preserve">nsure all future guidelines, publications and materials about the Premises Standards or information regarding the creation of accessible buildings, provide examples of, and make reference to, best practice guidelines in addition to the ‘deemed to satisfy’ criteria. </w:t>
      </w:r>
    </w:p>
    <w:p w14:paraId="401F3CD6" w14:textId="77777777" w:rsidR="00B3696C" w:rsidRPr="002B65B5" w:rsidRDefault="00B3696C" w:rsidP="00B3696C">
      <w:pPr>
        <w:pStyle w:val="ListParagraph"/>
        <w:spacing w:after="0"/>
        <w:rPr>
          <w:rFonts w:asciiTheme="minorHAnsi" w:hAnsiTheme="minorHAnsi" w:cstheme="minorHAnsi"/>
          <w:iCs/>
          <w:sz w:val="24"/>
          <w:szCs w:val="24"/>
        </w:rPr>
      </w:pPr>
    </w:p>
    <w:p w14:paraId="096DC39C" w14:textId="47F00526" w:rsidR="00B3696C" w:rsidRPr="002B65B5" w:rsidRDefault="00B3696C" w:rsidP="00B3696C">
      <w:pPr>
        <w:pStyle w:val="ListParagraph"/>
        <w:numPr>
          <w:ilvl w:val="0"/>
          <w:numId w:val="11"/>
        </w:numPr>
        <w:spacing w:after="0"/>
        <w:rPr>
          <w:rFonts w:asciiTheme="minorHAnsi" w:hAnsiTheme="minorHAnsi" w:cstheme="minorHAnsi"/>
          <w:iCs/>
          <w:sz w:val="24"/>
          <w:szCs w:val="24"/>
        </w:rPr>
      </w:pPr>
      <w:r w:rsidRPr="002B65B5">
        <w:rPr>
          <w:rFonts w:asciiTheme="minorHAnsi" w:hAnsiTheme="minorHAnsi" w:cstheme="minorHAnsi"/>
          <w:sz w:val="24"/>
          <w:szCs w:val="24"/>
        </w:rPr>
        <w:t xml:space="preserve">Ensure continued meaningful engagement with key stakeholders – </w:t>
      </w:r>
      <w:r w:rsidR="00544CF9">
        <w:rPr>
          <w:rFonts w:asciiTheme="minorHAnsi" w:hAnsiTheme="minorHAnsi" w:cstheme="minorHAnsi"/>
          <w:sz w:val="24"/>
          <w:szCs w:val="24"/>
        </w:rPr>
        <w:t xml:space="preserve">we </w:t>
      </w:r>
      <w:r w:rsidRPr="002B65B5">
        <w:rPr>
          <w:rFonts w:asciiTheme="minorHAnsi" w:hAnsiTheme="minorHAnsi" w:cstheme="minorHAnsi"/>
          <w:sz w:val="24"/>
          <w:szCs w:val="24"/>
        </w:rPr>
        <w:t xml:space="preserve">support the ongoing operation of an </w:t>
      </w:r>
      <w:r w:rsidR="00544CF9">
        <w:rPr>
          <w:rFonts w:asciiTheme="minorHAnsi" w:hAnsiTheme="minorHAnsi" w:cstheme="minorHAnsi"/>
          <w:sz w:val="24"/>
          <w:szCs w:val="24"/>
        </w:rPr>
        <w:t>E</w:t>
      </w:r>
      <w:r w:rsidRPr="002B65B5">
        <w:rPr>
          <w:rFonts w:asciiTheme="minorHAnsi" w:hAnsiTheme="minorHAnsi" w:cstheme="minorHAnsi"/>
          <w:sz w:val="24"/>
          <w:szCs w:val="24"/>
        </w:rPr>
        <w:t xml:space="preserve">xpert </w:t>
      </w:r>
      <w:r w:rsidR="00544CF9">
        <w:rPr>
          <w:rFonts w:asciiTheme="minorHAnsi" w:hAnsiTheme="minorHAnsi" w:cstheme="minorHAnsi"/>
          <w:sz w:val="24"/>
          <w:szCs w:val="24"/>
        </w:rPr>
        <w:t>A</w:t>
      </w:r>
      <w:r w:rsidRPr="002B65B5">
        <w:rPr>
          <w:rFonts w:asciiTheme="minorHAnsi" w:hAnsiTheme="minorHAnsi" w:cstheme="minorHAnsi"/>
          <w:sz w:val="24"/>
          <w:szCs w:val="24"/>
        </w:rPr>
        <w:t xml:space="preserve">dvisory </w:t>
      </w:r>
      <w:r w:rsidR="00544CF9">
        <w:rPr>
          <w:rFonts w:asciiTheme="minorHAnsi" w:hAnsiTheme="minorHAnsi" w:cstheme="minorHAnsi"/>
          <w:sz w:val="24"/>
          <w:szCs w:val="24"/>
        </w:rPr>
        <w:t>G</w:t>
      </w:r>
      <w:r w:rsidRPr="002B65B5">
        <w:rPr>
          <w:rFonts w:asciiTheme="minorHAnsi" w:hAnsiTheme="minorHAnsi" w:cstheme="minorHAnsi"/>
          <w:sz w:val="24"/>
          <w:szCs w:val="24"/>
        </w:rPr>
        <w:t>roup to facilitate ongoing discussion and to provide guidance on any recommendations that come out of the second review of the Premises</w:t>
      </w:r>
      <w:r w:rsidRPr="00684FBD">
        <w:rPr>
          <w:rFonts w:ascii="Arial" w:hAnsi="Arial" w:cs="Arial"/>
          <w:sz w:val="24"/>
          <w:szCs w:val="24"/>
        </w:rPr>
        <w:t xml:space="preserve"> </w:t>
      </w:r>
      <w:r w:rsidRPr="002B65B5">
        <w:rPr>
          <w:rFonts w:asciiTheme="minorHAnsi" w:hAnsiTheme="minorHAnsi" w:cstheme="minorHAnsi"/>
          <w:sz w:val="24"/>
          <w:szCs w:val="24"/>
        </w:rPr>
        <w:t>Standards. Utili</w:t>
      </w:r>
      <w:r w:rsidR="005B32A5">
        <w:rPr>
          <w:rFonts w:asciiTheme="minorHAnsi" w:hAnsiTheme="minorHAnsi" w:cstheme="minorHAnsi"/>
          <w:sz w:val="24"/>
          <w:szCs w:val="24"/>
        </w:rPr>
        <w:t>s</w:t>
      </w:r>
      <w:r w:rsidRPr="002B65B5">
        <w:rPr>
          <w:rFonts w:asciiTheme="minorHAnsi" w:hAnsiTheme="minorHAnsi" w:cstheme="minorHAnsi"/>
          <w:sz w:val="24"/>
          <w:szCs w:val="24"/>
        </w:rPr>
        <w:t>ing such a group is an accessible and effective approach for many people with disability and their representative organisations as it provides an opportunity to meet with other key stakeholders and work through issues in an open forum, with guidance from those with technical expertise. Furthermore, it is a pragmatic approach to addressing differences of opinion in cases of limited data to provide informed and considered answers.</w:t>
      </w:r>
      <w:r w:rsidRPr="002B65B5">
        <w:rPr>
          <w:rFonts w:asciiTheme="minorHAnsi" w:hAnsiTheme="minorHAnsi" w:cstheme="minorHAnsi"/>
          <w:sz w:val="24"/>
          <w:szCs w:val="24"/>
        </w:rPr>
        <w:br/>
      </w:r>
    </w:p>
    <w:p w14:paraId="52F5FC01" w14:textId="79C7C5C0" w:rsidR="00B3696C" w:rsidRPr="004757F2" w:rsidRDefault="00B3696C" w:rsidP="00B3696C">
      <w:pPr>
        <w:pStyle w:val="ListParagraph"/>
        <w:numPr>
          <w:ilvl w:val="0"/>
          <w:numId w:val="11"/>
        </w:numPr>
        <w:spacing w:after="0"/>
        <w:rPr>
          <w:rFonts w:asciiTheme="minorHAnsi" w:hAnsiTheme="minorHAnsi" w:cstheme="minorHAnsi"/>
          <w:b/>
          <w:bCs/>
          <w:sz w:val="28"/>
          <w:szCs w:val="28"/>
        </w:rPr>
      </w:pPr>
      <w:r w:rsidRPr="002B65B5">
        <w:rPr>
          <w:rFonts w:asciiTheme="minorHAnsi" w:hAnsiTheme="minorHAnsi" w:cstheme="minorHAnsi"/>
          <w:iCs/>
          <w:sz w:val="24"/>
          <w:szCs w:val="24"/>
        </w:rPr>
        <w:t xml:space="preserve">Ensure opportunity for meaningful input from people with disability and their representative organisations into current and future reviews - </w:t>
      </w:r>
      <w:r w:rsidRPr="002B65B5">
        <w:rPr>
          <w:rFonts w:asciiTheme="minorHAnsi" w:hAnsiTheme="minorHAnsi" w:cstheme="minorHAnsi"/>
          <w:sz w:val="24"/>
          <w:szCs w:val="24"/>
        </w:rPr>
        <w:t>people with disability have the right under Article 4 of the Convention on the Rights of Persons with Disabilities (CRPD) to be closely consulted with and actively involved in the ‘development and implementation of legislation and policies… and in other decision-making processes concerning issues relation to persons with disabilities’</w:t>
      </w:r>
      <w:r w:rsidRPr="002B65B5">
        <w:rPr>
          <w:rStyle w:val="FootnoteReference"/>
          <w:rFonts w:asciiTheme="minorHAnsi" w:hAnsiTheme="minorHAnsi" w:cstheme="minorHAnsi"/>
          <w:sz w:val="24"/>
          <w:szCs w:val="24"/>
        </w:rPr>
        <w:footnoteReference w:id="1"/>
      </w:r>
      <w:r w:rsidRPr="002B65B5">
        <w:rPr>
          <w:rFonts w:asciiTheme="minorHAnsi" w:hAnsiTheme="minorHAnsi" w:cstheme="minorHAnsi"/>
          <w:sz w:val="24"/>
          <w:szCs w:val="24"/>
        </w:rPr>
        <w:t>. This obligation is also reflected as a core principle of the National Disability Strategy (NDS), which requires that people with disability are central to the evaluation of policies, programs and services which impact on their lives</w:t>
      </w:r>
      <w:r w:rsidRPr="002B65B5">
        <w:rPr>
          <w:rStyle w:val="FootnoteReference"/>
          <w:rFonts w:asciiTheme="minorHAnsi" w:hAnsiTheme="minorHAnsi" w:cstheme="minorHAnsi"/>
          <w:sz w:val="24"/>
          <w:szCs w:val="24"/>
        </w:rPr>
        <w:footnoteReference w:id="2"/>
      </w:r>
      <w:r w:rsidRPr="002B65B5">
        <w:rPr>
          <w:rFonts w:asciiTheme="minorHAnsi" w:hAnsiTheme="minorHAnsi" w:cstheme="minorHAnsi"/>
          <w:sz w:val="24"/>
          <w:szCs w:val="24"/>
        </w:rPr>
        <w:t xml:space="preserve">. Consequently, this review should seek to maximise input by people with disability as it is an invaluable opportunity to gain insight into the functional needs and accessibility requirements needed by people with disability. </w:t>
      </w:r>
    </w:p>
    <w:p w14:paraId="7FFA4232" w14:textId="75360C40" w:rsidR="004757F2" w:rsidRDefault="004757F2" w:rsidP="004757F2">
      <w:pPr>
        <w:spacing w:after="0"/>
        <w:rPr>
          <w:rFonts w:asciiTheme="minorHAnsi" w:hAnsiTheme="minorHAnsi" w:cstheme="minorHAnsi"/>
          <w:b/>
          <w:bCs/>
          <w:sz w:val="28"/>
          <w:szCs w:val="28"/>
        </w:rPr>
      </w:pPr>
    </w:p>
    <w:p w14:paraId="3580E36B" w14:textId="2CA15691" w:rsidR="004757F2" w:rsidRDefault="004757F2" w:rsidP="004757F2">
      <w:pPr>
        <w:spacing w:after="0"/>
        <w:rPr>
          <w:rFonts w:asciiTheme="minorHAnsi" w:hAnsiTheme="minorHAnsi" w:cstheme="minorHAnsi"/>
          <w:b/>
          <w:bCs/>
          <w:sz w:val="28"/>
          <w:szCs w:val="28"/>
        </w:rPr>
      </w:pPr>
    </w:p>
    <w:p w14:paraId="4482B239" w14:textId="64FBFB5D" w:rsidR="004757F2" w:rsidRDefault="004757F2" w:rsidP="004757F2">
      <w:pPr>
        <w:spacing w:after="0"/>
        <w:rPr>
          <w:rFonts w:asciiTheme="minorHAnsi" w:hAnsiTheme="minorHAnsi" w:cstheme="minorHAnsi"/>
          <w:b/>
          <w:bCs/>
          <w:sz w:val="28"/>
          <w:szCs w:val="28"/>
        </w:rPr>
      </w:pPr>
    </w:p>
    <w:p w14:paraId="31E703A4" w14:textId="77777777" w:rsidR="004757F2" w:rsidRPr="004757F2" w:rsidRDefault="004757F2" w:rsidP="004757F2">
      <w:pPr>
        <w:spacing w:after="0"/>
        <w:rPr>
          <w:rFonts w:asciiTheme="minorHAnsi" w:hAnsiTheme="minorHAnsi" w:cstheme="minorHAnsi"/>
          <w:b/>
          <w:bCs/>
          <w:sz w:val="28"/>
          <w:szCs w:val="28"/>
        </w:rPr>
      </w:pPr>
    </w:p>
    <w:p w14:paraId="36C3443B" w14:textId="77777777" w:rsidR="007E207D" w:rsidRPr="00270D0F" w:rsidRDefault="007E207D" w:rsidP="007E207D">
      <w:pPr>
        <w:spacing w:after="0"/>
        <w:ind w:left="567" w:hanging="567"/>
        <w:rPr>
          <w:rFonts w:cs="Arial"/>
        </w:rPr>
      </w:pPr>
    </w:p>
    <w:p w14:paraId="6FC2EDB8" w14:textId="7F28ABFC" w:rsidR="00BD520E" w:rsidRPr="005629B0" w:rsidRDefault="00DD3316" w:rsidP="00BD520E">
      <w:pPr>
        <w:pStyle w:val="Heading1"/>
        <w:ind w:hanging="720"/>
      </w:pPr>
      <w:r>
        <w:lastRenderedPageBreak/>
        <w:t xml:space="preserve">Specific Comments Relating to the Content, Scope and Implementation of the Premises Standards </w:t>
      </w:r>
    </w:p>
    <w:p w14:paraId="24269352" w14:textId="77777777" w:rsidR="00BD520E" w:rsidRPr="005629B0" w:rsidRDefault="00BD520E" w:rsidP="00BD520E">
      <w:pPr>
        <w:pBdr>
          <w:bottom w:val="single" w:sz="12" w:space="1" w:color="auto"/>
        </w:pBdr>
        <w:jc w:val="right"/>
        <w:rPr>
          <w:sz w:val="16"/>
          <w:szCs w:val="16"/>
        </w:rPr>
      </w:pPr>
    </w:p>
    <w:p w14:paraId="22064B5B" w14:textId="09820743" w:rsidR="00CB7598" w:rsidRPr="005104A7" w:rsidRDefault="003D0743" w:rsidP="00CB7598">
      <w:pPr>
        <w:pStyle w:val="Heading2"/>
      </w:pPr>
      <w:r>
        <w:t xml:space="preserve">4.1 </w:t>
      </w:r>
      <w:r w:rsidR="00CB7598" w:rsidRPr="005104A7">
        <w:t>New buildings</w:t>
      </w:r>
    </w:p>
    <w:p w14:paraId="6DB7654B" w14:textId="77777777" w:rsidR="007C530B" w:rsidRDefault="007C530B" w:rsidP="00CB7598">
      <w:pPr>
        <w:spacing w:after="0"/>
        <w:rPr>
          <w:rFonts w:cs="Arial"/>
        </w:rPr>
      </w:pPr>
    </w:p>
    <w:p w14:paraId="66859A1A" w14:textId="35F5D9A8" w:rsidR="00CB7598" w:rsidRPr="002B65B5" w:rsidRDefault="00CB7598" w:rsidP="00CB7598">
      <w:pPr>
        <w:spacing w:after="0"/>
        <w:rPr>
          <w:rFonts w:cs="Arial"/>
          <w:sz w:val="24"/>
          <w:szCs w:val="24"/>
        </w:rPr>
      </w:pPr>
      <w:r w:rsidRPr="002B65B5">
        <w:rPr>
          <w:rFonts w:cs="Arial"/>
          <w:sz w:val="24"/>
          <w:szCs w:val="24"/>
        </w:rPr>
        <w:t xml:space="preserve">In general, the introduction of the Premises Standards has significantly improved the opportunity for many people with disability to enter, move around in and use the facilities and services </w:t>
      </w:r>
      <w:r w:rsidR="00544CF9">
        <w:rPr>
          <w:rFonts w:cs="Arial"/>
          <w:sz w:val="24"/>
          <w:szCs w:val="24"/>
        </w:rPr>
        <w:t xml:space="preserve">available </w:t>
      </w:r>
      <w:r w:rsidRPr="002B65B5">
        <w:rPr>
          <w:rFonts w:cs="Arial"/>
          <w:sz w:val="24"/>
          <w:szCs w:val="24"/>
        </w:rPr>
        <w:t xml:space="preserve">in </w:t>
      </w:r>
      <w:r w:rsidRPr="007B5CEC">
        <w:rPr>
          <w:rFonts w:cs="Arial"/>
          <w:sz w:val="24"/>
          <w:szCs w:val="24"/>
        </w:rPr>
        <w:t>new</w:t>
      </w:r>
      <w:r w:rsidRPr="002B65B5">
        <w:rPr>
          <w:rFonts w:cs="Arial"/>
          <w:sz w:val="24"/>
          <w:szCs w:val="24"/>
        </w:rPr>
        <w:t xml:space="preserve"> buildings. Over time this will improve opportunities for people with disability to engage in the social, economic, cultural and political life of the community and give people with disability confidence they can enjoy equitable access within the community.</w:t>
      </w:r>
    </w:p>
    <w:p w14:paraId="2E75D28E" w14:textId="77777777" w:rsidR="00CB7598" w:rsidRPr="002B65B5" w:rsidRDefault="00CB7598" w:rsidP="00CB7598">
      <w:pPr>
        <w:spacing w:after="0"/>
        <w:rPr>
          <w:rFonts w:cs="Arial"/>
          <w:sz w:val="24"/>
          <w:szCs w:val="24"/>
        </w:rPr>
      </w:pPr>
    </w:p>
    <w:p w14:paraId="791B55C4" w14:textId="5F6A365C" w:rsidR="00CB7598" w:rsidRPr="002B65B5" w:rsidRDefault="00CB7598" w:rsidP="00CB7598">
      <w:pPr>
        <w:spacing w:after="0"/>
        <w:rPr>
          <w:rFonts w:cs="Arial"/>
          <w:sz w:val="24"/>
          <w:szCs w:val="24"/>
        </w:rPr>
      </w:pPr>
      <w:r w:rsidRPr="002B65B5">
        <w:rPr>
          <w:rFonts w:cs="Arial"/>
          <w:sz w:val="24"/>
          <w:szCs w:val="24"/>
        </w:rPr>
        <w:t>There are, however, a number of limitations and failures in relation to improvements in new buildings including:</w:t>
      </w:r>
    </w:p>
    <w:p w14:paraId="28B64BA5" w14:textId="77777777" w:rsidR="00CB7598" w:rsidRPr="002B65B5" w:rsidRDefault="00CB7598" w:rsidP="00CB7598">
      <w:pPr>
        <w:spacing w:after="0"/>
        <w:rPr>
          <w:rFonts w:asciiTheme="minorHAnsi" w:hAnsiTheme="minorHAnsi" w:cstheme="minorHAnsi"/>
          <w:sz w:val="24"/>
          <w:szCs w:val="24"/>
        </w:rPr>
      </w:pPr>
    </w:p>
    <w:p w14:paraId="0D56D201" w14:textId="200D1EA9" w:rsidR="00CB7598" w:rsidRPr="000C1698" w:rsidRDefault="00CB7598" w:rsidP="0030130B">
      <w:pPr>
        <w:pStyle w:val="ListParagraph"/>
        <w:numPr>
          <w:ilvl w:val="0"/>
          <w:numId w:val="15"/>
        </w:numPr>
        <w:spacing w:after="0"/>
        <w:rPr>
          <w:rFonts w:asciiTheme="minorHAnsi" w:hAnsiTheme="minorHAnsi" w:cstheme="minorHAnsi"/>
          <w:sz w:val="24"/>
          <w:szCs w:val="24"/>
        </w:rPr>
      </w:pPr>
      <w:r w:rsidRPr="000C1698">
        <w:rPr>
          <w:rFonts w:asciiTheme="minorHAnsi" w:hAnsiTheme="minorHAnsi" w:cstheme="minorHAnsi"/>
          <w:sz w:val="24"/>
          <w:szCs w:val="24"/>
        </w:rPr>
        <w:t>Despite clear obligations and associated technical specification</w:t>
      </w:r>
      <w:r w:rsidR="00544CF9">
        <w:rPr>
          <w:rFonts w:asciiTheme="minorHAnsi" w:hAnsiTheme="minorHAnsi" w:cstheme="minorHAnsi"/>
          <w:sz w:val="24"/>
          <w:szCs w:val="24"/>
        </w:rPr>
        <w:t xml:space="preserve"> material</w:t>
      </w:r>
      <w:r w:rsidRPr="000C1698">
        <w:rPr>
          <w:rFonts w:asciiTheme="minorHAnsi" w:hAnsiTheme="minorHAnsi" w:cstheme="minorHAnsi"/>
          <w:sz w:val="24"/>
          <w:szCs w:val="24"/>
        </w:rPr>
        <w:t xml:space="preserve"> designers and builders regularly misinterpret or mis-apply the technical requirements. This may be minor non-compliances in relation to circulation space around doors, grabrails located too high, soap dispensers located too close to an inner corner, tactile ground surface indicators with less than minimum luminance contrast or glazing decals that do not ensure safe movement around a building. Many of these issues might be considered minor, but they will affect the amenity and safety of a building for some people and all constitute non-compliance. Addressing this non-compliance requires an investment in new guidance material, targeted training around areas of common non-compliance and the use, in each building control jurisdiction, of their power to selectively audit new developments to identify common non-compliance issues. Most important would be the establishment of a centre for access excellence such as the Access Board</w:t>
      </w:r>
      <w:r w:rsidR="005F1A2D">
        <w:rPr>
          <w:rStyle w:val="FootnoteReference"/>
          <w:rFonts w:asciiTheme="minorHAnsi" w:hAnsiTheme="minorHAnsi" w:cstheme="minorHAnsi"/>
          <w:sz w:val="24"/>
          <w:szCs w:val="24"/>
        </w:rPr>
        <w:footnoteReference w:id="3"/>
      </w:r>
      <w:r w:rsidRPr="000C1698">
        <w:rPr>
          <w:rFonts w:asciiTheme="minorHAnsi" w:hAnsiTheme="minorHAnsi" w:cstheme="minorHAnsi"/>
          <w:sz w:val="24"/>
          <w:szCs w:val="24"/>
        </w:rPr>
        <w:t xml:space="preserve"> in </w:t>
      </w:r>
      <w:r w:rsidR="00544CF9">
        <w:rPr>
          <w:rFonts w:asciiTheme="minorHAnsi" w:hAnsiTheme="minorHAnsi" w:cstheme="minorHAnsi"/>
          <w:sz w:val="24"/>
          <w:szCs w:val="24"/>
        </w:rPr>
        <w:t xml:space="preserve">the </w:t>
      </w:r>
      <w:r w:rsidRPr="000C1698">
        <w:rPr>
          <w:rFonts w:asciiTheme="minorHAnsi" w:hAnsiTheme="minorHAnsi" w:cstheme="minorHAnsi"/>
          <w:sz w:val="24"/>
          <w:szCs w:val="24"/>
        </w:rPr>
        <w:t>US or the Centre for Excellence in Universal Design</w:t>
      </w:r>
      <w:r w:rsidR="005F1A2D">
        <w:rPr>
          <w:rStyle w:val="FootnoteReference"/>
          <w:rFonts w:asciiTheme="minorHAnsi" w:hAnsiTheme="minorHAnsi" w:cstheme="minorHAnsi"/>
          <w:sz w:val="24"/>
          <w:szCs w:val="24"/>
        </w:rPr>
        <w:footnoteReference w:id="4"/>
      </w:r>
      <w:r w:rsidRPr="000C1698">
        <w:rPr>
          <w:rFonts w:asciiTheme="minorHAnsi" w:hAnsiTheme="minorHAnsi" w:cstheme="minorHAnsi"/>
          <w:sz w:val="24"/>
          <w:szCs w:val="24"/>
        </w:rPr>
        <w:t xml:space="preserve"> in Ireland.</w:t>
      </w:r>
    </w:p>
    <w:p w14:paraId="56C325F0" w14:textId="77777777" w:rsidR="00CB7598" w:rsidRPr="002B65B5" w:rsidRDefault="00CB7598" w:rsidP="00CB7598">
      <w:pPr>
        <w:pStyle w:val="ListParagraph"/>
        <w:spacing w:after="0"/>
        <w:rPr>
          <w:rFonts w:asciiTheme="minorHAnsi" w:hAnsiTheme="minorHAnsi" w:cstheme="minorHAnsi"/>
          <w:sz w:val="24"/>
          <w:szCs w:val="24"/>
        </w:rPr>
      </w:pPr>
    </w:p>
    <w:p w14:paraId="17933D29" w14:textId="1098CB2C" w:rsidR="00CB7598" w:rsidRPr="002B65B5" w:rsidRDefault="00CB7598" w:rsidP="00CB7598">
      <w:pPr>
        <w:pStyle w:val="ListParagraph"/>
        <w:numPr>
          <w:ilvl w:val="0"/>
          <w:numId w:val="13"/>
        </w:numPr>
        <w:spacing w:after="0"/>
        <w:rPr>
          <w:rFonts w:asciiTheme="minorHAnsi" w:hAnsiTheme="minorHAnsi" w:cstheme="minorHAnsi"/>
          <w:sz w:val="24"/>
          <w:szCs w:val="24"/>
        </w:rPr>
      </w:pPr>
      <w:r w:rsidRPr="002B65B5">
        <w:rPr>
          <w:rFonts w:asciiTheme="minorHAnsi" w:hAnsiTheme="minorHAnsi" w:cstheme="minorHAnsi"/>
          <w:sz w:val="24"/>
          <w:szCs w:val="24"/>
        </w:rPr>
        <w:t xml:space="preserve">While the content and scope of the Premises Standards </w:t>
      </w:r>
      <w:r w:rsidR="00544CF9">
        <w:rPr>
          <w:rFonts w:asciiTheme="minorHAnsi" w:hAnsiTheme="minorHAnsi" w:cstheme="minorHAnsi"/>
          <w:sz w:val="24"/>
          <w:szCs w:val="24"/>
        </w:rPr>
        <w:t xml:space="preserve">under section 23 of the DDA </w:t>
      </w:r>
      <w:r w:rsidRPr="002B65B5">
        <w:rPr>
          <w:rFonts w:asciiTheme="minorHAnsi" w:hAnsiTheme="minorHAnsi" w:cstheme="minorHAnsi"/>
          <w:sz w:val="24"/>
          <w:szCs w:val="24"/>
        </w:rPr>
        <w:t>could be very wide</w:t>
      </w:r>
      <w:r w:rsidR="00417B2D">
        <w:rPr>
          <w:rFonts w:asciiTheme="minorHAnsi" w:hAnsiTheme="minorHAnsi" w:cstheme="minorHAnsi"/>
          <w:sz w:val="24"/>
          <w:szCs w:val="24"/>
        </w:rPr>
        <w:t>,</w:t>
      </w:r>
      <w:r w:rsidRPr="002B65B5">
        <w:rPr>
          <w:rFonts w:asciiTheme="minorHAnsi" w:hAnsiTheme="minorHAnsi" w:cstheme="minorHAnsi"/>
          <w:sz w:val="24"/>
          <w:szCs w:val="24"/>
        </w:rPr>
        <w:t xml:space="preserve"> the </w:t>
      </w:r>
      <w:r w:rsidR="00544CF9">
        <w:rPr>
          <w:rFonts w:asciiTheme="minorHAnsi" w:hAnsiTheme="minorHAnsi" w:cstheme="minorHAnsi"/>
          <w:sz w:val="24"/>
          <w:szCs w:val="24"/>
        </w:rPr>
        <w:t>scope is</w:t>
      </w:r>
      <w:r w:rsidRPr="002B65B5">
        <w:rPr>
          <w:rFonts w:asciiTheme="minorHAnsi" w:hAnsiTheme="minorHAnsi" w:cstheme="minorHAnsi"/>
          <w:sz w:val="24"/>
          <w:szCs w:val="24"/>
        </w:rPr>
        <w:t xml:space="preserve"> limited to</w:t>
      </w:r>
      <w:r w:rsidR="00417B2D">
        <w:rPr>
          <w:rFonts w:asciiTheme="minorHAnsi" w:hAnsiTheme="minorHAnsi" w:cstheme="minorHAnsi"/>
          <w:sz w:val="24"/>
          <w:szCs w:val="24"/>
        </w:rPr>
        <w:t>,</w:t>
      </w:r>
      <w:r w:rsidRPr="002B65B5">
        <w:rPr>
          <w:rFonts w:asciiTheme="minorHAnsi" w:hAnsiTheme="minorHAnsi" w:cstheme="minorHAnsi"/>
          <w:sz w:val="24"/>
          <w:szCs w:val="24"/>
        </w:rPr>
        <w:t xml:space="preserve"> </w:t>
      </w:r>
      <w:r w:rsidR="00544CF9">
        <w:rPr>
          <w:rFonts w:asciiTheme="minorHAnsi" w:hAnsiTheme="minorHAnsi" w:cstheme="minorHAnsi"/>
          <w:sz w:val="24"/>
          <w:szCs w:val="24"/>
        </w:rPr>
        <w:t>and reflects</w:t>
      </w:r>
      <w:r w:rsidR="00417B2D">
        <w:rPr>
          <w:rFonts w:asciiTheme="minorHAnsi" w:hAnsiTheme="minorHAnsi" w:cstheme="minorHAnsi"/>
          <w:sz w:val="24"/>
          <w:szCs w:val="24"/>
        </w:rPr>
        <w:t>,</w:t>
      </w:r>
      <w:r w:rsidR="00544CF9">
        <w:rPr>
          <w:rFonts w:asciiTheme="minorHAnsi" w:hAnsiTheme="minorHAnsi" w:cstheme="minorHAnsi"/>
          <w:sz w:val="24"/>
          <w:szCs w:val="24"/>
        </w:rPr>
        <w:t xml:space="preserve"> </w:t>
      </w:r>
      <w:r w:rsidRPr="002B65B5">
        <w:rPr>
          <w:rFonts w:asciiTheme="minorHAnsi" w:hAnsiTheme="minorHAnsi" w:cstheme="minorHAnsi"/>
          <w:sz w:val="24"/>
          <w:szCs w:val="24"/>
        </w:rPr>
        <w:t>the scope of the National Construction Code</w:t>
      </w:r>
      <w:r w:rsidR="005F1A2D">
        <w:rPr>
          <w:rFonts w:asciiTheme="minorHAnsi" w:hAnsiTheme="minorHAnsi" w:cstheme="minorHAnsi"/>
          <w:sz w:val="24"/>
          <w:szCs w:val="24"/>
        </w:rPr>
        <w:t xml:space="preserve"> (NCC)</w:t>
      </w:r>
      <w:r w:rsidRPr="002B65B5">
        <w:rPr>
          <w:rFonts w:asciiTheme="minorHAnsi" w:hAnsiTheme="minorHAnsi" w:cstheme="minorHAnsi"/>
          <w:sz w:val="24"/>
          <w:szCs w:val="24"/>
        </w:rPr>
        <w:t xml:space="preserve"> </w:t>
      </w:r>
      <w:r w:rsidR="00544CF9">
        <w:rPr>
          <w:rFonts w:asciiTheme="minorHAnsi" w:hAnsiTheme="minorHAnsi" w:cstheme="minorHAnsi"/>
          <w:sz w:val="24"/>
          <w:szCs w:val="24"/>
        </w:rPr>
        <w:t>which</w:t>
      </w:r>
      <w:r w:rsidR="00544CF9" w:rsidRPr="002B65B5">
        <w:rPr>
          <w:rFonts w:asciiTheme="minorHAnsi" w:hAnsiTheme="minorHAnsi" w:cstheme="minorHAnsi"/>
          <w:sz w:val="24"/>
          <w:szCs w:val="24"/>
        </w:rPr>
        <w:t xml:space="preserve"> </w:t>
      </w:r>
      <w:r w:rsidRPr="002B65B5">
        <w:rPr>
          <w:rFonts w:asciiTheme="minorHAnsi" w:hAnsiTheme="minorHAnsi" w:cstheme="minorHAnsi"/>
          <w:sz w:val="24"/>
          <w:szCs w:val="24"/>
        </w:rPr>
        <w:t>focus</w:t>
      </w:r>
      <w:r w:rsidR="00544CF9">
        <w:rPr>
          <w:rFonts w:asciiTheme="minorHAnsi" w:hAnsiTheme="minorHAnsi" w:cstheme="minorHAnsi"/>
          <w:sz w:val="24"/>
          <w:szCs w:val="24"/>
        </w:rPr>
        <w:t>es largely</w:t>
      </w:r>
      <w:r w:rsidRPr="002B65B5">
        <w:rPr>
          <w:rFonts w:asciiTheme="minorHAnsi" w:hAnsiTheme="minorHAnsi" w:cstheme="minorHAnsi"/>
          <w:sz w:val="24"/>
          <w:szCs w:val="24"/>
        </w:rPr>
        <w:t xml:space="preserve"> on access for people with mobility disability. There is little, or in many cases nothing in the Premises Standards to address broader access issues, such as for people with chemical sensitivity, people who are blind or deaf, people who are neuro-diverse and people with cognitive disability. Limiting the scope of the Premises Standards to that of the NCC was understood by the disability community to be a reasonable starting point when the Premises Standards were being negotiated, however, ten years on it is </w:t>
      </w:r>
      <w:r w:rsidRPr="002B65B5">
        <w:rPr>
          <w:rFonts w:asciiTheme="minorHAnsi" w:hAnsiTheme="minorHAnsi" w:cstheme="minorHAnsi"/>
          <w:sz w:val="24"/>
          <w:szCs w:val="24"/>
        </w:rPr>
        <w:lastRenderedPageBreak/>
        <w:t>time to re-visit this approach. For example, buildings that serve important community functions such as sports stadiums, airports, theatres and swimming complexes could provide quiet spaces or rooms for people who are neuro-diverse or who have psycho-social disability.</w:t>
      </w:r>
    </w:p>
    <w:p w14:paraId="069E00A0" w14:textId="77777777" w:rsidR="00CB7598" w:rsidRPr="002B65B5" w:rsidRDefault="00CB7598" w:rsidP="00CB7598">
      <w:pPr>
        <w:pStyle w:val="ListParagraph"/>
        <w:spacing w:after="0"/>
        <w:rPr>
          <w:rFonts w:asciiTheme="minorHAnsi" w:hAnsiTheme="minorHAnsi" w:cstheme="minorHAnsi"/>
          <w:sz w:val="24"/>
          <w:szCs w:val="24"/>
        </w:rPr>
      </w:pPr>
    </w:p>
    <w:p w14:paraId="768AAC79" w14:textId="2A04BFB0" w:rsidR="00CB7598" w:rsidRPr="002B65B5" w:rsidRDefault="00CB7598" w:rsidP="00CB7598">
      <w:pPr>
        <w:pStyle w:val="ListParagraph"/>
        <w:numPr>
          <w:ilvl w:val="0"/>
          <w:numId w:val="13"/>
        </w:numPr>
        <w:spacing w:after="0"/>
        <w:rPr>
          <w:rFonts w:asciiTheme="minorHAnsi" w:hAnsiTheme="minorHAnsi" w:cstheme="minorHAnsi"/>
          <w:sz w:val="24"/>
          <w:szCs w:val="24"/>
        </w:rPr>
      </w:pPr>
      <w:r w:rsidRPr="002B65B5">
        <w:rPr>
          <w:rFonts w:asciiTheme="minorHAnsi" w:hAnsiTheme="minorHAnsi" w:cstheme="minorHAnsi"/>
          <w:sz w:val="24"/>
          <w:szCs w:val="24"/>
        </w:rPr>
        <w:t xml:space="preserve">Wayfinding for people with vision impairment or cognitive disability is almost non-existent in the Premises Standards and needs to be </w:t>
      </w:r>
      <w:r w:rsidR="00544CF9">
        <w:rPr>
          <w:rFonts w:asciiTheme="minorHAnsi" w:hAnsiTheme="minorHAnsi" w:cstheme="minorHAnsi"/>
          <w:sz w:val="24"/>
          <w:szCs w:val="24"/>
        </w:rPr>
        <w:t xml:space="preserve">more </w:t>
      </w:r>
      <w:r w:rsidRPr="002B65B5">
        <w:rPr>
          <w:rFonts w:asciiTheme="minorHAnsi" w:hAnsiTheme="minorHAnsi" w:cstheme="minorHAnsi"/>
          <w:sz w:val="24"/>
          <w:szCs w:val="24"/>
        </w:rPr>
        <w:t xml:space="preserve">thoroughly addressed. Doing this may well result in some tension between designers and developers in terms of the use of </w:t>
      </w:r>
      <w:r w:rsidR="00DC6DC1">
        <w:rPr>
          <w:rFonts w:asciiTheme="minorHAnsi" w:hAnsiTheme="minorHAnsi" w:cstheme="minorHAnsi"/>
          <w:sz w:val="24"/>
          <w:szCs w:val="24"/>
        </w:rPr>
        <w:t xml:space="preserve">prescribed design solutions such as </w:t>
      </w:r>
      <w:r w:rsidRPr="002B65B5">
        <w:rPr>
          <w:rFonts w:asciiTheme="minorHAnsi" w:hAnsiTheme="minorHAnsi" w:cstheme="minorHAnsi"/>
          <w:sz w:val="24"/>
          <w:szCs w:val="24"/>
        </w:rPr>
        <w:t>luminous and tactile cues, but alternatives to traditional approaches such as tactile ground surface indicators and the use of wayfinding apps</w:t>
      </w:r>
      <w:r w:rsidR="003015BD">
        <w:rPr>
          <w:rFonts w:asciiTheme="minorHAnsi" w:hAnsiTheme="minorHAnsi" w:cstheme="minorHAnsi"/>
          <w:sz w:val="24"/>
          <w:szCs w:val="24"/>
        </w:rPr>
        <w:t>,</w:t>
      </w:r>
      <w:r w:rsidRPr="002B65B5">
        <w:rPr>
          <w:rFonts w:asciiTheme="minorHAnsi" w:hAnsiTheme="minorHAnsi" w:cstheme="minorHAnsi"/>
          <w:sz w:val="24"/>
          <w:szCs w:val="24"/>
        </w:rPr>
        <w:t xml:space="preserve"> need to be pursued further.</w:t>
      </w:r>
    </w:p>
    <w:p w14:paraId="4107A08F" w14:textId="77777777" w:rsidR="00CB7598" w:rsidRPr="002B65B5" w:rsidRDefault="00CB7598" w:rsidP="00CB7598">
      <w:pPr>
        <w:pStyle w:val="ListParagraph"/>
        <w:rPr>
          <w:rFonts w:asciiTheme="minorHAnsi" w:hAnsiTheme="minorHAnsi" w:cstheme="minorHAnsi"/>
          <w:sz w:val="24"/>
          <w:szCs w:val="24"/>
        </w:rPr>
      </w:pPr>
    </w:p>
    <w:p w14:paraId="5CA75880" w14:textId="6584E1FD" w:rsidR="00CB7598" w:rsidRPr="002B65B5" w:rsidRDefault="00CB7598" w:rsidP="00CB7598">
      <w:pPr>
        <w:pStyle w:val="ListParagraph"/>
        <w:numPr>
          <w:ilvl w:val="0"/>
          <w:numId w:val="13"/>
        </w:numPr>
        <w:spacing w:after="0"/>
        <w:rPr>
          <w:rFonts w:asciiTheme="minorHAnsi" w:hAnsiTheme="minorHAnsi" w:cstheme="minorHAnsi"/>
          <w:sz w:val="24"/>
          <w:szCs w:val="24"/>
        </w:rPr>
      </w:pPr>
      <w:r w:rsidRPr="002B65B5">
        <w:rPr>
          <w:rFonts w:asciiTheme="minorHAnsi" w:hAnsiTheme="minorHAnsi" w:cstheme="minorHAnsi"/>
          <w:sz w:val="24"/>
          <w:szCs w:val="24"/>
        </w:rPr>
        <w:t>As expected, the minimum requirements of the Premises Standards have become the maximum level of provision in almost all cases. This means that, for example, critical community focused buildings used by significant numbers of people who use mobility devices such as scooters, are built to minimum levels of circulation, which in many cases is not amenable to all. Similarly, where the use of a building indicates a ramp with less gradient than 1 in 14 would be more amenable to users those development</w:t>
      </w:r>
      <w:r w:rsidR="00DC6DC1">
        <w:rPr>
          <w:rFonts w:asciiTheme="minorHAnsi" w:hAnsiTheme="minorHAnsi" w:cstheme="minorHAnsi"/>
          <w:sz w:val="24"/>
          <w:szCs w:val="24"/>
        </w:rPr>
        <w:t>s</w:t>
      </w:r>
      <w:r w:rsidRPr="002B65B5">
        <w:rPr>
          <w:rFonts w:asciiTheme="minorHAnsi" w:hAnsiTheme="minorHAnsi" w:cstheme="minorHAnsi"/>
          <w:sz w:val="24"/>
          <w:szCs w:val="24"/>
        </w:rPr>
        <w:t xml:space="preserve"> still provide a 1 in 14 ramp. A universal design approach to the design to public buildings would ensure new buildings are fit-for-purpose rather than just compliant.</w:t>
      </w:r>
    </w:p>
    <w:p w14:paraId="1AFB1C71" w14:textId="77777777" w:rsidR="00CB7598" w:rsidRPr="002B65B5" w:rsidRDefault="00CB7598" w:rsidP="00CB7598">
      <w:pPr>
        <w:pStyle w:val="ListParagraph"/>
        <w:rPr>
          <w:rFonts w:asciiTheme="minorHAnsi" w:hAnsiTheme="minorHAnsi" w:cstheme="minorHAnsi"/>
          <w:sz w:val="24"/>
          <w:szCs w:val="24"/>
        </w:rPr>
      </w:pPr>
    </w:p>
    <w:p w14:paraId="2E7ECAC8" w14:textId="7725A416" w:rsidR="00CB7598" w:rsidRPr="002B65B5" w:rsidRDefault="00CB7598" w:rsidP="00CB7598">
      <w:pPr>
        <w:pStyle w:val="ListParagraph"/>
        <w:numPr>
          <w:ilvl w:val="0"/>
          <w:numId w:val="13"/>
        </w:numPr>
        <w:spacing w:after="0"/>
        <w:rPr>
          <w:rFonts w:asciiTheme="minorHAnsi" w:hAnsiTheme="minorHAnsi" w:cstheme="minorHAnsi"/>
          <w:sz w:val="24"/>
          <w:szCs w:val="24"/>
        </w:rPr>
      </w:pPr>
      <w:r w:rsidRPr="002B65B5">
        <w:rPr>
          <w:rFonts w:asciiTheme="minorHAnsi" w:hAnsiTheme="minorHAnsi" w:cstheme="minorHAnsi"/>
          <w:sz w:val="24"/>
          <w:szCs w:val="24"/>
        </w:rPr>
        <w:t xml:space="preserve">The inconsistent uptake and reflection of the various </w:t>
      </w:r>
      <w:r w:rsidR="00DC6DC1">
        <w:rPr>
          <w:rFonts w:asciiTheme="minorHAnsi" w:hAnsiTheme="minorHAnsi" w:cstheme="minorHAnsi"/>
          <w:sz w:val="24"/>
          <w:szCs w:val="24"/>
        </w:rPr>
        <w:t xml:space="preserve">triggers and </w:t>
      </w:r>
      <w:r w:rsidRPr="002B65B5">
        <w:rPr>
          <w:rFonts w:asciiTheme="minorHAnsi" w:hAnsiTheme="minorHAnsi" w:cstheme="minorHAnsi"/>
          <w:sz w:val="24"/>
          <w:szCs w:val="24"/>
        </w:rPr>
        <w:t xml:space="preserve">concessions in the Premises Standards by state and territory governments continues to lead to confusion for the building sector and people with disability. The Commonwealth and state and territory governments need to agree on a consistent way of adopting </w:t>
      </w:r>
      <w:r w:rsidR="00DC6DC1">
        <w:rPr>
          <w:rFonts w:asciiTheme="minorHAnsi" w:hAnsiTheme="minorHAnsi" w:cstheme="minorHAnsi"/>
          <w:sz w:val="24"/>
          <w:szCs w:val="24"/>
        </w:rPr>
        <w:t xml:space="preserve">the </w:t>
      </w:r>
      <w:r w:rsidR="00DC6DC1" w:rsidRPr="002B65B5">
        <w:rPr>
          <w:rFonts w:asciiTheme="minorHAnsi" w:hAnsiTheme="minorHAnsi" w:cstheme="minorHAnsi"/>
          <w:sz w:val="24"/>
          <w:szCs w:val="24"/>
        </w:rPr>
        <w:t xml:space="preserve">various </w:t>
      </w:r>
      <w:r w:rsidR="00DC6DC1">
        <w:rPr>
          <w:rFonts w:asciiTheme="minorHAnsi" w:hAnsiTheme="minorHAnsi" w:cstheme="minorHAnsi"/>
          <w:sz w:val="24"/>
          <w:szCs w:val="24"/>
        </w:rPr>
        <w:t xml:space="preserve">triggers and </w:t>
      </w:r>
      <w:r w:rsidR="00DC6DC1" w:rsidRPr="002B65B5">
        <w:rPr>
          <w:rFonts w:asciiTheme="minorHAnsi" w:hAnsiTheme="minorHAnsi" w:cstheme="minorHAnsi"/>
          <w:sz w:val="24"/>
          <w:szCs w:val="24"/>
        </w:rPr>
        <w:t xml:space="preserve">concessions </w:t>
      </w:r>
      <w:r w:rsidR="00DC6DC1">
        <w:rPr>
          <w:rFonts w:asciiTheme="minorHAnsi" w:hAnsiTheme="minorHAnsi" w:cstheme="minorHAnsi"/>
          <w:sz w:val="24"/>
          <w:szCs w:val="24"/>
        </w:rPr>
        <w:t xml:space="preserve">in </w:t>
      </w:r>
      <w:r w:rsidRPr="002B65B5">
        <w:rPr>
          <w:rFonts w:asciiTheme="minorHAnsi" w:hAnsiTheme="minorHAnsi" w:cstheme="minorHAnsi"/>
          <w:sz w:val="24"/>
          <w:szCs w:val="24"/>
        </w:rPr>
        <w:t>the Premises Standards to allow the building sector, local government, developers and people with disability to fully understand the provisions of the Premises Standards.</w:t>
      </w:r>
    </w:p>
    <w:p w14:paraId="5136292E" w14:textId="77777777" w:rsidR="00CB7598" w:rsidRPr="002B65B5" w:rsidRDefault="00CB7598" w:rsidP="00CB7598">
      <w:pPr>
        <w:pStyle w:val="ListParagraph"/>
        <w:rPr>
          <w:rFonts w:asciiTheme="minorHAnsi" w:hAnsiTheme="minorHAnsi" w:cstheme="minorHAnsi"/>
          <w:sz w:val="24"/>
          <w:szCs w:val="24"/>
        </w:rPr>
      </w:pPr>
    </w:p>
    <w:p w14:paraId="25D6B157" w14:textId="7A14CF1C" w:rsidR="00CB7598" w:rsidRPr="002B65B5" w:rsidRDefault="00CB7598" w:rsidP="00CB7598">
      <w:pPr>
        <w:pStyle w:val="ListParagraph"/>
        <w:numPr>
          <w:ilvl w:val="0"/>
          <w:numId w:val="13"/>
        </w:numPr>
        <w:spacing w:after="0"/>
        <w:rPr>
          <w:rFonts w:asciiTheme="minorHAnsi" w:hAnsiTheme="minorHAnsi" w:cstheme="minorHAnsi"/>
          <w:sz w:val="24"/>
          <w:szCs w:val="24"/>
        </w:rPr>
      </w:pPr>
      <w:r w:rsidRPr="002B65B5">
        <w:rPr>
          <w:rFonts w:asciiTheme="minorHAnsi" w:hAnsiTheme="minorHAnsi" w:cstheme="minorHAnsi"/>
          <w:sz w:val="24"/>
          <w:szCs w:val="24"/>
        </w:rPr>
        <w:t>The lack of free availability of associated technical specifications in Australian Standards means it is extremely difficult for people with disability, local government advisory groups and community organisations to assess development</w:t>
      </w:r>
      <w:r w:rsidR="00DC6DC1">
        <w:rPr>
          <w:rFonts w:asciiTheme="minorHAnsi" w:hAnsiTheme="minorHAnsi" w:cstheme="minorHAnsi"/>
          <w:sz w:val="24"/>
          <w:szCs w:val="24"/>
        </w:rPr>
        <w:t>s</w:t>
      </w:r>
      <w:r w:rsidRPr="002B65B5">
        <w:rPr>
          <w:rFonts w:asciiTheme="minorHAnsi" w:hAnsiTheme="minorHAnsi" w:cstheme="minorHAnsi"/>
          <w:sz w:val="24"/>
          <w:szCs w:val="24"/>
        </w:rPr>
        <w:t xml:space="preserve"> and challenge non-compliance. Australia needs to follow the approach of countries such as the US, Canada, the UK, Ireland and European countries to make available all relevant technical material referred to in the Premises Standards, including in accessible formats.</w:t>
      </w:r>
    </w:p>
    <w:p w14:paraId="385E1219" w14:textId="77777777" w:rsidR="00CB7598" w:rsidRPr="002B65B5" w:rsidRDefault="00CB7598" w:rsidP="00CB7598">
      <w:pPr>
        <w:pStyle w:val="ListParagraph"/>
        <w:rPr>
          <w:rFonts w:asciiTheme="minorHAnsi" w:hAnsiTheme="minorHAnsi" w:cstheme="minorHAnsi"/>
          <w:sz w:val="24"/>
          <w:szCs w:val="24"/>
        </w:rPr>
      </w:pPr>
    </w:p>
    <w:p w14:paraId="0BE92B77" w14:textId="2F40887A" w:rsidR="00CB7598" w:rsidRPr="002B65B5" w:rsidRDefault="00CB7598" w:rsidP="00CB7598">
      <w:pPr>
        <w:pStyle w:val="ListParagraph"/>
        <w:numPr>
          <w:ilvl w:val="0"/>
          <w:numId w:val="13"/>
        </w:numPr>
        <w:spacing w:after="0"/>
        <w:rPr>
          <w:rFonts w:asciiTheme="minorHAnsi" w:hAnsiTheme="minorHAnsi" w:cstheme="minorHAnsi"/>
          <w:sz w:val="24"/>
          <w:szCs w:val="24"/>
        </w:rPr>
      </w:pPr>
      <w:r w:rsidRPr="002B65B5">
        <w:rPr>
          <w:rFonts w:asciiTheme="minorHAnsi" w:hAnsiTheme="minorHAnsi" w:cstheme="minorHAnsi"/>
          <w:sz w:val="24"/>
          <w:szCs w:val="24"/>
        </w:rPr>
        <w:t xml:space="preserve">While the state and territory building approval processes should </w:t>
      </w:r>
      <w:r w:rsidR="00DC6DC1">
        <w:rPr>
          <w:rFonts w:asciiTheme="minorHAnsi" w:hAnsiTheme="minorHAnsi" w:cstheme="minorHAnsi"/>
          <w:sz w:val="24"/>
          <w:szCs w:val="24"/>
        </w:rPr>
        <w:t xml:space="preserve">effectively </w:t>
      </w:r>
      <w:r w:rsidRPr="002B65B5">
        <w:rPr>
          <w:rFonts w:asciiTheme="minorHAnsi" w:hAnsiTheme="minorHAnsi" w:cstheme="minorHAnsi"/>
          <w:sz w:val="24"/>
          <w:szCs w:val="24"/>
        </w:rPr>
        <w:t xml:space="preserve">ensure there is </w:t>
      </w:r>
      <w:r w:rsidR="00DC6DC1">
        <w:rPr>
          <w:rFonts w:asciiTheme="minorHAnsi" w:hAnsiTheme="minorHAnsi" w:cstheme="minorHAnsi"/>
          <w:sz w:val="24"/>
          <w:szCs w:val="24"/>
        </w:rPr>
        <w:t xml:space="preserve">also </w:t>
      </w:r>
      <w:r w:rsidRPr="002B65B5">
        <w:rPr>
          <w:rFonts w:asciiTheme="minorHAnsi" w:hAnsiTheme="minorHAnsi" w:cstheme="minorHAnsi"/>
          <w:sz w:val="24"/>
          <w:szCs w:val="24"/>
        </w:rPr>
        <w:t>a compliance mechanism for the Premises Standards</w:t>
      </w:r>
      <w:r w:rsidR="00E416B7">
        <w:rPr>
          <w:rFonts w:asciiTheme="minorHAnsi" w:hAnsiTheme="minorHAnsi" w:cstheme="minorHAnsi"/>
          <w:sz w:val="24"/>
          <w:szCs w:val="24"/>
        </w:rPr>
        <w:t>,</w:t>
      </w:r>
      <w:r w:rsidRPr="002B65B5">
        <w:rPr>
          <w:rFonts w:asciiTheme="minorHAnsi" w:hAnsiTheme="minorHAnsi" w:cstheme="minorHAnsi"/>
          <w:sz w:val="24"/>
          <w:szCs w:val="24"/>
        </w:rPr>
        <w:t xml:space="preserve"> this mechanism is reliant on the knowledge and professionalism of (largely) private building certifiers. Building certifiers have to assess a very wide range of issues relating to building design and construction and in many areas, such as structural engineering and fire safety, they rely on reports and certifications provided by other </w:t>
      </w:r>
      <w:r w:rsidRPr="002B65B5">
        <w:rPr>
          <w:rFonts w:asciiTheme="minorHAnsi" w:hAnsiTheme="minorHAnsi" w:cstheme="minorHAnsi"/>
          <w:sz w:val="24"/>
          <w:szCs w:val="24"/>
        </w:rPr>
        <w:lastRenderedPageBreak/>
        <w:t>professionals who are recognised by state and territory building authorities. In the area of access</w:t>
      </w:r>
      <w:r w:rsidR="00CF5D74">
        <w:rPr>
          <w:rFonts w:asciiTheme="minorHAnsi" w:hAnsiTheme="minorHAnsi" w:cstheme="minorHAnsi"/>
          <w:sz w:val="24"/>
          <w:szCs w:val="24"/>
        </w:rPr>
        <w:t>,</w:t>
      </w:r>
      <w:r w:rsidRPr="002B65B5">
        <w:rPr>
          <w:rFonts w:asciiTheme="minorHAnsi" w:hAnsiTheme="minorHAnsi" w:cstheme="minorHAnsi"/>
          <w:sz w:val="24"/>
          <w:szCs w:val="24"/>
        </w:rPr>
        <w:t xml:space="preserve"> there is no recognised authority to rely on and as a result</w:t>
      </w:r>
      <w:r w:rsidR="00CF5D74">
        <w:rPr>
          <w:rFonts w:asciiTheme="minorHAnsi" w:hAnsiTheme="minorHAnsi" w:cstheme="minorHAnsi"/>
          <w:sz w:val="24"/>
          <w:szCs w:val="24"/>
        </w:rPr>
        <w:t>,</w:t>
      </w:r>
      <w:r w:rsidRPr="002B65B5">
        <w:rPr>
          <w:rFonts w:asciiTheme="minorHAnsi" w:hAnsiTheme="minorHAnsi" w:cstheme="minorHAnsi"/>
          <w:sz w:val="24"/>
          <w:szCs w:val="24"/>
        </w:rPr>
        <w:t xml:space="preserve"> compliance is </w:t>
      </w:r>
      <w:r w:rsidR="00DC6DC1">
        <w:rPr>
          <w:rFonts w:asciiTheme="minorHAnsi" w:hAnsiTheme="minorHAnsi" w:cstheme="minorHAnsi"/>
          <w:sz w:val="24"/>
          <w:szCs w:val="24"/>
        </w:rPr>
        <w:t xml:space="preserve">often </w:t>
      </w:r>
      <w:r w:rsidRPr="002B65B5">
        <w:rPr>
          <w:rFonts w:asciiTheme="minorHAnsi" w:hAnsiTheme="minorHAnsi" w:cstheme="minorHAnsi"/>
          <w:sz w:val="24"/>
          <w:szCs w:val="24"/>
        </w:rPr>
        <w:t>wholly reliant on the knowledge and experience of building certifiers. Recognition of the expertise of appropriately qualified Access Consultants would improve compliance. Requiring Access Consultant input into public buildings of defined size, cost or function would also improve compliance.</w:t>
      </w:r>
    </w:p>
    <w:p w14:paraId="0B353AAB" w14:textId="77777777" w:rsidR="00CB7598" w:rsidRPr="002B65B5" w:rsidRDefault="00CB7598" w:rsidP="00CB7598">
      <w:pPr>
        <w:pStyle w:val="ListParagraph"/>
        <w:rPr>
          <w:rFonts w:asciiTheme="minorHAnsi" w:hAnsiTheme="minorHAnsi" w:cstheme="minorHAnsi"/>
          <w:sz w:val="24"/>
          <w:szCs w:val="24"/>
        </w:rPr>
      </w:pPr>
    </w:p>
    <w:p w14:paraId="14185BB6" w14:textId="674E0EA7" w:rsidR="00CB7598" w:rsidRPr="002B65B5" w:rsidRDefault="00CB7598" w:rsidP="00CB7598">
      <w:pPr>
        <w:pStyle w:val="ListParagraph"/>
        <w:numPr>
          <w:ilvl w:val="0"/>
          <w:numId w:val="13"/>
        </w:numPr>
        <w:spacing w:after="0"/>
        <w:rPr>
          <w:rFonts w:asciiTheme="minorHAnsi" w:hAnsiTheme="minorHAnsi" w:cstheme="minorHAnsi"/>
          <w:sz w:val="24"/>
          <w:szCs w:val="24"/>
        </w:rPr>
      </w:pPr>
      <w:r w:rsidRPr="002B65B5">
        <w:rPr>
          <w:rFonts w:asciiTheme="minorHAnsi" w:hAnsiTheme="minorHAnsi" w:cstheme="minorHAnsi"/>
          <w:sz w:val="24"/>
          <w:szCs w:val="24"/>
        </w:rPr>
        <w:t xml:space="preserve">Occasionally with new buildings the design team and developer look to adopt a Performance Solution approach rather than a Deemed-to-Satisfy approach. While this is welcomed by the disability community there is currently no mechanism to ensure the views and experience of the disability community </w:t>
      </w:r>
      <w:r w:rsidR="005F1A2D">
        <w:rPr>
          <w:rFonts w:asciiTheme="minorHAnsi" w:hAnsiTheme="minorHAnsi" w:cstheme="minorHAnsi"/>
          <w:sz w:val="24"/>
          <w:szCs w:val="24"/>
        </w:rPr>
        <w:t>are</w:t>
      </w:r>
      <w:r w:rsidR="005F1A2D" w:rsidRPr="002B65B5">
        <w:rPr>
          <w:rFonts w:asciiTheme="minorHAnsi" w:hAnsiTheme="minorHAnsi" w:cstheme="minorHAnsi"/>
          <w:sz w:val="24"/>
          <w:szCs w:val="24"/>
        </w:rPr>
        <w:t xml:space="preserve"> </w:t>
      </w:r>
      <w:r w:rsidRPr="002B65B5">
        <w:rPr>
          <w:rFonts w:asciiTheme="minorHAnsi" w:hAnsiTheme="minorHAnsi" w:cstheme="minorHAnsi"/>
          <w:sz w:val="24"/>
          <w:szCs w:val="24"/>
        </w:rPr>
        <w:t xml:space="preserve">integrated into the process of developing the preferred approach. Work in the area of the Transport Standards </w:t>
      </w:r>
      <w:r w:rsidR="00DC6DC1">
        <w:rPr>
          <w:rFonts w:asciiTheme="minorHAnsi" w:hAnsiTheme="minorHAnsi" w:cstheme="minorHAnsi"/>
          <w:sz w:val="24"/>
          <w:szCs w:val="24"/>
        </w:rPr>
        <w:t>has supported the</w:t>
      </w:r>
      <w:r w:rsidR="00DC6DC1" w:rsidRPr="002B65B5">
        <w:rPr>
          <w:rFonts w:asciiTheme="minorHAnsi" w:hAnsiTheme="minorHAnsi" w:cstheme="minorHAnsi"/>
          <w:sz w:val="24"/>
          <w:szCs w:val="24"/>
        </w:rPr>
        <w:t xml:space="preserve"> </w:t>
      </w:r>
      <w:r w:rsidRPr="002B65B5">
        <w:rPr>
          <w:rFonts w:asciiTheme="minorHAnsi" w:hAnsiTheme="minorHAnsi" w:cstheme="minorHAnsi"/>
          <w:sz w:val="24"/>
          <w:szCs w:val="24"/>
        </w:rPr>
        <w:t>develop</w:t>
      </w:r>
      <w:r w:rsidR="00DC6DC1">
        <w:rPr>
          <w:rFonts w:asciiTheme="minorHAnsi" w:hAnsiTheme="minorHAnsi" w:cstheme="minorHAnsi"/>
          <w:sz w:val="24"/>
          <w:szCs w:val="24"/>
        </w:rPr>
        <w:t>ment of</w:t>
      </w:r>
      <w:r w:rsidRPr="002B65B5">
        <w:rPr>
          <w:rFonts w:asciiTheme="minorHAnsi" w:hAnsiTheme="minorHAnsi" w:cstheme="minorHAnsi"/>
          <w:sz w:val="24"/>
          <w:szCs w:val="24"/>
        </w:rPr>
        <w:t xml:space="preserve"> guidance on the co-design approach to </w:t>
      </w:r>
      <w:r w:rsidR="00DC6DC1">
        <w:rPr>
          <w:rFonts w:asciiTheme="minorHAnsi" w:hAnsiTheme="minorHAnsi" w:cstheme="minorHAnsi"/>
          <w:sz w:val="24"/>
          <w:szCs w:val="24"/>
        </w:rPr>
        <w:t>the adoption of</w:t>
      </w:r>
      <w:r w:rsidR="00DC6DC1" w:rsidRPr="002B65B5">
        <w:rPr>
          <w:rFonts w:asciiTheme="minorHAnsi" w:hAnsiTheme="minorHAnsi" w:cstheme="minorHAnsi"/>
          <w:sz w:val="24"/>
          <w:szCs w:val="24"/>
        </w:rPr>
        <w:t xml:space="preserve"> </w:t>
      </w:r>
      <w:r w:rsidRPr="002B65B5">
        <w:rPr>
          <w:rFonts w:asciiTheme="minorHAnsi" w:hAnsiTheme="minorHAnsi" w:cstheme="minorHAnsi"/>
          <w:sz w:val="24"/>
          <w:szCs w:val="24"/>
        </w:rPr>
        <w:t>alternative ways of meeting legal obligations. A similar approach should be adopted to major public building projects under the Premises Standards. The disability community recognise such an approach would be limited to particular developments above a specified size, cost or purpose.</w:t>
      </w:r>
    </w:p>
    <w:p w14:paraId="05830154" w14:textId="77777777" w:rsidR="00CB7598" w:rsidRPr="002B65B5" w:rsidRDefault="00CB7598" w:rsidP="00CB7598">
      <w:pPr>
        <w:pStyle w:val="ListParagraph"/>
        <w:rPr>
          <w:rFonts w:asciiTheme="minorHAnsi" w:hAnsiTheme="minorHAnsi" w:cstheme="minorHAnsi"/>
          <w:sz w:val="24"/>
          <w:szCs w:val="24"/>
        </w:rPr>
      </w:pPr>
    </w:p>
    <w:p w14:paraId="0DD6AD70" w14:textId="42825187" w:rsidR="00CB7598" w:rsidRPr="002B65B5" w:rsidRDefault="00CB7598" w:rsidP="00CB7598">
      <w:pPr>
        <w:pStyle w:val="ListParagraph"/>
        <w:numPr>
          <w:ilvl w:val="0"/>
          <w:numId w:val="13"/>
        </w:numPr>
        <w:spacing w:after="0"/>
        <w:rPr>
          <w:rFonts w:asciiTheme="minorHAnsi" w:hAnsiTheme="minorHAnsi" w:cstheme="minorHAnsi"/>
          <w:sz w:val="24"/>
          <w:szCs w:val="24"/>
        </w:rPr>
      </w:pPr>
      <w:r w:rsidRPr="002B65B5">
        <w:rPr>
          <w:rFonts w:asciiTheme="minorHAnsi" w:hAnsiTheme="minorHAnsi" w:cstheme="minorHAnsi"/>
          <w:sz w:val="24"/>
          <w:szCs w:val="24"/>
        </w:rPr>
        <w:t>The new provisions to be adopted in the Premises Standards for adult change facilities is welcomed by people with disability. The triggers for when an adult change facility is required in a new building relate to the use of the building and the size. For example, a new sports stadium with a seating capacity of over 35,000 will be required to have an adult change facility. In some small states and territories the threshold is so high compared to the population and size of developments that it is unlikely there will ever be a mandatory adult change facility. Either the Premises Standards should be changed to recognise this problem of scale or governments should provide specific funding (as occurred in Victoria) to support local governments and specific building owners to provide adult change facilities</w:t>
      </w:r>
      <w:r w:rsidR="00DC6DC1">
        <w:rPr>
          <w:rFonts w:asciiTheme="minorHAnsi" w:hAnsiTheme="minorHAnsi" w:cstheme="minorHAnsi"/>
          <w:sz w:val="24"/>
          <w:szCs w:val="24"/>
        </w:rPr>
        <w:t>.</w:t>
      </w:r>
    </w:p>
    <w:p w14:paraId="7FC864D2" w14:textId="77777777" w:rsidR="00CB7598" w:rsidRPr="002B65B5" w:rsidRDefault="00CB7598" w:rsidP="00CB7598">
      <w:pPr>
        <w:pStyle w:val="ListParagraph"/>
        <w:rPr>
          <w:rFonts w:asciiTheme="minorHAnsi" w:hAnsiTheme="minorHAnsi" w:cstheme="minorHAnsi"/>
          <w:sz w:val="24"/>
          <w:szCs w:val="24"/>
        </w:rPr>
      </w:pPr>
    </w:p>
    <w:p w14:paraId="45D0C2E7" w14:textId="3895189A" w:rsidR="00CB7598" w:rsidRDefault="00CB7598" w:rsidP="00CB7598">
      <w:pPr>
        <w:pStyle w:val="ListParagraph"/>
        <w:numPr>
          <w:ilvl w:val="0"/>
          <w:numId w:val="13"/>
        </w:numPr>
        <w:spacing w:after="0"/>
        <w:rPr>
          <w:rFonts w:asciiTheme="minorHAnsi" w:hAnsiTheme="minorHAnsi" w:cstheme="minorHAnsi"/>
          <w:sz w:val="24"/>
          <w:szCs w:val="24"/>
        </w:rPr>
      </w:pPr>
      <w:r w:rsidRPr="002B65B5">
        <w:rPr>
          <w:rFonts w:asciiTheme="minorHAnsi" w:hAnsiTheme="minorHAnsi" w:cstheme="minorHAnsi"/>
          <w:sz w:val="24"/>
          <w:szCs w:val="24"/>
        </w:rPr>
        <w:t xml:space="preserve">The only mechanism currently available to people with disability to raise concerns about non-compliance with the Premises Standards is through a complaint of discrimination, which can be complex, long, costly and confronting. If the Commissioners of the various Commonwealth and state and territory anti-discrimination bodies could pursue inquiries themselves rather than rely on individuals to pursue formal complaints, this would shift the onus from individuals. </w:t>
      </w:r>
      <w:r w:rsidR="000E1588">
        <w:rPr>
          <w:rFonts w:asciiTheme="minorHAnsi" w:hAnsiTheme="minorHAnsi" w:cstheme="minorHAnsi"/>
          <w:sz w:val="24"/>
          <w:szCs w:val="24"/>
        </w:rPr>
        <w:t xml:space="preserve">In </w:t>
      </w:r>
      <w:r w:rsidR="005F1A2D">
        <w:rPr>
          <w:rFonts w:asciiTheme="minorHAnsi" w:hAnsiTheme="minorHAnsi" w:cstheme="minorHAnsi"/>
          <w:sz w:val="24"/>
          <w:szCs w:val="24"/>
        </w:rPr>
        <w:t>addition,</w:t>
      </w:r>
      <w:r w:rsidR="000E1588">
        <w:rPr>
          <w:rFonts w:asciiTheme="minorHAnsi" w:hAnsiTheme="minorHAnsi" w:cstheme="minorHAnsi"/>
          <w:sz w:val="24"/>
          <w:szCs w:val="24"/>
        </w:rPr>
        <w:t xml:space="preserve"> w</w:t>
      </w:r>
      <w:r w:rsidRPr="002B65B5">
        <w:rPr>
          <w:rFonts w:asciiTheme="minorHAnsi" w:hAnsiTheme="minorHAnsi" w:cstheme="minorHAnsi"/>
          <w:sz w:val="24"/>
          <w:szCs w:val="24"/>
        </w:rPr>
        <w:t xml:space="preserve">hile not a Premises Standards issue, work should be done on clarifying whether or not under each state and territory building law the Director of Building Control (or equivalent) has the power to audit new buildings to determine if the design and certification process has resulted in an access compliant building. </w:t>
      </w:r>
      <w:r w:rsidR="000E1588">
        <w:rPr>
          <w:rFonts w:asciiTheme="minorHAnsi" w:hAnsiTheme="minorHAnsi" w:cstheme="minorHAnsi"/>
          <w:sz w:val="24"/>
          <w:szCs w:val="24"/>
        </w:rPr>
        <w:t>If this authority exists throughout Australia</w:t>
      </w:r>
      <w:r w:rsidR="005F1A2D">
        <w:rPr>
          <w:rFonts w:asciiTheme="minorHAnsi" w:hAnsiTheme="minorHAnsi" w:cstheme="minorHAnsi"/>
          <w:sz w:val="24"/>
          <w:szCs w:val="24"/>
        </w:rPr>
        <w:t>,</w:t>
      </w:r>
      <w:r w:rsidR="000E1588">
        <w:rPr>
          <w:rFonts w:asciiTheme="minorHAnsi" w:hAnsiTheme="minorHAnsi" w:cstheme="minorHAnsi"/>
          <w:sz w:val="24"/>
          <w:szCs w:val="24"/>
        </w:rPr>
        <w:t xml:space="preserve"> states and territories should be encouraged to use this authority to assist in identifying frequent compliance gaps.</w:t>
      </w:r>
    </w:p>
    <w:p w14:paraId="18EE3691" w14:textId="77777777" w:rsidR="007B5CEC" w:rsidRPr="007B5CEC" w:rsidRDefault="007B5CEC" w:rsidP="007B5CEC">
      <w:pPr>
        <w:pStyle w:val="ListParagraph"/>
        <w:rPr>
          <w:rFonts w:asciiTheme="minorHAnsi" w:hAnsiTheme="minorHAnsi" w:cstheme="minorHAnsi"/>
          <w:sz w:val="24"/>
          <w:szCs w:val="24"/>
        </w:rPr>
      </w:pPr>
    </w:p>
    <w:p w14:paraId="0A708014" w14:textId="640CA645" w:rsidR="007B5CEC" w:rsidRDefault="007B5CEC" w:rsidP="007B5CEC">
      <w:pPr>
        <w:spacing w:after="0"/>
        <w:rPr>
          <w:rFonts w:asciiTheme="minorHAnsi" w:hAnsiTheme="minorHAnsi" w:cstheme="minorHAnsi"/>
          <w:sz w:val="24"/>
          <w:szCs w:val="24"/>
        </w:rPr>
      </w:pPr>
    </w:p>
    <w:p w14:paraId="5453837A" w14:textId="22E7B411" w:rsidR="007B5CEC" w:rsidRDefault="007B5CEC" w:rsidP="007B5CEC">
      <w:pPr>
        <w:spacing w:after="0"/>
        <w:rPr>
          <w:rFonts w:asciiTheme="minorHAnsi" w:hAnsiTheme="minorHAnsi" w:cstheme="minorHAnsi"/>
          <w:sz w:val="24"/>
          <w:szCs w:val="24"/>
        </w:rPr>
      </w:pPr>
    </w:p>
    <w:p w14:paraId="74D1E012" w14:textId="135AE45E" w:rsidR="00CB7598" w:rsidRPr="00A759C6" w:rsidRDefault="003D0743" w:rsidP="00CB7598">
      <w:pPr>
        <w:pStyle w:val="Heading2"/>
      </w:pPr>
      <w:r>
        <w:lastRenderedPageBreak/>
        <w:t xml:space="preserve">4.2 </w:t>
      </w:r>
      <w:r w:rsidR="00CB7598" w:rsidRPr="00A759C6">
        <w:t>Existing buildings</w:t>
      </w:r>
    </w:p>
    <w:p w14:paraId="328E0FAC" w14:textId="77777777" w:rsidR="00CB7598" w:rsidRDefault="00CB7598" w:rsidP="00CB7598">
      <w:pPr>
        <w:spacing w:after="0"/>
        <w:rPr>
          <w:rFonts w:cs="Arial"/>
        </w:rPr>
      </w:pPr>
    </w:p>
    <w:p w14:paraId="0EFBFA27" w14:textId="77777777" w:rsidR="00CB7598" w:rsidRPr="002B65B5" w:rsidRDefault="00CB7598" w:rsidP="00CB7598">
      <w:pPr>
        <w:spacing w:after="0"/>
        <w:rPr>
          <w:rFonts w:asciiTheme="minorHAnsi" w:hAnsiTheme="minorHAnsi" w:cstheme="minorHAnsi"/>
          <w:sz w:val="24"/>
          <w:szCs w:val="24"/>
        </w:rPr>
      </w:pPr>
      <w:r w:rsidRPr="002B65B5">
        <w:rPr>
          <w:rFonts w:asciiTheme="minorHAnsi" w:hAnsiTheme="minorHAnsi" w:cstheme="minorHAnsi"/>
          <w:sz w:val="24"/>
          <w:szCs w:val="24"/>
        </w:rPr>
        <w:t>People with disability report that the Premises Standards has had very little effect on the pace of change for access to existing buildings and how and when improvements are required is still the source of much confusion.</w:t>
      </w:r>
    </w:p>
    <w:p w14:paraId="73B85446" w14:textId="77777777" w:rsidR="00CB7598" w:rsidRPr="002B65B5" w:rsidRDefault="00CB7598" w:rsidP="00CB7598">
      <w:pPr>
        <w:spacing w:after="0"/>
        <w:rPr>
          <w:rFonts w:asciiTheme="minorHAnsi" w:hAnsiTheme="minorHAnsi" w:cstheme="minorHAnsi"/>
          <w:sz w:val="24"/>
          <w:szCs w:val="24"/>
        </w:rPr>
      </w:pPr>
    </w:p>
    <w:p w14:paraId="018604C8" w14:textId="77777777" w:rsidR="00CB7598" w:rsidRPr="002B65B5" w:rsidRDefault="00CB7598" w:rsidP="00CB7598">
      <w:pPr>
        <w:spacing w:after="0"/>
        <w:rPr>
          <w:rFonts w:asciiTheme="minorHAnsi" w:hAnsiTheme="minorHAnsi" w:cstheme="minorHAnsi"/>
          <w:sz w:val="24"/>
          <w:szCs w:val="24"/>
        </w:rPr>
      </w:pPr>
      <w:r w:rsidRPr="002B65B5">
        <w:rPr>
          <w:rFonts w:asciiTheme="minorHAnsi" w:hAnsiTheme="minorHAnsi" w:cstheme="minorHAnsi"/>
          <w:sz w:val="24"/>
          <w:szCs w:val="24"/>
        </w:rPr>
        <w:t>While the application to the Premises Standards offers significant opportunities for people with disability to benefit from access to new buildings, addressing the inaccessibility of existing buildings is predominantly driven by individuals with disability creating change through personal and costly complaints.</w:t>
      </w:r>
    </w:p>
    <w:p w14:paraId="380844F0" w14:textId="77777777" w:rsidR="000E1588" w:rsidRDefault="000E1588" w:rsidP="00CB7598">
      <w:pPr>
        <w:spacing w:after="0"/>
        <w:rPr>
          <w:rFonts w:asciiTheme="minorHAnsi" w:hAnsiTheme="minorHAnsi" w:cstheme="minorHAnsi"/>
          <w:sz w:val="24"/>
          <w:szCs w:val="24"/>
        </w:rPr>
      </w:pPr>
    </w:p>
    <w:p w14:paraId="0D72302C" w14:textId="25C2AA34" w:rsidR="00CB7598" w:rsidRPr="002B65B5" w:rsidRDefault="00CB7598" w:rsidP="00CB7598">
      <w:pPr>
        <w:spacing w:after="0"/>
        <w:rPr>
          <w:rFonts w:asciiTheme="minorHAnsi" w:hAnsiTheme="minorHAnsi" w:cstheme="minorHAnsi"/>
          <w:sz w:val="24"/>
          <w:szCs w:val="24"/>
        </w:rPr>
      </w:pPr>
      <w:r w:rsidRPr="002B65B5">
        <w:rPr>
          <w:rFonts w:asciiTheme="minorHAnsi" w:hAnsiTheme="minorHAnsi" w:cstheme="minorHAnsi"/>
          <w:sz w:val="24"/>
          <w:szCs w:val="24"/>
        </w:rPr>
        <w:t>Improving access to existing buildings (other than through complaints) is triggered in a limited number of circumstances:</w:t>
      </w:r>
    </w:p>
    <w:p w14:paraId="70AEAE59" w14:textId="77777777" w:rsidR="00CB7598" w:rsidRPr="002B65B5" w:rsidRDefault="00CB7598" w:rsidP="00CB7598">
      <w:pPr>
        <w:spacing w:after="0"/>
        <w:rPr>
          <w:rFonts w:asciiTheme="minorHAnsi" w:hAnsiTheme="minorHAnsi" w:cstheme="minorHAnsi"/>
          <w:sz w:val="24"/>
          <w:szCs w:val="24"/>
        </w:rPr>
      </w:pPr>
    </w:p>
    <w:p w14:paraId="786371AB" w14:textId="77777777" w:rsidR="00CB7598" w:rsidRPr="002B65B5" w:rsidRDefault="00CB7598" w:rsidP="00CB7598">
      <w:pPr>
        <w:pStyle w:val="ListParagraph"/>
        <w:numPr>
          <w:ilvl w:val="0"/>
          <w:numId w:val="14"/>
        </w:numPr>
        <w:spacing w:after="0"/>
        <w:rPr>
          <w:rFonts w:asciiTheme="minorHAnsi" w:hAnsiTheme="minorHAnsi" w:cstheme="minorHAnsi"/>
          <w:sz w:val="24"/>
          <w:szCs w:val="24"/>
        </w:rPr>
      </w:pPr>
      <w:r w:rsidRPr="002B65B5">
        <w:rPr>
          <w:rFonts w:asciiTheme="minorHAnsi" w:hAnsiTheme="minorHAnsi" w:cstheme="minorHAnsi"/>
          <w:sz w:val="24"/>
          <w:szCs w:val="24"/>
        </w:rPr>
        <w:t>When the owner/operator decides to extend the building or modifies the building. In this case the new building work (extension or modification) is required to meet current accessibility requirements. If the building owner undertakes this work or the tenant, who is the only tenant in the building, undertakes this work then there is also a requirement to make the path of travel from the entrance to the building to the new work an accessible path. If the tenant is one of a number of tenants in the building, they are not required to improve the path of travel from the entrance. This path of travel is called the ‘affected part’ in the Premises Standards. No other part of the building is required to be upgraded to improve access and as a result the pace of change for existing buildings is far too slow.</w:t>
      </w:r>
    </w:p>
    <w:p w14:paraId="1A0CB3EB" w14:textId="77777777" w:rsidR="00CB7598" w:rsidRPr="002B65B5" w:rsidRDefault="00CB7598" w:rsidP="00CB7598">
      <w:pPr>
        <w:pStyle w:val="ListParagraph"/>
        <w:spacing w:after="0" w:line="240" w:lineRule="auto"/>
        <w:rPr>
          <w:rFonts w:asciiTheme="minorHAnsi" w:hAnsiTheme="minorHAnsi" w:cstheme="minorHAnsi"/>
          <w:sz w:val="24"/>
          <w:szCs w:val="24"/>
        </w:rPr>
      </w:pPr>
    </w:p>
    <w:p w14:paraId="745F0F84" w14:textId="77777777" w:rsidR="00CB7598" w:rsidRPr="002B65B5" w:rsidRDefault="00CB7598" w:rsidP="00CB7598">
      <w:pPr>
        <w:pStyle w:val="ListParagraph"/>
        <w:numPr>
          <w:ilvl w:val="0"/>
          <w:numId w:val="14"/>
        </w:numPr>
        <w:spacing w:after="0"/>
        <w:rPr>
          <w:rFonts w:asciiTheme="minorHAnsi" w:hAnsiTheme="minorHAnsi" w:cstheme="minorHAnsi"/>
          <w:sz w:val="24"/>
          <w:szCs w:val="24"/>
        </w:rPr>
      </w:pPr>
      <w:r w:rsidRPr="002B65B5">
        <w:rPr>
          <w:rFonts w:asciiTheme="minorHAnsi" w:hAnsiTheme="minorHAnsi" w:cstheme="minorHAnsi"/>
          <w:sz w:val="24"/>
          <w:szCs w:val="24"/>
        </w:rPr>
        <w:t>When the owner/operator changes the use of the building which results in a change in classification. In this situation the building as a whole may be required under state and territory building law to upgrade access to current requirements.</w:t>
      </w:r>
    </w:p>
    <w:p w14:paraId="7DE3304A" w14:textId="77777777" w:rsidR="00CB7598" w:rsidRPr="002B65B5" w:rsidRDefault="00CB7598" w:rsidP="00CB7598">
      <w:pPr>
        <w:pStyle w:val="ListParagraph"/>
        <w:spacing w:after="0" w:line="240" w:lineRule="auto"/>
        <w:rPr>
          <w:rFonts w:asciiTheme="minorHAnsi" w:hAnsiTheme="minorHAnsi" w:cstheme="minorHAnsi"/>
          <w:sz w:val="24"/>
          <w:szCs w:val="24"/>
        </w:rPr>
      </w:pPr>
    </w:p>
    <w:p w14:paraId="0FC0721C" w14:textId="77777777" w:rsidR="00CB7598" w:rsidRPr="002B65B5" w:rsidRDefault="00CB7598" w:rsidP="00CB7598">
      <w:pPr>
        <w:pStyle w:val="ListParagraph"/>
        <w:numPr>
          <w:ilvl w:val="0"/>
          <w:numId w:val="14"/>
        </w:numPr>
        <w:spacing w:after="0"/>
        <w:rPr>
          <w:rFonts w:asciiTheme="minorHAnsi" w:hAnsiTheme="minorHAnsi" w:cstheme="minorHAnsi"/>
          <w:sz w:val="24"/>
          <w:szCs w:val="24"/>
        </w:rPr>
      </w:pPr>
      <w:r w:rsidRPr="002B65B5">
        <w:rPr>
          <w:rFonts w:asciiTheme="minorHAnsi" w:hAnsiTheme="minorHAnsi" w:cstheme="minorHAnsi"/>
          <w:sz w:val="24"/>
          <w:szCs w:val="24"/>
        </w:rPr>
        <w:t xml:space="preserve">When the owner/operator undertakes extensive upgrade of the building covering more than 50% of the building then the whole building would need to be upgraded. This is triggered by state or territory building law, however, it only applies in some states and territories. </w:t>
      </w:r>
    </w:p>
    <w:p w14:paraId="64E64CF3" w14:textId="77777777" w:rsidR="00CB7598" w:rsidRPr="002B65B5" w:rsidRDefault="00CB7598" w:rsidP="00CB7598">
      <w:pPr>
        <w:spacing w:after="0"/>
        <w:rPr>
          <w:rFonts w:asciiTheme="minorHAnsi" w:hAnsiTheme="minorHAnsi" w:cstheme="minorHAnsi"/>
          <w:sz w:val="24"/>
          <w:szCs w:val="24"/>
        </w:rPr>
      </w:pPr>
    </w:p>
    <w:p w14:paraId="7222E9A1" w14:textId="4ADD900E" w:rsidR="00CB7598" w:rsidRPr="002B65B5" w:rsidRDefault="00CB7598" w:rsidP="00CB7598">
      <w:pPr>
        <w:spacing w:after="0"/>
        <w:rPr>
          <w:rFonts w:asciiTheme="minorHAnsi" w:hAnsiTheme="minorHAnsi" w:cstheme="minorHAnsi"/>
          <w:sz w:val="24"/>
          <w:szCs w:val="24"/>
        </w:rPr>
      </w:pPr>
      <w:r w:rsidRPr="002B65B5">
        <w:rPr>
          <w:rFonts w:asciiTheme="minorHAnsi" w:hAnsiTheme="minorHAnsi" w:cstheme="minorHAnsi"/>
          <w:sz w:val="24"/>
          <w:szCs w:val="24"/>
        </w:rPr>
        <w:t xml:space="preserve">In all three circumstances people with disability have identified there are inconsistencies and misunderstandings on how these triggers are applied. The definition of extension and modification is unclear, the term ‘change of use’ is unclear (does it mean changing from a grocery shop to a </w:t>
      </w:r>
      <w:r w:rsidR="005F1A2D" w:rsidRPr="002B65B5">
        <w:rPr>
          <w:rFonts w:asciiTheme="minorHAnsi" w:hAnsiTheme="minorHAnsi" w:cstheme="minorHAnsi"/>
          <w:sz w:val="24"/>
          <w:szCs w:val="24"/>
        </w:rPr>
        <w:t>butcher</w:t>
      </w:r>
      <w:r w:rsidRPr="002B65B5">
        <w:rPr>
          <w:rFonts w:asciiTheme="minorHAnsi" w:hAnsiTheme="minorHAnsi" w:cstheme="minorHAnsi"/>
          <w:sz w:val="24"/>
          <w:szCs w:val="24"/>
        </w:rPr>
        <w:t xml:space="preserve"> </w:t>
      </w:r>
      <w:r w:rsidR="005F1A2D">
        <w:rPr>
          <w:rFonts w:asciiTheme="minorHAnsi" w:hAnsiTheme="minorHAnsi" w:cstheme="minorHAnsi"/>
          <w:sz w:val="24"/>
          <w:szCs w:val="24"/>
        </w:rPr>
        <w:t xml:space="preserve">shop </w:t>
      </w:r>
      <w:r w:rsidRPr="002B65B5">
        <w:rPr>
          <w:rFonts w:asciiTheme="minorHAnsi" w:hAnsiTheme="minorHAnsi" w:cstheme="minorHAnsi"/>
          <w:sz w:val="24"/>
          <w:szCs w:val="24"/>
        </w:rPr>
        <w:t>for example) and the 50% rule is not applied throughout Australia. In addition 2 out of 3 are driven not by the Premises Standards</w:t>
      </w:r>
      <w:r w:rsidR="000E1588">
        <w:rPr>
          <w:rFonts w:asciiTheme="minorHAnsi" w:hAnsiTheme="minorHAnsi" w:cstheme="minorHAnsi"/>
          <w:sz w:val="24"/>
          <w:szCs w:val="24"/>
        </w:rPr>
        <w:t>,</w:t>
      </w:r>
      <w:r w:rsidRPr="002B65B5">
        <w:rPr>
          <w:rFonts w:asciiTheme="minorHAnsi" w:hAnsiTheme="minorHAnsi" w:cstheme="minorHAnsi"/>
          <w:sz w:val="24"/>
          <w:szCs w:val="24"/>
        </w:rPr>
        <w:t xml:space="preserve"> but by building law. This needs to be addressed in a future Premises Standards.</w:t>
      </w:r>
    </w:p>
    <w:p w14:paraId="4069C025" w14:textId="77777777" w:rsidR="00CB7598" w:rsidRPr="002B65B5" w:rsidRDefault="00CB7598" w:rsidP="00CB7598">
      <w:pPr>
        <w:pStyle w:val="ListParagraph"/>
        <w:spacing w:after="0" w:line="240" w:lineRule="auto"/>
        <w:rPr>
          <w:rFonts w:asciiTheme="minorHAnsi" w:hAnsiTheme="minorHAnsi" w:cstheme="minorHAnsi"/>
          <w:sz w:val="24"/>
          <w:szCs w:val="24"/>
        </w:rPr>
      </w:pPr>
    </w:p>
    <w:p w14:paraId="33FD329E" w14:textId="4A3EA5B9" w:rsidR="00CB7598" w:rsidRPr="002B65B5" w:rsidRDefault="00CB7598" w:rsidP="00CB7598">
      <w:pPr>
        <w:rPr>
          <w:rFonts w:asciiTheme="minorHAnsi" w:hAnsiTheme="minorHAnsi" w:cstheme="minorHAnsi"/>
          <w:sz w:val="24"/>
          <w:szCs w:val="24"/>
        </w:rPr>
      </w:pPr>
      <w:r w:rsidRPr="002B65B5">
        <w:rPr>
          <w:rFonts w:asciiTheme="minorHAnsi" w:hAnsiTheme="minorHAnsi" w:cstheme="minorHAnsi"/>
          <w:sz w:val="24"/>
          <w:szCs w:val="24"/>
        </w:rPr>
        <w:t xml:space="preserve">There are some clear unforeseen consequences in the concession area of the Premises Standards that are limiting the outcomes sought. Most notably the concession on ‘affected part’ paths of travel in existing buildings with multiple tenants that are undergoing new work or upgrades. The current concession would allow for a tenant, who is one of a </w:t>
      </w:r>
      <w:r w:rsidRPr="002B65B5">
        <w:rPr>
          <w:rFonts w:asciiTheme="minorHAnsi" w:hAnsiTheme="minorHAnsi" w:cstheme="minorHAnsi"/>
          <w:sz w:val="24"/>
          <w:szCs w:val="24"/>
        </w:rPr>
        <w:lastRenderedPageBreak/>
        <w:t xml:space="preserve">number of tenants in a building, to spend hundreds of thousands of dollars for a new fitout of their </w:t>
      </w:r>
      <w:r w:rsidR="005F1A2D" w:rsidRPr="002B65B5">
        <w:rPr>
          <w:rFonts w:asciiTheme="minorHAnsi" w:hAnsiTheme="minorHAnsi" w:cstheme="minorHAnsi"/>
          <w:sz w:val="24"/>
          <w:szCs w:val="24"/>
        </w:rPr>
        <w:t>tenancy</w:t>
      </w:r>
      <w:r w:rsidR="005F1A2D">
        <w:rPr>
          <w:rFonts w:asciiTheme="minorHAnsi" w:hAnsiTheme="minorHAnsi" w:cstheme="minorHAnsi"/>
          <w:sz w:val="24"/>
          <w:szCs w:val="24"/>
        </w:rPr>
        <w:t xml:space="preserve"> but</w:t>
      </w:r>
      <w:r w:rsidRPr="002B65B5">
        <w:rPr>
          <w:rFonts w:asciiTheme="minorHAnsi" w:hAnsiTheme="minorHAnsi" w:cstheme="minorHAnsi"/>
          <w:sz w:val="24"/>
          <w:szCs w:val="24"/>
        </w:rPr>
        <w:t xml:space="preserve"> avoid the need to remove a small step at the entrance to their tenancy which fronts onto the public footpath. This concession needs to be changed.</w:t>
      </w:r>
    </w:p>
    <w:p w14:paraId="138BB5D0" w14:textId="2594F108" w:rsidR="00CB7598" w:rsidRPr="002B65B5" w:rsidRDefault="00CB7598" w:rsidP="00CB7598">
      <w:pPr>
        <w:rPr>
          <w:rFonts w:asciiTheme="minorHAnsi" w:hAnsiTheme="minorHAnsi" w:cstheme="minorHAnsi"/>
          <w:sz w:val="24"/>
          <w:szCs w:val="24"/>
        </w:rPr>
      </w:pPr>
      <w:r w:rsidRPr="002B65B5">
        <w:rPr>
          <w:rFonts w:asciiTheme="minorHAnsi" w:hAnsiTheme="minorHAnsi" w:cstheme="minorHAnsi"/>
          <w:sz w:val="24"/>
          <w:szCs w:val="24"/>
        </w:rPr>
        <w:t xml:space="preserve">When existing buildings are extended or modified the disability community understands that sometimes the structure and history of the building means that following a technical compliance path may not be possible or feasible and that an alternative approach might be adopted to providing the best access possible. The people who propose and approve these alternative approaches are usually the designers and the building certifier who sometimes ask for advice and reports from Access Consultants. At no stage are the views of people with disability </w:t>
      </w:r>
      <w:r w:rsidR="000E1588">
        <w:rPr>
          <w:rFonts w:asciiTheme="minorHAnsi" w:hAnsiTheme="minorHAnsi" w:cstheme="minorHAnsi"/>
          <w:sz w:val="24"/>
          <w:szCs w:val="24"/>
        </w:rPr>
        <w:t>sought and</w:t>
      </w:r>
      <w:r w:rsidRPr="002B65B5">
        <w:rPr>
          <w:rFonts w:asciiTheme="minorHAnsi" w:hAnsiTheme="minorHAnsi" w:cstheme="minorHAnsi"/>
          <w:sz w:val="24"/>
          <w:szCs w:val="24"/>
        </w:rPr>
        <w:t xml:space="preserve"> disability organisations </w:t>
      </w:r>
      <w:r w:rsidR="000E1588">
        <w:rPr>
          <w:rFonts w:asciiTheme="minorHAnsi" w:hAnsiTheme="minorHAnsi" w:cstheme="minorHAnsi"/>
          <w:sz w:val="24"/>
          <w:szCs w:val="24"/>
        </w:rPr>
        <w:t xml:space="preserve">are rarely </w:t>
      </w:r>
      <w:r w:rsidRPr="002B65B5">
        <w:rPr>
          <w:rFonts w:asciiTheme="minorHAnsi" w:hAnsiTheme="minorHAnsi" w:cstheme="minorHAnsi"/>
          <w:sz w:val="24"/>
          <w:szCs w:val="24"/>
        </w:rPr>
        <w:t>asked to comment on or contribute to finding the best solution. Where alternative approaches to providing access are being considered for significant public buildings, the Premises Standards should require a co-design process involving people with disability.</w:t>
      </w:r>
    </w:p>
    <w:p w14:paraId="71CA9AF1" w14:textId="30840F28" w:rsidR="00CB7598" w:rsidRDefault="00CB7598" w:rsidP="00CB7598">
      <w:pPr>
        <w:rPr>
          <w:rFonts w:asciiTheme="minorHAnsi" w:hAnsiTheme="minorHAnsi" w:cstheme="minorHAnsi"/>
          <w:sz w:val="24"/>
          <w:szCs w:val="24"/>
        </w:rPr>
      </w:pPr>
      <w:r w:rsidRPr="002B65B5">
        <w:rPr>
          <w:rFonts w:asciiTheme="minorHAnsi" w:hAnsiTheme="minorHAnsi" w:cstheme="minorHAnsi"/>
          <w:sz w:val="24"/>
          <w:szCs w:val="24"/>
        </w:rPr>
        <w:t>Consideration needs to be given to adopting a timetable for access improvements to key existing community buildings including: sports stadiums, theatres and cinemas, medical and GP centres, hospitals, government information centres, local government offices, shopping centres and neighbourhood or community centres. This would follow the approach taken in the Transport Standards by setting dates by which improvements must occur.</w:t>
      </w:r>
    </w:p>
    <w:p w14:paraId="7B1DBEE4" w14:textId="333C15E8" w:rsidR="00DF69A2" w:rsidRDefault="005948BA" w:rsidP="00DF69A2">
      <w:pPr>
        <w:pStyle w:val="Heading1"/>
        <w:ind w:hanging="720"/>
      </w:pPr>
      <w:bookmarkStart w:id="2" w:name="_Toc532458961"/>
      <w:r>
        <w:t>Cons</w:t>
      </w:r>
      <w:r w:rsidR="002C4756">
        <w:t xml:space="preserve">istency of Disability Standards </w:t>
      </w:r>
      <w:bookmarkEnd w:id="2"/>
    </w:p>
    <w:p w14:paraId="39E87E6E" w14:textId="77777777" w:rsidR="00B3001E" w:rsidRPr="005629B0" w:rsidRDefault="00B3001E" w:rsidP="00B3001E">
      <w:pPr>
        <w:pBdr>
          <w:bottom w:val="single" w:sz="12" w:space="1" w:color="auto"/>
        </w:pBdr>
        <w:rPr>
          <w:sz w:val="16"/>
          <w:szCs w:val="16"/>
        </w:rPr>
      </w:pPr>
    </w:p>
    <w:p w14:paraId="651A52D9" w14:textId="72FBA39E" w:rsidR="009D4CFA" w:rsidRPr="007B5CEC" w:rsidRDefault="009D4CFA" w:rsidP="007B5CEC">
      <w:pPr>
        <w:spacing w:after="0"/>
        <w:rPr>
          <w:rFonts w:cs="Arial"/>
          <w:sz w:val="24"/>
          <w:szCs w:val="24"/>
        </w:rPr>
      </w:pPr>
      <w:r w:rsidRPr="007B5CEC">
        <w:rPr>
          <w:rFonts w:cs="Arial"/>
          <w:sz w:val="24"/>
          <w:szCs w:val="24"/>
        </w:rPr>
        <w:t>There are currently two major review and renewal processes taking place in the areas of premises and transport.</w:t>
      </w:r>
    </w:p>
    <w:p w14:paraId="2D55D435" w14:textId="50BAC248" w:rsidR="00F33F3B" w:rsidRPr="00F260CA" w:rsidRDefault="00F33F3B" w:rsidP="00F33F3B">
      <w:pPr>
        <w:spacing w:after="0"/>
        <w:ind w:left="720" w:hanging="720"/>
        <w:rPr>
          <w:rFonts w:cs="Arial"/>
          <w:sz w:val="24"/>
          <w:szCs w:val="24"/>
        </w:rPr>
      </w:pPr>
    </w:p>
    <w:p w14:paraId="38989451" w14:textId="261A00F6" w:rsidR="009D4CFA" w:rsidRPr="007B5CEC" w:rsidRDefault="009D4CFA" w:rsidP="007B5CEC">
      <w:pPr>
        <w:spacing w:after="0"/>
        <w:rPr>
          <w:rFonts w:cs="Arial"/>
          <w:sz w:val="24"/>
          <w:szCs w:val="24"/>
        </w:rPr>
      </w:pPr>
      <w:r w:rsidRPr="007B5CEC">
        <w:rPr>
          <w:rFonts w:cs="Arial"/>
          <w:sz w:val="24"/>
          <w:szCs w:val="24"/>
        </w:rPr>
        <w:t xml:space="preserve">While the Transport Standards Taskforce has a clear </w:t>
      </w:r>
      <w:r w:rsidR="005F1A2D" w:rsidRPr="007B5CEC">
        <w:rPr>
          <w:rFonts w:cs="Arial"/>
          <w:sz w:val="24"/>
          <w:szCs w:val="24"/>
        </w:rPr>
        <w:t>human</w:t>
      </w:r>
      <w:r w:rsidR="005F1A2D">
        <w:rPr>
          <w:rFonts w:cs="Arial"/>
          <w:sz w:val="24"/>
          <w:szCs w:val="24"/>
        </w:rPr>
        <w:t>-</w:t>
      </w:r>
      <w:r w:rsidRPr="007B5CEC">
        <w:rPr>
          <w:rFonts w:cs="Arial"/>
          <w:sz w:val="24"/>
          <w:szCs w:val="24"/>
        </w:rPr>
        <w:t xml:space="preserve">rights focus and extensive buy-in by all stakeholders with a </w:t>
      </w:r>
      <w:r w:rsidR="005F1A2D" w:rsidRPr="007B5CEC">
        <w:rPr>
          <w:rFonts w:cs="Arial"/>
          <w:sz w:val="24"/>
          <w:szCs w:val="24"/>
        </w:rPr>
        <w:t>high</w:t>
      </w:r>
      <w:r w:rsidR="005F1A2D">
        <w:rPr>
          <w:rFonts w:cs="Arial"/>
          <w:sz w:val="24"/>
          <w:szCs w:val="24"/>
        </w:rPr>
        <w:t>-</w:t>
      </w:r>
      <w:r w:rsidRPr="007B5CEC">
        <w:rPr>
          <w:rFonts w:cs="Arial"/>
          <w:sz w:val="24"/>
          <w:szCs w:val="24"/>
        </w:rPr>
        <w:t xml:space="preserve">level principles approach, this </w:t>
      </w:r>
      <w:r w:rsidR="000E1588">
        <w:rPr>
          <w:rFonts w:cs="Arial"/>
          <w:sz w:val="24"/>
          <w:szCs w:val="24"/>
        </w:rPr>
        <w:t>has</w:t>
      </w:r>
      <w:r w:rsidR="000E1588" w:rsidRPr="007B5CEC">
        <w:rPr>
          <w:rFonts w:cs="Arial"/>
          <w:sz w:val="24"/>
          <w:szCs w:val="24"/>
        </w:rPr>
        <w:t xml:space="preserve"> </w:t>
      </w:r>
      <w:r w:rsidRPr="007B5CEC">
        <w:rPr>
          <w:rFonts w:cs="Arial"/>
          <w:sz w:val="24"/>
          <w:szCs w:val="24"/>
        </w:rPr>
        <w:t xml:space="preserve">not </w:t>
      </w:r>
      <w:r w:rsidR="000E1588">
        <w:rPr>
          <w:rFonts w:cs="Arial"/>
          <w:sz w:val="24"/>
          <w:szCs w:val="24"/>
        </w:rPr>
        <w:t xml:space="preserve">been </w:t>
      </w:r>
      <w:r w:rsidRPr="007B5CEC">
        <w:rPr>
          <w:rFonts w:cs="Arial"/>
          <w:sz w:val="24"/>
          <w:szCs w:val="24"/>
        </w:rPr>
        <w:t>apparent in the Premises Standards area.</w:t>
      </w:r>
    </w:p>
    <w:p w14:paraId="2CB46CDC" w14:textId="77777777" w:rsidR="00F33F3B" w:rsidRPr="00F260CA" w:rsidRDefault="00F33F3B" w:rsidP="00F33F3B">
      <w:pPr>
        <w:spacing w:after="0"/>
        <w:ind w:left="720" w:hanging="720"/>
        <w:rPr>
          <w:rFonts w:cs="Arial"/>
          <w:sz w:val="24"/>
          <w:szCs w:val="24"/>
        </w:rPr>
      </w:pPr>
    </w:p>
    <w:p w14:paraId="631AF000" w14:textId="29E8C315" w:rsidR="00D41890" w:rsidRDefault="009D4CFA" w:rsidP="007B5CEC">
      <w:pPr>
        <w:spacing w:after="0"/>
        <w:rPr>
          <w:rFonts w:cs="Arial"/>
          <w:sz w:val="24"/>
          <w:szCs w:val="24"/>
        </w:rPr>
      </w:pPr>
      <w:r w:rsidRPr="007B5CEC">
        <w:rPr>
          <w:rFonts w:cs="Arial"/>
          <w:sz w:val="24"/>
          <w:szCs w:val="24"/>
        </w:rPr>
        <w:t xml:space="preserve">There is a need to </w:t>
      </w:r>
      <w:r w:rsidR="000E1588">
        <w:rPr>
          <w:rFonts w:cs="Arial"/>
          <w:sz w:val="24"/>
          <w:szCs w:val="24"/>
        </w:rPr>
        <w:t>develop</w:t>
      </w:r>
      <w:r w:rsidR="000E1588" w:rsidRPr="007B5CEC">
        <w:rPr>
          <w:rFonts w:cs="Arial"/>
          <w:sz w:val="24"/>
          <w:szCs w:val="24"/>
        </w:rPr>
        <w:t xml:space="preserve"> </w:t>
      </w:r>
      <w:r w:rsidRPr="007B5CEC">
        <w:rPr>
          <w:rFonts w:cs="Arial"/>
          <w:sz w:val="24"/>
          <w:szCs w:val="24"/>
        </w:rPr>
        <w:t>a mechanism that will ensure consistency between the two Standards and their renewal that is driven by a human rights perspective.</w:t>
      </w:r>
    </w:p>
    <w:p w14:paraId="6190B652" w14:textId="07AF62C0" w:rsidR="007B5CEC" w:rsidRDefault="007B5CEC" w:rsidP="007B5CEC">
      <w:pPr>
        <w:spacing w:after="0"/>
        <w:rPr>
          <w:rFonts w:cs="Arial"/>
          <w:sz w:val="24"/>
          <w:szCs w:val="24"/>
        </w:rPr>
      </w:pPr>
    </w:p>
    <w:p w14:paraId="6E6C15FF" w14:textId="7827631A" w:rsidR="007B5CEC" w:rsidRDefault="007B5CEC" w:rsidP="007B5CEC">
      <w:pPr>
        <w:spacing w:after="0"/>
        <w:rPr>
          <w:rFonts w:cs="Arial"/>
          <w:sz w:val="24"/>
          <w:szCs w:val="24"/>
        </w:rPr>
      </w:pPr>
    </w:p>
    <w:p w14:paraId="1A11E198" w14:textId="39AD521E" w:rsidR="007B5CEC" w:rsidRDefault="007B5CEC" w:rsidP="007B5CEC">
      <w:pPr>
        <w:spacing w:after="0"/>
        <w:rPr>
          <w:rFonts w:cs="Arial"/>
          <w:sz w:val="24"/>
          <w:szCs w:val="24"/>
        </w:rPr>
      </w:pPr>
    </w:p>
    <w:p w14:paraId="493412C7" w14:textId="3E9DD61A" w:rsidR="007B5CEC" w:rsidRDefault="007B5CEC" w:rsidP="007B5CEC">
      <w:pPr>
        <w:spacing w:after="0"/>
        <w:rPr>
          <w:rFonts w:cs="Arial"/>
          <w:sz w:val="24"/>
          <w:szCs w:val="24"/>
        </w:rPr>
      </w:pPr>
    </w:p>
    <w:p w14:paraId="482B8467" w14:textId="2164794A" w:rsidR="007B5CEC" w:rsidRDefault="007B5CEC" w:rsidP="007B5CEC">
      <w:pPr>
        <w:spacing w:after="0"/>
        <w:rPr>
          <w:rFonts w:cs="Arial"/>
          <w:sz w:val="24"/>
          <w:szCs w:val="24"/>
        </w:rPr>
      </w:pPr>
    </w:p>
    <w:p w14:paraId="268DE26D" w14:textId="64C8774A" w:rsidR="007B5CEC" w:rsidRDefault="007B5CEC" w:rsidP="007B5CEC">
      <w:pPr>
        <w:spacing w:after="0"/>
        <w:rPr>
          <w:rFonts w:cs="Arial"/>
          <w:sz w:val="24"/>
          <w:szCs w:val="24"/>
        </w:rPr>
      </w:pPr>
    </w:p>
    <w:p w14:paraId="7995457E" w14:textId="644C23C8" w:rsidR="007B5CEC" w:rsidRDefault="007B5CEC" w:rsidP="007B5CEC">
      <w:pPr>
        <w:spacing w:after="0"/>
        <w:rPr>
          <w:rFonts w:cs="Arial"/>
          <w:sz w:val="24"/>
          <w:szCs w:val="24"/>
        </w:rPr>
      </w:pPr>
    </w:p>
    <w:p w14:paraId="58058A51" w14:textId="4DA8954F" w:rsidR="007B5CEC" w:rsidRDefault="007B5CEC" w:rsidP="007B5CEC">
      <w:pPr>
        <w:spacing w:after="0"/>
        <w:rPr>
          <w:rFonts w:cs="Arial"/>
          <w:sz w:val="24"/>
          <w:szCs w:val="24"/>
        </w:rPr>
      </w:pPr>
    </w:p>
    <w:p w14:paraId="5774E970" w14:textId="77777777" w:rsidR="007B5CEC" w:rsidRPr="007B5CEC" w:rsidRDefault="007B5CEC" w:rsidP="007B5CEC">
      <w:pPr>
        <w:spacing w:after="0"/>
        <w:rPr>
          <w:rFonts w:cs="Calibri"/>
          <w:sz w:val="24"/>
          <w:szCs w:val="24"/>
        </w:rPr>
      </w:pPr>
    </w:p>
    <w:p w14:paraId="529ACA70" w14:textId="6794CAFE" w:rsidR="00546BE5" w:rsidRPr="005629B0" w:rsidRDefault="009D4CFA" w:rsidP="00546BE5">
      <w:pPr>
        <w:pStyle w:val="Heading1"/>
        <w:ind w:hanging="720"/>
      </w:pPr>
      <w:bookmarkStart w:id="3" w:name="_Hlk532379093"/>
      <w:r>
        <w:lastRenderedPageBreak/>
        <w:t>Conclusion</w:t>
      </w:r>
    </w:p>
    <w:p w14:paraId="17551AA2" w14:textId="77777777" w:rsidR="00546BE5" w:rsidRPr="005629B0" w:rsidRDefault="00546BE5" w:rsidP="00546BE5">
      <w:pPr>
        <w:pBdr>
          <w:bottom w:val="single" w:sz="12" w:space="1" w:color="auto"/>
        </w:pBdr>
        <w:jc w:val="right"/>
        <w:rPr>
          <w:sz w:val="16"/>
          <w:szCs w:val="16"/>
        </w:rPr>
      </w:pPr>
    </w:p>
    <w:p w14:paraId="75EC635E" w14:textId="795B127F" w:rsidR="00742401" w:rsidRPr="007B5CEC" w:rsidRDefault="007B0A01" w:rsidP="009B2734">
      <w:pPr>
        <w:pStyle w:val="ListParagraph"/>
        <w:widowControl w:val="0"/>
        <w:numPr>
          <w:ilvl w:val="0"/>
          <w:numId w:val="18"/>
        </w:num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lang w:val="en-US"/>
        </w:rPr>
      </w:pPr>
      <w:r w:rsidRPr="00742401">
        <w:rPr>
          <w:rFonts w:cs="Arial"/>
          <w:sz w:val="24"/>
          <w:szCs w:val="24"/>
        </w:rPr>
        <w:t xml:space="preserve">DPO Australia and Disability Voices Tasmania welcome the second Review of the Premises Standards and it is evident that further opportunities to discuss and evaluate the practical application of the Standards will be necessary to ensure the Premises Standards work in coordination with other Australian legislation and frameworks. </w:t>
      </w:r>
    </w:p>
    <w:p w14:paraId="3FD11035" w14:textId="77777777" w:rsidR="00742401" w:rsidRPr="00742401" w:rsidRDefault="00742401" w:rsidP="00742401">
      <w:pPr>
        <w:pStyle w:val="ListParagraph"/>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lang w:val="en-US"/>
        </w:rPr>
      </w:pPr>
    </w:p>
    <w:p w14:paraId="4469C0D7" w14:textId="286F9B95" w:rsidR="00742401" w:rsidRPr="00742401" w:rsidRDefault="00D85B7B" w:rsidP="003A61E7">
      <w:pPr>
        <w:pStyle w:val="ListParagraph"/>
        <w:widowControl w:val="0"/>
        <w:numPr>
          <w:ilvl w:val="0"/>
          <w:numId w:val="18"/>
        </w:num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lang w:val="en-US"/>
        </w:rPr>
      </w:pPr>
      <w:r w:rsidRPr="00742401">
        <w:rPr>
          <w:rFonts w:cs="Arial"/>
          <w:sz w:val="24"/>
          <w:szCs w:val="24"/>
        </w:rPr>
        <w:t>People with disability face restricted access to participation in all aspects of life as a direct result of inaccessibility of the built environment. Whilst the Premises Standards have made a significant impact in ameliorating many barriers, there is considerable room for the Standards to be strengthened and applied more robustly.</w:t>
      </w:r>
      <w:r w:rsidR="00435051" w:rsidRPr="00742401">
        <w:rPr>
          <w:rFonts w:cs="Calibri"/>
          <w:sz w:val="24"/>
          <w:szCs w:val="24"/>
          <w:lang w:val="en-US"/>
        </w:rPr>
        <w:t xml:space="preserve"> </w:t>
      </w:r>
    </w:p>
    <w:p w14:paraId="706A9883" w14:textId="77777777" w:rsidR="00742401" w:rsidRPr="00742401" w:rsidRDefault="00742401" w:rsidP="00742401">
      <w:pPr>
        <w:pStyle w:val="ListParagraph"/>
        <w:widowControl w:val="0"/>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rFonts w:cs="Calibri"/>
          <w:sz w:val="24"/>
          <w:szCs w:val="24"/>
          <w:lang w:val="en-US"/>
        </w:rPr>
      </w:pPr>
    </w:p>
    <w:p w14:paraId="6CFD8F5D" w14:textId="3351CF56" w:rsidR="0036535D" w:rsidRPr="00742401" w:rsidRDefault="009945B1" w:rsidP="00742401">
      <w:pPr>
        <w:pStyle w:val="ListParagraph"/>
        <w:widowControl w:val="0"/>
        <w:numPr>
          <w:ilvl w:val="0"/>
          <w:numId w:val="18"/>
        </w:numPr>
        <w:tabs>
          <w:tab w:val="left"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rPr>
          <w:sz w:val="24"/>
          <w:szCs w:val="24"/>
        </w:rPr>
      </w:pPr>
      <w:r w:rsidRPr="00742401">
        <w:rPr>
          <w:bCs/>
          <w:sz w:val="24"/>
          <w:szCs w:val="24"/>
        </w:rPr>
        <w:t>DPO Australia and Disability Voices Tasmania thanks the Department for the opportunity to contribute to this Inquiry and we welcome further consultation on any of the matters raised in this submission</w:t>
      </w:r>
      <w:r w:rsidR="00742401">
        <w:rPr>
          <w:bCs/>
          <w:sz w:val="24"/>
          <w:szCs w:val="24"/>
        </w:rPr>
        <w:t>.</w:t>
      </w:r>
      <w:r w:rsidRPr="00742401">
        <w:rPr>
          <w:rFonts w:cs="Calibri"/>
          <w:sz w:val="24"/>
          <w:szCs w:val="24"/>
          <w:lang w:val="en-US"/>
        </w:rPr>
        <w:t xml:space="preserve"> </w:t>
      </w:r>
      <w:bookmarkEnd w:id="3"/>
    </w:p>
    <w:sectPr w:rsidR="0036535D" w:rsidRPr="00742401" w:rsidSect="007703C1">
      <w:footerReference w:type="even" r:id="rId16"/>
      <w:footerReference w:type="default" r:id="rId17"/>
      <w:pgSz w:w="11900" w:h="16840"/>
      <w:pgMar w:top="1418" w:right="1835" w:bottom="851" w:left="1134"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olyn Frohmader" w:date="2021-04-22T16:17:00Z" w:initials="CF">
    <w:p w14:paraId="60DDF2A9" w14:textId="3DB325EC" w:rsidR="009C0F9B" w:rsidRDefault="009C0F9B">
      <w:pPr>
        <w:pStyle w:val="CommentText"/>
      </w:pPr>
      <w:r>
        <w:rPr>
          <w:rStyle w:val="CommentReference"/>
        </w:rPr>
        <w:annotationRef/>
      </w:r>
      <w:r>
        <w:t>Can you double check this? I think it might be incorrect? I think its:</w:t>
      </w:r>
    </w:p>
    <w:p w14:paraId="59E9D45A" w14:textId="3389B576" w:rsidR="009C0F9B" w:rsidRDefault="00F47415">
      <w:pPr>
        <w:pStyle w:val="CommentText"/>
      </w:pPr>
      <w:hyperlink r:id="rId1" w:history="1">
        <w:r w:rsidR="009C0F9B" w:rsidRPr="002D45DD">
          <w:rPr>
            <w:rStyle w:val="Hyperlink"/>
          </w:rPr>
          <w:t>samanthaf@pwd.org.au</w:t>
        </w:r>
      </w:hyperlink>
    </w:p>
    <w:p w14:paraId="15175134" w14:textId="77777777" w:rsidR="009C0F9B" w:rsidRDefault="009C0F9B">
      <w:pPr>
        <w:pStyle w:val="CommentText"/>
      </w:pPr>
    </w:p>
    <w:p w14:paraId="6045476F" w14:textId="27557933" w:rsidR="009C0F9B" w:rsidRDefault="009C0F9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45476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C2010" w16cex:dateUtc="2021-04-22T0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45476F" w16cid:durableId="242C20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FE21" w14:textId="77777777" w:rsidR="00F47415" w:rsidRDefault="00F47415" w:rsidP="00F5359F">
      <w:r>
        <w:separator/>
      </w:r>
    </w:p>
  </w:endnote>
  <w:endnote w:type="continuationSeparator" w:id="0">
    <w:p w14:paraId="11AAC19F" w14:textId="77777777" w:rsidR="00F47415" w:rsidRDefault="00F47415" w:rsidP="00F5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F6CD" w14:textId="77777777" w:rsidR="009444B8" w:rsidRDefault="009444B8" w:rsidP="00007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70F6AD" w14:textId="77777777" w:rsidR="009444B8" w:rsidRDefault="009444B8" w:rsidP="00007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7477" w14:textId="77777777" w:rsidR="009444B8" w:rsidRDefault="009444B8" w:rsidP="00007B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769EE45" w14:textId="77777777" w:rsidR="009444B8" w:rsidRDefault="009444B8" w:rsidP="00007B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2F6E" w14:textId="77777777" w:rsidR="00F47415" w:rsidRDefault="00F47415" w:rsidP="00F5359F">
      <w:r>
        <w:separator/>
      </w:r>
    </w:p>
  </w:footnote>
  <w:footnote w:type="continuationSeparator" w:id="0">
    <w:p w14:paraId="35CCF1B3" w14:textId="77777777" w:rsidR="00F47415" w:rsidRDefault="00F47415" w:rsidP="00F5359F">
      <w:r>
        <w:continuationSeparator/>
      </w:r>
    </w:p>
  </w:footnote>
  <w:footnote w:id="1">
    <w:p w14:paraId="41D1A561" w14:textId="77777777" w:rsidR="00B3696C" w:rsidRPr="00027C58" w:rsidRDefault="00B3696C" w:rsidP="00B3696C">
      <w:pPr>
        <w:pStyle w:val="FootnoteText"/>
      </w:pPr>
      <w:r w:rsidRPr="00027C58">
        <w:rPr>
          <w:rStyle w:val="FootnoteReference"/>
        </w:rPr>
        <w:footnoteRef/>
      </w:r>
      <w:r w:rsidRPr="00027C58">
        <w:t xml:space="preserve"> United Nations, </w:t>
      </w:r>
      <w:r w:rsidRPr="00027C58">
        <w:rPr>
          <w:i/>
        </w:rPr>
        <w:t>Convention on the Rights of Persons with Disabilities</w:t>
      </w:r>
      <w:r w:rsidRPr="00027C58">
        <w:t xml:space="preserve">, Article 4, </w:t>
      </w:r>
      <w:hyperlink r:id="rId1" w:history="1">
        <w:r w:rsidRPr="00027C58">
          <w:rPr>
            <w:rStyle w:val="Hyperlink"/>
            <w:lang w:val="en-US"/>
          </w:rPr>
          <w:t>www.un.org/disabilities/convention/conventionfull.shtml</w:t>
        </w:r>
      </w:hyperlink>
    </w:p>
  </w:footnote>
  <w:footnote w:id="2">
    <w:p w14:paraId="22C24D1C" w14:textId="77777777" w:rsidR="00B3696C" w:rsidRPr="00027C58" w:rsidRDefault="00B3696C" w:rsidP="00B3696C">
      <w:pPr>
        <w:pStyle w:val="FootnoteText"/>
      </w:pPr>
      <w:r w:rsidRPr="00027C58">
        <w:rPr>
          <w:rStyle w:val="FootnoteReference"/>
        </w:rPr>
        <w:footnoteRef/>
      </w:r>
      <w:r w:rsidRPr="00027C58">
        <w:t xml:space="preserve"> Council of Australian Governments, </w:t>
      </w:r>
      <w:r w:rsidRPr="00027C58">
        <w:rPr>
          <w:i/>
        </w:rPr>
        <w:t>National Disability Strategy 2010-2020,</w:t>
      </w:r>
      <w:r w:rsidRPr="00027C58">
        <w:t xml:space="preserve"> page 23, </w:t>
      </w:r>
      <w:hyperlink r:id="rId2" w:history="1">
        <w:r w:rsidRPr="00027C58">
          <w:rPr>
            <w:rStyle w:val="Hyperlink"/>
          </w:rPr>
          <w:t>https://www.dss.gov.au/sites/default/files/documents/05_2012/national_disability_strategy_2010_2020.pdf</w:t>
        </w:r>
      </w:hyperlink>
      <w:r w:rsidRPr="00027C58">
        <w:t xml:space="preserve"> </w:t>
      </w:r>
    </w:p>
  </w:footnote>
  <w:footnote w:id="3">
    <w:p w14:paraId="6370688F" w14:textId="03E24B72" w:rsidR="005F1A2D" w:rsidRDefault="005F1A2D">
      <w:pPr>
        <w:pStyle w:val="FootnoteText"/>
      </w:pPr>
      <w:r>
        <w:rPr>
          <w:rStyle w:val="FootnoteReference"/>
        </w:rPr>
        <w:footnoteRef/>
      </w:r>
      <w:r>
        <w:t xml:space="preserve"> </w:t>
      </w:r>
      <w:r w:rsidRPr="005F1A2D">
        <w:t>https://www.access-board.gov/</w:t>
      </w:r>
    </w:p>
  </w:footnote>
  <w:footnote w:id="4">
    <w:p w14:paraId="41C0E2D8" w14:textId="4FB23961" w:rsidR="005F1A2D" w:rsidRDefault="005F1A2D">
      <w:pPr>
        <w:pStyle w:val="FootnoteText"/>
      </w:pPr>
      <w:r>
        <w:rPr>
          <w:rStyle w:val="FootnoteReference"/>
        </w:rPr>
        <w:footnoteRef/>
      </w:r>
      <w:r>
        <w:t xml:space="preserve"> </w:t>
      </w:r>
      <w:r w:rsidRPr="005F1A2D">
        <w:t>http://universaldesign.ie/home/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644" w:hanging="360"/>
      </w:pPr>
      <w:rPr>
        <w:rFonts w:ascii="Symbol" w:hAnsi="Symbol" w:cs="Symbol"/>
        <w:b w:val="0"/>
        <w:color w:val="000000"/>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cs="Wingdings"/>
      </w:rPr>
    </w:lvl>
    <w:lvl w:ilvl="3">
      <w:start w:val="1"/>
      <w:numFmt w:val="bullet"/>
      <w:lvlText w:val=""/>
      <w:lvlJc w:val="left"/>
      <w:pPr>
        <w:tabs>
          <w:tab w:val="num" w:pos="0"/>
        </w:tabs>
        <w:ind w:left="2804" w:hanging="360"/>
      </w:pPr>
      <w:rPr>
        <w:rFonts w:ascii="Symbol" w:hAnsi="Symbol" w:cs="Symbol"/>
        <w:b w:val="0"/>
        <w:color w:val="000000"/>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cs="Wingdings"/>
      </w:rPr>
    </w:lvl>
    <w:lvl w:ilvl="6">
      <w:start w:val="1"/>
      <w:numFmt w:val="bullet"/>
      <w:lvlText w:val=""/>
      <w:lvlJc w:val="left"/>
      <w:pPr>
        <w:tabs>
          <w:tab w:val="num" w:pos="0"/>
        </w:tabs>
        <w:ind w:left="4964" w:hanging="360"/>
      </w:pPr>
      <w:rPr>
        <w:rFonts w:ascii="Symbol" w:hAnsi="Symbol" w:cs="Symbol"/>
        <w:b w:val="0"/>
        <w:color w:val="000000"/>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cs="Wingdings"/>
      </w:rPr>
    </w:lvl>
  </w:abstractNum>
  <w:abstractNum w:abstractNumId="1" w15:restartNumberingAfterBreak="0">
    <w:nsid w:val="00000004"/>
    <w:multiLevelType w:val="multilevel"/>
    <w:tmpl w:val="00000004"/>
    <w:name w:val="WWNum3"/>
    <w:lvl w:ilvl="0">
      <w:start w:val="1"/>
      <w:numFmt w:val="bullet"/>
      <w:lvlText w:val="•"/>
      <w:lvlJc w:val="left"/>
      <w:pPr>
        <w:tabs>
          <w:tab w:val="num" w:pos="0"/>
        </w:tabs>
        <w:ind w:left="453" w:hanging="260"/>
      </w:pPr>
      <w:rPr>
        <w:rFonts w:ascii="Verdana" w:hAnsi="Verdana"/>
        <w:color w:val="00659E"/>
        <w:sz w:val="24"/>
        <w:szCs w:val="24"/>
      </w:rPr>
    </w:lvl>
    <w:lvl w:ilvl="1">
      <w:start w:val="1"/>
      <w:numFmt w:val="bullet"/>
      <w:lvlText w:val=""/>
      <w:lvlJc w:val="left"/>
      <w:pPr>
        <w:tabs>
          <w:tab w:val="num" w:pos="0"/>
        </w:tabs>
        <w:ind w:left="1598" w:hanging="260"/>
      </w:pPr>
      <w:rPr>
        <w:rFonts w:ascii="Symbol" w:hAnsi="Symbol"/>
      </w:rPr>
    </w:lvl>
    <w:lvl w:ilvl="2">
      <w:start w:val="1"/>
      <w:numFmt w:val="bullet"/>
      <w:lvlText w:val=""/>
      <w:lvlJc w:val="left"/>
      <w:pPr>
        <w:tabs>
          <w:tab w:val="num" w:pos="0"/>
        </w:tabs>
        <w:ind w:left="2743" w:hanging="260"/>
      </w:pPr>
      <w:rPr>
        <w:rFonts w:ascii="Symbol" w:hAnsi="Symbol"/>
      </w:rPr>
    </w:lvl>
    <w:lvl w:ilvl="3">
      <w:start w:val="1"/>
      <w:numFmt w:val="bullet"/>
      <w:lvlText w:val=""/>
      <w:lvlJc w:val="left"/>
      <w:pPr>
        <w:tabs>
          <w:tab w:val="num" w:pos="0"/>
        </w:tabs>
        <w:ind w:left="3889" w:hanging="260"/>
      </w:pPr>
      <w:rPr>
        <w:rFonts w:ascii="Symbol" w:hAnsi="Symbol"/>
      </w:rPr>
    </w:lvl>
    <w:lvl w:ilvl="4">
      <w:start w:val="1"/>
      <w:numFmt w:val="bullet"/>
      <w:lvlText w:val=""/>
      <w:lvlJc w:val="left"/>
      <w:pPr>
        <w:tabs>
          <w:tab w:val="num" w:pos="0"/>
        </w:tabs>
        <w:ind w:left="5034" w:hanging="260"/>
      </w:pPr>
      <w:rPr>
        <w:rFonts w:ascii="Symbol" w:hAnsi="Symbol"/>
      </w:rPr>
    </w:lvl>
    <w:lvl w:ilvl="5">
      <w:start w:val="1"/>
      <w:numFmt w:val="bullet"/>
      <w:lvlText w:val=""/>
      <w:lvlJc w:val="left"/>
      <w:pPr>
        <w:tabs>
          <w:tab w:val="num" w:pos="0"/>
        </w:tabs>
        <w:ind w:left="6179" w:hanging="260"/>
      </w:pPr>
      <w:rPr>
        <w:rFonts w:ascii="Symbol" w:hAnsi="Symbol"/>
      </w:rPr>
    </w:lvl>
    <w:lvl w:ilvl="6">
      <w:start w:val="1"/>
      <w:numFmt w:val="bullet"/>
      <w:lvlText w:val=""/>
      <w:lvlJc w:val="left"/>
      <w:pPr>
        <w:tabs>
          <w:tab w:val="num" w:pos="0"/>
        </w:tabs>
        <w:ind w:left="7324" w:hanging="260"/>
      </w:pPr>
      <w:rPr>
        <w:rFonts w:ascii="Symbol" w:hAnsi="Symbol"/>
      </w:rPr>
    </w:lvl>
    <w:lvl w:ilvl="7">
      <w:start w:val="1"/>
      <w:numFmt w:val="bullet"/>
      <w:lvlText w:val=""/>
      <w:lvlJc w:val="left"/>
      <w:pPr>
        <w:tabs>
          <w:tab w:val="num" w:pos="0"/>
        </w:tabs>
        <w:ind w:left="8469" w:hanging="260"/>
      </w:pPr>
      <w:rPr>
        <w:rFonts w:ascii="Symbol" w:hAnsi="Symbol"/>
      </w:rPr>
    </w:lvl>
    <w:lvl w:ilvl="8">
      <w:start w:val="1"/>
      <w:numFmt w:val="bullet"/>
      <w:lvlText w:val=""/>
      <w:lvlJc w:val="left"/>
      <w:pPr>
        <w:tabs>
          <w:tab w:val="num" w:pos="0"/>
        </w:tabs>
        <w:ind w:left="9615" w:hanging="260"/>
      </w:pPr>
      <w:rPr>
        <w:rFonts w:ascii="Symbol" w:hAnsi="Symbol"/>
      </w:rPr>
    </w:lvl>
  </w:abstractNum>
  <w:abstractNum w:abstractNumId="2" w15:restartNumberingAfterBreak="0">
    <w:nsid w:val="084A245A"/>
    <w:multiLevelType w:val="hybridMultilevel"/>
    <w:tmpl w:val="B8F62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353C4"/>
    <w:multiLevelType w:val="hybridMultilevel"/>
    <w:tmpl w:val="4760AF80"/>
    <w:lvl w:ilvl="0" w:tplc="8FDECC0E">
      <w:numFmt w:val="bullet"/>
      <w:lvlText w:val="-"/>
      <w:lvlJc w:val="left"/>
      <w:pPr>
        <w:ind w:left="1070" w:hanging="360"/>
      </w:pPr>
      <w:rPr>
        <w:rFonts w:ascii="Calibri" w:eastAsia="Calibri" w:hAnsi="Calibri" w:cs="Calibri"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15:restartNumberingAfterBreak="0">
    <w:nsid w:val="0E810EC7"/>
    <w:multiLevelType w:val="hybridMultilevel"/>
    <w:tmpl w:val="11F8A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AE624D"/>
    <w:multiLevelType w:val="hybridMultilevel"/>
    <w:tmpl w:val="0D92F2C0"/>
    <w:lvl w:ilvl="0" w:tplc="5C968356">
      <w:start w:val="10"/>
      <w:numFmt w:val="bullet"/>
      <w:lvlText w:val="-"/>
      <w:lvlJc w:val="left"/>
      <w:pPr>
        <w:ind w:left="720" w:hanging="360"/>
      </w:pPr>
      <w:rPr>
        <w:rFonts w:ascii="Calibri" w:eastAsia="Calibri" w:hAnsi="Calibri"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E369C4"/>
    <w:multiLevelType w:val="hybridMultilevel"/>
    <w:tmpl w:val="7AB86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3B5DCE"/>
    <w:multiLevelType w:val="hybridMultilevel"/>
    <w:tmpl w:val="30FA5CB0"/>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4D5222"/>
    <w:multiLevelType w:val="hybridMultilevel"/>
    <w:tmpl w:val="786C3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D10925"/>
    <w:multiLevelType w:val="hybridMultilevel"/>
    <w:tmpl w:val="6352DC94"/>
    <w:lvl w:ilvl="0" w:tplc="93246AEC">
      <w:start w:val="7"/>
      <w:numFmt w:val="bullet"/>
      <w:lvlText w:val="-"/>
      <w:lvlJc w:val="left"/>
      <w:pPr>
        <w:ind w:left="720" w:hanging="360"/>
      </w:pPr>
      <w:rPr>
        <w:rFonts w:ascii="Calibri" w:eastAsia="Calibri" w:hAnsi="Calibri"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495CDB"/>
    <w:multiLevelType w:val="hybridMultilevel"/>
    <w:tmpl w:val="F4CCE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2C767F"/>
    <w:multiLevelType w:val="multilevel"/>
    <w:tmpl w:val="C0145842"/>
    <w:lvl w:ilvl="0">
      <w:start w:val="1"/>
      <w:numFmt w:val="decimal"/>
      <w:pStyle w:val="Heading1"/>
      <w:lvlText w:val="%1."/>
      <w:lvlJc w:val="left"/>
      <w:pPr>
        <w:ind w:left="36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AC0127F"/>
    <w:multiLevelType w:val="hybridMultilevel"/>
    <w:tmpl w:val="080C3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520157"/>
    <w:multiLevelType w:val="hybridMultilevel"/>
    <w:tmpl w:val="43B60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2E10FD"/>
    <w:multiLevelType w:val="hybridMultilevel"/>
    <w:tmpl w:val="A154A084"/>
    <w:lvl w:ilvl="0" w:tplc="A6EACFDA">
      <w:numFmt w:val="bullet"/>
      <w:lvlText w:val=""/>
      <w:lvlJc w:val="left"/>
      <w:pPr>
        <w:ind w:left="720" w:hanging="360"/>
      </w:pPr>
      <w:rPr>
        <w:rFonts w:ascii="Symbol" w:eastAsiaTheme="minorHAnsi" w:hAnsi="Symbol" w:cstheme="minorBidi" w:hint="default"/>
      </w:rPr>
    </w:lvl>
    <w:lvl w:ilvl="1" w:tplc="E36889C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DA7319"/>
    <w:multiLevelType w:val="hybridMultilevel"/>
    <w:tmpl w:val="CA2ECE9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8C53D4"/>
    <w:multiLevelType w:val="hybridMultilevel"/>
    <w:tmpl w:val="656A0A6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726604A"/>
    <w:multiLevelType w:val="hybridMultilevel"/>
    <w:tmpl w:val="5852A774"/>
    <w:lvl w:ilvl="0" w:tplc="B05C357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CC5608B"/>
    <w:multiLevelType w:val="hybridMultilevel"/>
    <w:tmpl w:val="41F85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7"/>
  </w:num>
  <w:num w:numId="5">
    <w:abstractNumId w:val="17"/>
  </w:num>
  <w:num w:numId="6">
    <w:abstractNumId w:val="4"/>
  </w:num>
  <w:num w:numId="7">
    <w:abstractNumId w:val="11"/>
    <w:lvlOverride w:ilvl="0">
      <w:startOverride w:val="11"/>
    </w:lvlOverride>
    <w:lvlOverride w:ilvl="1">
      <w:startOverride w:val="1"/>
    </w:lvlOverride>
  </w:num>
  <w:num w:numId="8">
    <w:abstractNumId w:val="3"/>
  </w:num>
  <w:num w:numId="9">
    <w:abstractNumId w:val="8"/>
  </w:num>
  <w:num w:numId="10">
    <w:abstractNumId w:val="14"/>
  </w:num>
  <w:num w:numId="11">
    <w:abstractNumId w:val="2"/>
  </w:num>
  <w:num w:numId="12">
    <w:abstractNumId w:val="13"/>
  </w:num>
  <w:num w:numId="13">
    <w:abstractNumId w:val="15"/>
  </w:num>
  <w:num w:numId="14">
    <w:abstractNumId w:val="16"/>
  </w:num>
  <w:num w:numId="15">
    <w:abstractNumId w:val="10"/>
  </w:num>
  <w:num w:numId="16">
    <w:abstractNumId w:val="18"/>
  </w:num>
  <w:num w:numId="17">
    <w:abstractNumId w:val="12"/>
  </w:num>
  <w:num w:numId="18">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yn Frohmader">
    <w15:presenceInfo w15:providerId="AD" w15:userId="S::carolyn@wwda.org.au::81e96313-677d-4535-adc6-dfa4e40a71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59F"/>
    <w:rsid w:val="00001C9C"/>
    <w:rsid w:val="00003D2A"/>
    <w:rsid w:val="00004DE2"/>
    <w:rsid w:val="00006FA0"/>
    <w:rsid w:val="00007B29"/>
    <w:rsid w:val="0001000D"/>
    <w:rsid w:val="000145B0"/>
    <w:rsid w:val="0001660C"/>
    <w:rsid w:val="00016778"/>
    <w:rsid w:val="000172E3"/>
    <w:rsid w:val="0002124C"/>
    <w:rsid w:val="00021622"/>
    <w:rsid w:val="00021A65"/>
    <w:rsid w:val="000221A9"/>
    <w:rsid w:val="0002396A"/>
    <w:rsid w:val="00026CD4"/>
    <w:rsid w:val="000314D5"/>
    <w:rsid w:val="00031B67"/>
    <w:rsid w:val="00033656"/>
    <w:rsid w:val="00034A13"/>
    <w:rsid w:val="000406A5"/>
    <w:rsid w:val="00040921"/>
    <w:rsid w:val="00042928"/>
    <w:rsid w:val="00042B65"/>
    <w:rsid w:val="00046907"/>
    <w:rsid w:val="000479A5"/>
    <w:rsid w:val="00057384"/>
    <w:rsid w:val="00070C5B"/>
    <w:rsid w:val="0007183E"/>
    <w:rsid w:val="00072711"/>
    <w:rsid w:val="0007374D"/>
    <w:rsid w:val="0007433F"/>
    <w:rsid w:val="00074AF4"/>
    <w:rsid w:val="00075D58"/>
    <w:rsid w:val="00077064"/>
    <w:rsid w:val="000803E1"/>
    <w:rsid w:val="0008247B"/>
    <w:rsid w:val="0008307F"/>
    <w:rsid w:val="00085049"/>
    <w:rsid w:val="00086427"/>
    <w:rsid w:val="000874A0"/>
    <w:rsid w:val="00096D86"/>
    <w:rsid w:val="000973E7"/>
    <w:rsid w:val="000A08D4"/>
    <w:rsid w:val="000A1B68"/>
    <w:rsid w:val="000A6408"/>
    <w:rsid w:val="000A68BC"/>
    <w:rsid w:val="000A6C4D"/>
    <w:rsid w:val="000B0A04"/>
    <w:rsid w:val="000B18A2"/>
    <w:rsid w:val="000B1E09"/>
    <w:rsid w:val="000B3B5F"/>
    <w:rsid w:val="000B4FB4"/>
    <w:rsid w:val="000B7A49"/>
    <w:rsid w:val="000C1698"/>
    <w:rsid w:val="000C20EF"/>
    <w:rsid w:val="000C4B73"/>
    <w:rsid w:val="000C6CC8"/>
    <w:rsid w:val="000C6D8A"/>
    <w:rsid w:val="000D02F9"/>
    <w:rsid w:val="000D0DC6"/>
    <w:rsid w:val="000D1904"/>
    <w:rsid w:val="000D212B"/>
    <w:rsid w:val="000D213B"/>
    <w:rsid w:val="000D2F29"/>
    <w:rsid w:val="000D432E"/>
    <w:rsid w:val="000E1588"/>
    <w:rsid w:val="000E33D0"/>
    <w:rsid w:val="000E3ECE"/>
    <w:rsid w:val="000E64F6"/>
    <w:rsid w:val="000F1A9F"/>
    <w:rsid w:val="000F2B73"/>
    <w:rsid w:val="000F709C"/>
    <w:rsid w:val="000F73EA"/>
    <w:rsid w:val="00101687"/>
    <w:rsid w:val="00103427"/>
    <w:rsid w:val="00103BCD"/>
    <w:rsid w:val="001056CE"/>
    <w:rsid w:val="0010595C"/>
    <w:rsid w:val="00106D47"/>
    <w:rsid w:val="00113CAF"/>
    <w:rsid w:val="00114425"/>
    <w:rsid w:val="00114D6E"/>
    <w:rsid w:val="00116FC4"/>
    <w:rsid w:val="001170BC"/>
    <w:rsid w:val="00120629"/>
    <w:rsid w:val="00126525"/>
    <w:rsid w:val="00127147"/>
    <w:rsid w:val="001303BD"/>
    <w:rsid w:val="00130E83"/>
    <w:rsid w:val="00132D43"/>
    <w:rsid w:val="00133235"/>
    <w:rsid w:val="00134DAC"/>
    <w:rsid w:val="0013751C"/>
    <w:rsid w:val="00140B3B"/>
    <w:rsid w:val="00140B59"/>
    <w:rsid w:val="00141B1A"/>
    <w:rsid w:val="00144BDC"/>
    <w:rsid w:val="001463E5"/>
    <w:rsid w:val="0014650E"/>
    <w:rsid w:val="001471C5"/>
    <w:rsid w:val="0014777A"/>
    <w:rsid w:val="00157504"/>
    <w:rsid w:val="00161019"/>
    <w:rsid w:val="001618B1"/>
    <w:rsid w:val="00172F3D"/>
    <w:rsid w:val="00172FAE"/>
    <w:rsid w:val="0017386E"/>
    <w:rsid w:val="001740B2"/>
    <w:rsid w:val="00175977"/>
    <w:rsid w:val="001776A5"/>
    <w:rsid w:val="001834C4"/>
    <w:rsid w:val="0018493E"/>
    <w:rsid w:val="00184B28"/>
    <w:rsid w:val="00192870"/>
    <w:rsid w:val="001961D0"/>
    <w:rsid w:val="00196C02"/>
    <w:rsid w:val="00197B45"/>
    <w:rsid w:val="001A0A78"/>
    <w:rsid w:val="001B1328"/>
    <w:rsid w:val="001B153B"/>
    <w:rsid w:val="001B3268"/>
    <w:rsid w:val="001B3D2B"/>
    <w:rsid w:val="001B3FC3"/>
    <w:rsid w:val="001B4E36"/>
    <w:rsid w:val="001C06A9"/>
    <w:rsid w:val="001C4A8D"/>
    <w:rsid w:val="001C64A8"/>
    <w:rsid w:val="001C7971"/>
    <w:rsid w:val="001D137D"/>
    <w:rsid w:val="001D3524"/>
    <w:rsid w:val="001D7A2A"/>
    <w:rsid w:val="001E1FC7"/>
    <w:rsid w:val="001E2DC8"/>
    <w:rsid w:val="001E59E7"/>
    <w:rsid w:val="001E5DD6"/>
    <w:rsid w:val="001E7B6B"/>
    <w:rsid w:val="001F12ED"/>
    <w:rsid w:val="001F1836"/>
    <w:rsid w:val="001F3E46"/>
    <w:rsid w:val="001F3EB3"/>
    <w:rsid w:val="001F4365"/>
    <w:rsid w:val="001F69B0"/>
    <w:rsid w:val="00200AB1"/>
    <w:rsid w:val="0020430A"/>
    <w:rsid w:val="00204529"/>
    <w:rsid w:val="0020502D"/>
    <w:rsid w:val="0020615A"/>
    <w:rsid w:val="00215F4A"/>
    <w:rsid w:val="00220A70"/>
    <w:rsid w:val="00220BB8"/>
    <w:rsid w:val="00226846"/>
    <w:rsid w:val="002351FB"/>
    <w:rsid w:val="00236795"/>
    <w:rsid w:val="00236EBA"/>
    <w:rsid w:val="0024422D"/>
    <w:rsid w:val="00247702"/>
    <w:rsid w:val="00251677"/>
    <w:rsid w:val="00252342"/>
    <w:rsid w:val="002527A1"/>
    <w:rsid w:val="00253558"/>
    <w:rsid w:val="002558D2"/>
    <w:rsid w:val="00261C10"/>
    <w:rsid w:val="00262225"/>
    <w:rsid w:val="0027287E"/>
    <w:rsid w:val="002745AB"/>
    <w:rsid w:val="00274BF8"/>
    <w:rsid w:val="00282E61"/>
    <w:rsid w:val="002916B9"/>
    <w:rsid w:val="00291C5D"/>
    <w:rsid w:val="00295280"/>
    <w:rsid w:val="00296047"/>
    <w:rsid w:val="002970BC"/>
    <w:rsid w:val="002A26A0"/>
    <w:rsid w:val="002A5A36"/>
    <w:rsid w:val="002A5C23"/>
    <w:rsid w:val="002A63E9"/>
    <w:rsid w:val="002B35C7"/>
    <w:rsid w:val="002B65B5"/>
    <w:rsid w:val="002C145F"/>
    <w:rsid w:val="002C3DA6"/>
    <w:rsid w:val="002C4756"/>
    <w:rsid w:val="002C70CD"/>
    <w:rsid w:val="002C7383"/>
    <w:rsid w:val="002D02D9"/>
    <w:rsid w:val="002D1364"/>
    <w:rsid w:val="002D2D68"/>
    <w:rsid w:val="002D2E2E"/>
    <w:rsid w:val="002D3616"/>
    <w:rsid w:val="002D6D7D"/>
    <w:rsid w:val="002E631B"/>
    <w:rsid w:val="002E66CB"/>
    <w:rsid w:val="002F229A"/>
    <w:rsid w:val="002F2AA4"/>
    <w:rsid w:val="002F2E17"/>
    <w:rsid w:val="002F332B"/>
    <w:rsid w:val="002F4497"/>
    <w:rsid w:val="002F724C"/>
    <w:rsid w:val="003015BD"/>
    <w:rsid w:val="00301B32"/>
    <w:rsid w:val="00302C47"/>
    <w:rsid w:val="00304A84"/>
    <w:rsid w:val="0030500D"/>
    <w:rsid w:val="0031358E"/>
    <w:rsid w:val="00317D34"/>
    <w:rsid w:val="00321813"/>
    <w:rsid w:val="00322E18"/>
    <w:rsid w:val="00324269"/>
    <w:rsid w:val="003265CD"/>
    <w:rsid w:val="00326BEF"/>
    <w:rsid w:val="003323C4"/>
    <w:rsid w:val="00336B98"/>
    <w:rsid w:val="003401B4"/>
    <w:rsid w:val="00340B70"/>
    <w:rsid w:val="00341A16"/>
    <w:rsid w:val="00347C92"/>
    <w:rsid w:val="00350A0F"/>
    <w:rsid w:val="003556CA"/>
    <w:rsid w:val="00355F64"/>
    <w:rsid w:val="00357956"/>
    <w:rsid w:val="00357D0B"/>
    <w:rsid w:val="0036535D"/>
    <w:rsid w:val="0036765E"/>
    <w:rsid w:val="00367817"/>
    <w:rsid w:val="00370155"/>
    <w:rsid w:val="003739D9"/>
    <w:rsid w:val="00373CAD"/>
    <w:rsid w:val="00373F8F"/>
    <w:rsid w:val="0038266E"/>
    <w:rsid w:val="003828F2"/>
    <w:rsid w:val="003856DD"/>
    <w:rsid w:val="00387F43"/>
    <w:rsid w:val="003934E3"/>
    <w:rsid w:val="00393C0C"/>
    <w:rsid w:val="00394836"/>
    <w:rsid w:val="00396117"/>
    <w:rsid w:val="003A4330"/>
    <w:rsid w:val="003A52C6"/>
    <w:rsid w:val="003A60CE"/>
    <w:rsid w:val="003A659D"/>
    <w:rsid w:val="003B53CD"/>
    <w:rsid w:val="003B544D"/>
    <w:rsid w:val="003B6ED0"/>
    <w:rsid w:val="003C08DC"/>
    <w:rsid w:val="003C1679"/>
    <w:rsid w:val="003C4A31"/>
    <w:rsid w:val="003D0743"/>
    <w:rsid w:val="003D0B24"/>
    <w:rsid w:val="003D0F8B"/>
    <w:rsid w:val="003D37F1"/>
    <w:rsid w:val="003D6106"/>
    <w:rsid w:val="003D6EA4"/>
    <w:rsid w:val="003D7FC1"/>
    <w:rsid w:val="003E1B04"/>
    <w:rsid w:val="003E3B99"/>
    <w:rsid w:val="003E4DFB"/>
    <w:rsid w:val="003E57DA"/>
    <w:rsid w:val="003E6D10"/>
    <w:rsid w:val="004007B0"/>
    <w:rsid w:val="00401B41"/>
    <w:rsid w:val="00402C92"/>
    <w:rsid w:val="00403823"/>
    <w:rsid w:val="00405F37"/>
    <w:rsid w:val="004105BE"/>
    <w:rsid w:val="004114F9"/>
    <w:rsid w:val="004118AB"/>
    <w:rsid w:val="00413606"/>
    <w:rsid w:val="0041498C"/>
    <w:rsid w:val="00415978"/>
    <w:rsid w:val="00417B2D"/>
    <w:rsid w:val="00421285"/>
    <w:rsid w:val="004220CF"/>
    <w:rsid w:val="004235FE"/>
    <w:rsid w:val="0042523B"/>
    <w:rsid w:val="00426153"/>
    <w:rsid w:val="004262E2"/>
    <w:rsid w:val="00426AA6"/>
    <w:rsid w:val="0042788A"/>
    <w:rsid w:val="004333C8"/>
    <w:rsid w:val="00433E2C"/>
    <w:rsid w:val="00435051"/>
    <w:rsid w:val="004356A9"/>
    <w:rsid w:val="0043577A"/>
    <w:rsid w:val="00435EBB"/>
    <w:rsid w:val="00440153"/>
    <w:rsid w:val="00442943"/>
    <w:rsid w:val="004459DF"/>
    <w:rsid w:val="00446178"/>
    <w:rsid w:val="004461D5"/>
    <w:rsid w:val="004463F3"/>
    <w:rsid w:val="00447371"/>
    <w:rsid w:val="00447781"/>
    <w:rsid w:val="00447EA8"/>
    <w:rsid w:val="00452B76"/>
    <w:rsid w:val="004578F3"/>
    <w:rsid w:val="00464CDE"/>
    <w:rsid w:val="00473228"/>
    <w:rsid w:val="004757F2"/>
    <w:rsid w:val="004762BA"/>
    <w:rsid w:val="00480ADE"/>
    <w:rsid w:val="0048585C"/>
    <w:rsid w:val="00485DDA"/>
    <w:rsid w:val="004868F9"/>
    <w:rsid w:val="004919E6"/>
    <w:rsid w:val="00492B75"/>
    <w:rsid w:val="0049435A"/>
    <w:rsid w:val="0049545B"/>
    <w:rsid w:val="00496D0E"/>
    <w:rsid w:val="00497228"/>
    <w:rsid w:val="00497822"/>
    <w:rsid w:val="004A152F"/>
    <w:rsid w:val="004A6363"/>
    <w:rsid w:val="004A713B"/>
    <w:rsid w:val="004B0111"/>
    <w:rsid w:val="004B1C3C"/>
    <w:rsid w:val="004B30E3"/>
    <w:rsid w:val="004B3E39"/>
    <w:rsid w:val="004C3D06"/>
    <w:rsid w:val="004D1821"/>
    <w:rsid w:val="004D6139"/>
    <w:rsid w:val="004D6A81"/>
    <w:rsid w:val="004D745E"/>
    <w:rsid w:val="004F0D6A"/>
    <w:rsid w:val="004F4E1D"/>
    <w:rsid w:val="0050047C"/>
    <w:rsid w:val="00500889"/>
    <w:rsid w:val="00500C28"/>
    <w:rsid w:val="005011D9"/>
    <w:rsid w:val="005131F6"/>
    <w:rsid w:val="00514229"/>
    <w:rsid w:val="005209EA"/>
    <w:rsid w:val="005220CD"/>
    <w:rsid w:val="0052235C"/>
    <w:rsid w:val="00525C27"/>
    <w:rsid w:val="0052619C"/>
    <w:rsid w:val="00530C43"/>
    <w:rsid w:val="00530DD5"/>
    <w:rsid w:val="005327CC"/>
    <w:rsid w:val="00532F9B"/>
    <w:rsid w:val="00533B01"/>
    <w:rsid w:val="0053582A"/>
    <w:rsid w:val="00537C2A"/>
    <w:rsid w:val="005434D4"/>
    <w:rsid w:val="005441D8"/>
    <w:rsid w:val="00544CF9"/>
    <w:rsid w:val="00545D64"/>
    <w:rsid w:val="005466D3"/>
    <w:rsid w:val="00546BE5"/>
    <w:rsid w:val="00552483"/>
    <w:rsid w:val="005533BC"/>
    <w:rsid w:val="0055396E"/>
    <w:rsid w:val="0055496B"/>
    <w:rsid w:val="00555CF3"/>
    <w:rsid w:val="005562FF"/>
    <w:rsid w:val="00556932"/>
    <w:rsid w:val="00562A47"/>
    <w:rsid w:val="005677EF"/>
    <w:rsid w:val="005707F4"/>
    <w:rsid w:val="00573E02"/>
    <w:rsid w:val="00574648"/>
    <w:rsid w:val="005747AA"/>
    <w:rsid w:val="00575C1D"/>
    <w:rsid w:val="00576A21"/>
    <w:rsid w:val="00581439"/>
    <w:rsid w:val="00581A57"/>
    <w:rsid w:val="0058220C"/>
    <w:rsid w:val="00584CC5"/>
    <w:rsid w:val="005930BA"/>
    <w:rsid w:val="005948BA"/>
    <w:rsid w:val="00595A67"/>
    <w:rsid w:val="00595B28"/>
    <w:rsid w:val="005971F6"/>
    <w:rsid w:val="005975E4"/>
    <w:rsid w:val="00597A43"/>
    <w:rsid w:val="005A2E44"/>
    <w:rsid w:val="005A58AC"/>
    <w:rsid w:val="005B12F3"/>
    <w:rsid w:val="005B2F35"/>
    <w:rsid w:val="005B32A5"/>
    <w:rsid w:val="005B39BE"/>
    <w:rsid w:val="005B48E5"/>
    <w:rsid w:val="005B52EE"/>
    <w:rsid w:val="005C43BC"/>
    <w:rsid w:val="005D15C4"/>
    <w:rsid w:val="005D20AB"/>
    <w:rsid w:val="005D21B6"/>
    <w:rsid w:val="005D4B0E"/>
    <w:rsid w:val="005E30BA"/>
    <w:rsid w:val="005E31EA"/>
    <w:rsid w:val="005E3318"/>
    <w:rsid w:val="005E66F4"/>
    <w:rsid w:val="005F0EF3"/>
    <w:rsid w:val="005F1A2D"/>
    <w:rsid w:val="005F2F95"/>
    <w:rsid w:val="005F3697"/>
    <w:rsid w:val="005F42CF"/>
    <w:rsid w:val="005F4A07"/>
    <w:rsid w:val="005F6E2B"/>
    <w:rsid w:val="005F7079"/>
    <w:rsid w:val="005F747B"/>
    <w:rsid w:val="00600352"/>
    <w:rsid w:val="00602930"/>
    <w:rsid w:val="00606968"/>
    <w:rsid w:val="00606EE1"/>
    <w:rsid w:val="0060737C"/>
    <w:rsid w:val="00611074"/>
    <w:rsid w:val="0061133B"/>
    <w:rsid w:val="00614D93"/>
    <w:rsid w:val="00616C09"/>
    <w:rsid w:val="00616EF8"/>
    <w:rsid w:val="00617954"/>
    <w:rsid w:val="00622212"/>
    <w:rsid w:val="00623241"/>
    <w:rsid w:val="006245C4"/>
    <w:rsid w:val="006245EE"/>
    <w:rsid w:val="0062492A"/>
    <w:rsid w:val="006249DA"/>
    <w:rsid w:val="0062618D"/>
    <w:rsid w:val="00626293"/>
    <w:rsid w:val="006274EF"/>
    <w:rsid w:val="00633AC7"/>
    <w:rsid w:val="006352A0"/>
    <w:rsid w:val="00636D0B"/>
    <w:rsid w:val="00642B31"/>
    <w:rsid w:val="00645807"/>
    <w:rsid w:val="00651F57"/>
    <w:rsid w:val="006522A5"/>
    <w:rsid w:val="00654372"/>
    <w:rsid w:val="006543E9"/>
    <w:rsid w:val="0065481E"/>
    <w:rsid w:val="0065486C"/>
    <w:rsid w:val="006549E7"/>
    <w:rsid w:val="00654FD0"/>
    <w:rsid w:val="006555CE"/>
    <w:rsid w:val="00655BF9"/>
    <w:rsid w:val="00657663"/>
    <w:rsid w:val="0066138D"/>
    <w:rsid w:val="0066573B"/>
    <w:rsid w:val="00670DF9"/>
    <w:rsid w:val="0067181A"/>
    <w:rsid w:val="006733AC"/>
    <w:rsid w:val="0067484E"/>
    <w:rsid w:val="00681B59"/>
    <w:rsid w:val="006853F9"/>
    <w:rsid w:val="00694A2B"/>
    <w:rsid w:val="006A0E12"/>
    <w:rsid w:val="006A2A15"/>
    <w:rsid w:val="006A4D82"/>
    <w:rsid w:val="006A59FB"/>
    <w:rsid w:val="006B2405"/>
    <w:rsid w:val="006B45FF"/>
    <w:rsid w:val="006B5958"/>
    <w:rsid w:val="006B7E9A"/>
    <w:rsid w:val="006B7F90"/>
    <w:rsid w:val="006C1D09"/>
    <w:rsid w:val="006C2064"/>
    <w:rsid w:val="006C3C4C"/>
    <w:rsid w:val="006C47BF"/>
    <w:rsid w:val="006D1CD3"/>
    <w:rsid w:val="006E0EC1"/>
    <w:rsid w:val="006E2EAB"/>
    <w:rsid w:val="006E4424"/>
    <w:rsid w:val="006E454D"/>
    <w:rsid w:val="006E5581"/>
    <w:rsid w:val="006E654E"/>
    <w:rsid w:val="006E672E"/>
    <w:rsid w:val="006F5909"/>
    <w:rsid w:val="006F66E8"/>
    <w:rsid w:val="0070075C"/>
    <w:rsid w:val="007040FC"/>
    <w:rsid w:val="00710493"/>
    <w:rsid w:val="0071173F"/>
    <w:rsid w:val="00711F55"/>
    <w:rsid w:val="00712237"/>
    <w:rsid w:val="00714385"/>
    <w:rsid w:val="00714A58"/>
    <w:rsid w:val="00715ED2"/>
    <w:rsid w:val="00716CDD"/>
    <w:rsid w:val="007174DE"/>
    <w:rsid w:val="007223A8"/>
    <w:rsid w:val="00722ADE"/>
    <w:rsid w:val="0072456F"/>
    <w:rsid w:val="007255D8"/>
    <w:rsid w:val="00732DE3"/>
    <w:rsid w:val="00733078"/>
    <w:rsid w:val="00737B98"/>
    <w:rsid w:val="00741E8B"/>
    <w:rsid w:val="00742401"/>
    <w:rsid w:val="007443AC"/>
    <w:rsid w:val="00744786"/>
    <w:rsid w:val="00745766"/>
    <w:rsid w:val="00745A2F"/>
    <w:rsid w:val="00746965"/>
    <w:rsid w:val="00746AC4"/>
    <w:rsid w:val="00747510"/>
    <w:rsid w:val="0074771B"/>
    <w:rsid w:val="007479ED"/>
    <w:rsid w:val="00752A63"/>
    <w:rsid w:val="00755367"/>
    <w:rsid w:val="00755DBA"/>
    <w:rsid w:val="00755E61"/>
    <w:rsid w:val="00756075"/>
    <w:rsid w:val="007563C0"/>
    <w:rsid w:val="007703C1"/>
    <w:rsid w:val="00771F61"/>
    <w:rsid w:val="0077432F"/>
    <w:rsid w:val="00776541"/>
    <w:rsid w:val="00777F15"/>
    <w:rsid w:val="00781C6F"/>
    <w:rsid w:val="00782677"/>
    <w:rsid w:val="00784E25"/>
    <w:rsid w:val="00785933"/>
    <w:rsid w:val="00785DCE"/>
    <w:rsid w:val="0078694D"/>
    <w:rsid w:val="00786E10"/>
    <w:rsid w:val="00791F3A"/>
    <w:rsid w:val="007936EB"/>
    <w:rsid w:val="0079699A"/>
    <w:rsid w:val="007978D7"/>
    <w:rsid w:val="007A0882"/>
    <w:rsid w:val="007A0B93"/>
    <w:rsid w:val="007A0DBA"/>
    <w:rsid w:val="007A417A"/>
    <w:rsid w:val="007A518D"/>
    <w:rsid w:val="007A58A2"/>
    <w:rsid w:val="007A6092"/>
    <w:rsid w:val="007A68A8"/>
    <w:rsid w:val="007B0A01"/>
    <w:rsid w:val="007B23E0"/>
    <w:rsid w:val="007B2CC6"/>
    <w:rsid w:val="007B517C"/>
    <w:rsid w:val="007B5CEC"/>
    <w:rsid w:val="007B6049"/>
    <w:rsid w:val="007B64C3"/>
    <w:rsid w:val="007C0964"/>
    <w:rsid w:val="007C2B0B"/>
    <w:rsid w:val="007C2EAB"/>
    <w:rsid w:val="007C2ED2"/>
    <w:rsid w:val="007C302D"/>
    <w:rsid w:val="007C3EC1"/>
    <w:rsid w:val="007C4355"/>
    <w:rsid w:val="007C530B"/>
    <w:rsid w:val="007D1C8F"/>
    <w:rsid w:val="007D5568"/>
    <w:rsid w:val="007D5A66"/>
    <w:rsid w:val="007E1A5F"/>
    <w:rsid w:val="007E207D"/>
    <w:rsid w:val="007E229D"/>
    <w:rsid w:val="007E2F3E"/>
    <w:rsid w:val="007E7D1D"/>
    <w:rsid w:val="007F0C27"/>
    <w:rsid w:val="007F2042"/>
    <w:rsid w:val="007F2818"/>
    <w:rsid w:val="007F32BF"/>
    <w:rsid w:val="007F42EE"/>
    <w:rsid w:val="007F4F21"/>
    <w:rsid w:val="00800FC7"/>
    <w:rsid w:val="00801162"/>
    <w:rsid w:val="00805627"/>
    <w:rsid w:val="00805D59"/>
    <w:rsid w:val="00811B2D"/>
    <w:rsid w:val="00811B53"/>
    <w:rsid w:val="00813634"/>
    <w:rsid w:val="008156F0"/>
    <w:rsid w:val="00820868"/>
    <w:rsid w:val="0082124B"/>
    <w:rsid w:val="00826157"/>
    <w:rsid w:val="00830987"/>
    <w:rsid w:val="00830CB9"/>
    <w:rsid w:val="00831416"/>
    <w:rsid w:val="008329D3"/>
    <w:rsid w:val="008339BD"/>
    <w:rsid w:val="00835C3C"/>
    <w:rsid w:val="00837EE4"/>
    <w:rsid w:val="0084069F"/>
    <w:rsid w:val="00850045"/>
    <w:rsid w:val="0085123B"/>
    <w:rsid w:val="008533EF"/>
    <w:rsid w:val="008545E6"/>
    <w:rsid w:val="00857E63"/>
    <w:rsid w:val="0086289D"/>
    <w:rsid w:val="00863BAF"/>
    <w:rsid w:val="00867654"/>
    <w:rsid w:val="008730FA"/>
    <w:rsid w:val="00874B64"/>
    <w:rsid w:val="00875802"/>
    <w:rsid w:val="008760A6"/>
    <w:rsid w:val="008812BB"/>
    <w:rsid w:val="0088252F"/>
    <w:rsid w:val="00885138"/>
    <w:rsid w:val="008860E3"/>
    <w:rsid w:val="0088686E"/>
    <w:rsid w:val="008905A8"/>
    <w:rsid w:val="008906F8"/>
    <w:rsid w:val="00895A3A"/>
    <w:rsid w:val="00896A8C"/>
    <w:rsid w:val="008979E1"/>
    <w:rsid w:val="008A09AD"/>
    <w:rsid w:val="008A2710"/>
    <w:rsid w:val="008A311A"/>
    <w:rsid w:val="008A492C"/>
    <w:rsid w:val="008B036D"/>
    <w:rsid w:val="008B201A"/>
    <w:rsid w:val="008B299D"/>
    <w:rsid w:val="008B44AB"/>
    <w:rsid w:val="008B4A19"/>
    <w:rsid w:val="008B7755"/>
    <w:rsid w:val="008C1F6E"/>
    <w:rsid w:val="008C3601"/>
    <w:rsid w:val="008C3970"/>
    <w:rsid w:val="008C585E"/>
    <w:rsid w:val="008C5D90"/>
    <w:rsid w:val="008C6838"/>
    <w:rsid w:val="008D0487"/>
    <w:rsid w:val="008D09B4"/>
    <w:rsid w:val="008D13E4"/>
    <w:rsid w:val="008D1AB7"/>
    <w:rsid w:val="008D28D4"/>
    <w:rsid w:val="008D54B4"/>
    <w:rsid w:val="008D70C7"/>
    <w:rsid w:val="008E039D"/>
    <w:rsid w:val="008E14AA"/>
    <w:rsid w:val="008E181C"/>
    <w:rsid w:val="008E3F92"/>
    <w:rsid w:val="008E4727"/>
    <w:rsid w:val="008E4CBC"/>
    <w:rsid w:val="008E7372"/>
    <w:rsid w:val="008E74D9"/>
    <w:rsid w:val="008F463D"/>
    <w:rsid w:val="008F6000"/>
    <w:rsid w:val="008F708C"/>
    <w:rsid w:val="0090274E"/>
    <w:rsid w:val="00903839"/>
    <w:rsid w:val="0090695B"/>
    <w:rsid w:val="009112C7"/>
    <w:rsid w:val="00912B28"/>
    <w:rsid w:val="00916ABF"/>
    <w:rsid w:val="00916F91"/>
    <w:rsid w:val="00917976"/>
    <w:rsid w:val="00920A03"/>
    <w:rsid w:val="00920BCF"/>
    <w:rsid w:val="009251C7"/>
    <w:rsid w:val="0093410E"/>
    <w:rsid w:val="00935892"/>
    <w:rsid w:val="009358B7"/>
    <w:rsid w:val="00941DB6"/>
    <w:rsid w:val="009444B8"/>
    <w:rsid w:val="00953578"/>
    <w:rsid w:val="0095668D"/>
    <w:rsid w:val="00960B6C"/>
    <w:rsid w:val="00962D10"/>
    <w:rsid w:val="009636CE"/>
    <w:rsid w:val="00966ABA"/>
    <w:rsid w:val="00972243"/>
    <w:rsid w:val="0097293C"/>
    <w:rsid w:val="00973781"/>
    <w:rsid w:val="0097634D"/>
    <w:rsid w:val="00976F11"/>
    <w:rsid w:val="00977D2C"/>
    <w:rsid w:val="00982603"/>
    <w:rsid w:val="0098308A"/>
    <w:rsid w:val="00985120"/>
    <w:rsid w:val="00985C98"/>
    <w:rsid w:val="009878D5"/>
    <w:rsid w:val="00987D92"/>
    <w:rsid w:val="00987F94"/>
    <w:rsid w:val="00992856"/>
    <w:rsid w:val="009928A5"/>
    <w:rsid w:val="009945B1"/>
    <w:rsid w:val="00995AA0"/>
    <w:rsid w:val="00997C4C"/>
    <w:rsid w:val="009A1DE3"/>
    <w:rsid w:val="009A1E96"/>
    <w:rsid w:val="009A3ACC"/>
    <w:rsid w:val="009A3B6F"/>
    <w:rsid w:val="009A43CF"/>
    <w:rsid w:val="009A4D5F"/>
    <w:rsid w:val="009A53E8"/>
    <w:rsid w:val="009A6CB1"/>
    <w:rsid w:val="009A78BE"/>
    <w:rsid w:val="009B5EE8"/>
    <w:rsid w:val="009B62F8"/>
    <w:rsid w:val="009C0F9B"/>
    <w:rsid w:val="009C1A16"/>
    <w:rsid w:val="009C36FB"/>
    <w:rsid w:val="009C38D2"/>
    <w:rsid w:val="009C434C"/>
    <w:rsid w:val="009C5022"/>
    <w:rsid w:val="009C6144"/>
    <w:rsid w:val="009C63D3"/>
    <w:rsid w:val="009D07BA"/>
    <w:rsid w:val="009D39F9"/>
    <w:rsid w:val="009D4726"/>
    <w:rsid w:val="009D4CFA"/>
    <w:rsid w:val="009D71FD"/>
    <w:rsid w:val="009E0DBC"/>
    <w:rsid w:val="009E5B2B"/>
    <w:rsid w:val="009E5FD3"/>
    <w:rsid w:val="009E7345"/>
    <w:rsid w:val="009E7CE8"/>
    <w:rsid w:val="009F00A4"/>
    <w:rsid w:val="009F05FA"/>
    <w:rsid w:val="009F301F"/>
    <w:rsid w:val="00A02E62"/>
    <w:rsid w:val="00A04456"/>
    <w:rsid w:val="00A1016F"/>
    <w:rsid w:val="00A1081E"/>
    <w:rsid w:val="00A13655"/>
    <w:rsid w:val="00A15790"/>
    <w:rsid w:val="00A16434"/>
    <w:rsid w:val="00A17B2B"/>
    <w:rsid w:val="00A22123"/>
    <w:rsid w:val="00A248C1"/>
    <w:rsid w:val="00A2761A"/>
    <w:rsid w:val="00A31110"/>
    <w:rsid w:val="00A3120E"/>
    <w:rsid w:val="00A41682"/>
    <w:rsid w:val="00A4236A"/>
    <w:rsid w:val="00A44629"/>
    <w:rsid w:val="00A44BB3"/>
    <w:rsid w:val="00A46F80"/>
    <w:rsid w:val="00A5235F"/>
    <w:rsid w:val="00A52841"/>
    <w:rsid w:val="00A53F75"/>
    <w:rsid w:val="00A55BCE"/>
    <w:rsid w:val="00A6080E"/>
    <w:rsid w:val="00A60D55"/>
    <w:rsid w:val="00A613A2"/>
    <w:rsid w:val="00A65C92"/>
    <w:rsid w:val="00A70C81"/>
    <w:rsid w:val="00A7275A"/>
    <w:rsid w:val="00A8011D"/>
    <w:rsid w:val="00A80A43"/>
    <w:rsid w:val="00A83DEB"/>
    <w:rsid w:val="00A84AE8"/>
    <w:rsid w:val="00A850E8"/>
    <w:rsid w:val="00A90402"/>
    <w:rsid w:val="00A90DE7"/>
    <w:rsid w:val="00A9524C"/>
    <w:rsid w:val="00A9645C"/>
    <w:rsid w:val="00A97D4F"/>
    <w:rsid w:val="00AA04C7"/>
    <w:rsid w:val="00AA271D"/>
    <w:rsid w:val="00AA4604"/>
    <w:rsid w:val="00AB4729"/>
    <w:rsid w:val="00AB479B"/>
    <w:rsid w:val="00AB6149"/>
    <w:rsid w:val="00AB62E3"/>
    <w:rsid w:val="00AB73E3"/>
    <w:rsid w:val="00AC0D48"/>
    <w:rsid w:val="00AC0E14"/>
    <w:rsid w:val="00AC3711"/>
    <w:rsid w:val="00AC5A09"/>
    <w:rsid w:val="00AC718A"/>
    <w:rsid w:val="00AD553C"/>
    <w:rsid w:val="00AD6C4E"/>
    <w:rsid w:val="00AE0DD0"/>
    <w:rsid w:val="00AE3C9B"/>
    <w:rsid w:val="00AE443D"/>
    <w:rsid w:val="00AE5070"/>
    <w:rsid w:val="00AE5C29"/>
    <w:rsid w:val="00AE60C5"/>
    <w:rsid w:val="00AF1624"/>
    <w:rsid w:val="00AF1D45"/>
    <w:rsid w:val="00AF6184"/>
    <w:rsid w:val="00AF685C"/>
    <w:rsid w:val="00B0037A"/>
    <w:rsid w:val="00B025A2"/>
    <w:rsid w:val="00B10CEA"/>
    <w:rsid w:val="00B1113B"/>
    <w:rsid w:val="00B132EA"/>
    <w:rsid w:val="00B1378E"/>
    <w:rsid w:val="00B166B8"/>
    <w:rsid w:val="00B21523"/>
    <w:rsid w:val="00B22B40"/>
    <w:rsid w:val="00B23901"/>
    <w:rsid w:val="00B24949"/>
    <w:rsid w:val="00B271AF"/>
    <w:rsid w:val="00B27FB8"/>
    <w:rsid w:val="00B3001E"/>
    <w:rsid w:val="00B300F0"/>
    <w:rsid w:val="00B318BD"/>
    <w:rsid w:val="00B32894"/>
    <w:rsid w:val="00B3607F"/>
    <w:rsid w:val="00B3696C"/>
    <w:rsid w:val="00B410F6"/>
    <w:rsid w:val="00B42A3B"/>
    <w:rsid w:val="00B44958"/>
    <w:rsid w:val="00B4539E"/>
    <w:rsid w:val="00B5013E"/>
    <w:rsid w:val="00B51091"/>
    <w:rsid w:val="00B55695"/>
    <w:rsid w:val="00B6344B"/>
    <w:rsid w:val="00B63647"/>
    <w:rsid w:val="00B667F9"/>
    <w:rsid w:val="00B70BDF"/>
    <w:rsid w:val="00B71651"/>
    <w:rsid w:val="00B71E66"/>
    <w:rsid w:val="00B71FCF"/>
    <w:rsid w:val="00B73F0E"/>
    <w:rsid w:val="00B76B3A"/>
    <w:rsid w:val="00B772AC"/>
    <w:rsid w:val="00B81B31"/>
    <w:rsid w:val="00B823E3"/>
    <w:rsid w:val="00B875E6"/>
    <w:rsid w:val="00B90176"/>
    <w:rsid w:val="00B95686"/>
    <w:rsid w:val="00B959BB"/>
    <w:rsid w:val="00B95CA0"/>
    <w:rsid w:val="00B96649"/>
    <w:rsid w:val="00B97693"/>
    <w:rsid w:val="00BA133C"/>
    <w:rsid w:val="00BA7CC8"/>
    <w:rsid w:val="00BB10E1"/>
    <w:rsid w:val="00BB1BF5"/>
    <w:rsid w:val="00BB3B61"/>
    <w:rsid w:val="00BB46A9"/>
    <w:rsid w:val="00BB5574"/>
    <w:rsid w:val="00BB6E66"/>
    <w:rsid w:val="00BC13E3"/>
    <w:rsid w:val="00BC2BC6"/>
    <w:rsid w:val="00BD16E9"/>
    <w:rsid w:val="00BD520E"/>
    <w:rsid w:val="00BD54B9"/>
    <w:rsid w:val="00BD5626"/>
    <w:rsid w:val="00BD681E"/>
    <w:rsid w:val="00BD76F5"/>
    <w:rsid w:val="00BE3443"/>
    <w:rsid w:val="00BE361C"/>
    <w:rsid w:val="00BE3FBD"/>
    <w:rsid w:val="00BE5384"/>
    <w:rsid w:val="00BF159A"/>
    <w:rsid w:val="00BF1875"/>
    <w:rsid w:val="00BF2908"/>
    <w:rsid w:val="00BF3985"/>
    <w:rsid w:val="00BF4DD6"/>
    <w:rsid w:val="00BF5B13"/>
    <w:rsid w:val="00BF77AC"/>
    <w:rsid w:val="00C03D19"/>
    <w:rsid w:val="00C059E3"/>
    <w:rsid w:val="00C064B8"/>
    <w:rsid w:val="00C0676B"/>
    <w:rsid w:val="00C07E4F"/>
    <w:rsid w:val="00C11001"/>
    <w:rsid w:val="00C11203"/>
    <w:rsid w:val="00C114AD"/>
    <w:rsid w:val="00C1322E"/>
    <w:rsid w:val="00C150DD"/>
    <w:rsid w:val="00C1535F"/>
    <w:rsid w:val="00C20873"/>
    <w:rsid w:val="00C209C4"/>
    <w:rsid w:val="00C20CF7"/>
    <w:rsid w:val="00C20E06"/>
    <w:rsid w:val="00C219C8"/>
    <w:rsid w:val="00C21A42"/>
    <w:rsid w:val="00C2272B"/>
    <w:rsid w:val="00C22E82"/>
    <w:rsid w:val="00C23922"/>
    <w:rsid w:val="00C255E6"/>
    <w:rsid w:val="00C25CE5"/>
    <w:rsid w:val="00C27B8C"/>
    <w:rsid w:val="00C27C7B"/>
    <w:rsid w:val="00C31F7A"/>
    <w:rsid w:val="00C32A45"/>
    <w:rsid w:val="00C33EA8"/>
    <w:rsid w:val="00C34D82"/>
    <w:rsid w:val="00C35DC2"/>
    <w:rsid w:val="00C403D3"/>
    <w:rsid w:val="00C40D0E"/>
    <w:rsid w:val="00C42465"/>
    <w:rsid w:val="00C42F48"/>
    <w:rsid w:val="00C4399F"/>
    <w:rsid w:val="00C443B8"/>
    <w:rsid w:val="00C444A3"/>
    <w:rsid w:val="00C44CC2"/>
    <w:rsid w:val="00C44CFB"/>
    <w:rsid w:val="00C45400"/>
    <w:rsid w:val="00C461EE"/>
    <w:rsid w:val="00C4657B"/>
    <w:rsid w:val="00C50A9C"/>
    <w:rsid w:val="00C61206"/>
    <w:rsid w:val="00C61EF4"/>
    <w:rsid w:val="00C62249"/>
    <w:rsid w:val="00C63643"/>
    <w:rsid w:val="00C6495F"/>
    <w:rsid w:val="00C649D1"/>
    <w:rsid w:val="00C64D51"/>
    <w:rsid w:val="00C662FA"/>
    <w:rsid w:val="00C71107"/>
    <w:rsid w:val="00C72901"/>
    <w:rsid w:val="00C72C08"/>
    <w:rsid w:val="00C74A91"/>
    <w:rsid w:val="00C777FF"/>
    <w:rsid w:val="00C7792D"/>
    <w:rsid w:val="00C81599"/>
    <w:rsid w:val="00C84C32"/>
    <w:rsid w:val="00C8799B"/>
    <w:rsid w:val="00C902E8"/>
    <w:rsid w:val="00C90797"/>
    <w:rsid w:val="00C90BD5"/>
    <w:rsid w:val="00C90F0C"/>
    <w:rsid w:val="00C944F4"/>
    <w:rsid w:val="00C967DF"/>
    <w:rsid w:val="00CA21A2"/>
    <w:rsid w:val="00CA240C"/>
    <w:rsid w:val="00CA46AD"/>
    <w:rsid w:val="00CA5830"/>
    <w:rsid w:val="00CA6CB7"/>
    <w:rsid w:val="00CB050E"/>
    <w:rsid w:val="00CB509D"/>
    <w:rsid w:val="00CB5944"/>
    <w:rsid w:val="00CB70DD"/>
    <w:rsid w:val="00CB7598"/>
    <w:rsid w:val="00CC010C"/>
    <w:rsid w:val="00CC11B9"/>
    <w:rsid w:val="00CC2CBA"/>
    <w:rsid w:val="00CC3DB6"/>
    <w:rsid w:val="00CC7413"/>
    <w:rsid w:val="00CC75CC"/>
    <w:rsid w:val="00CD04D1"/>
    <w:rsid w:val="00CD206E"/>
    <w:rsid w:val="00CD5836"/>
    <w:rsid w:val="00CE393E"/>
    <w:rsid w:val="00CE4182"/>
    <w:rsid w:val="00CE4EF0"/>
    <w:rsid w:val="00CE7C64"/>
    <w:rsid w:val="00CF1A4D"/>
    <w:rsid w:val="00CF2781"/>
    <w:rsid w:val="00CF2B65"/>
    <w:rsid w:val="00CF2DCE"/>
    <w:rsid w:val="00CF3781"/>
    <w:rsid w:val="00CF3A1F"/>
    <w:rsid w:val="00CF53E9"/>
    <w:rsid w:val="00CF5D74"/>
    <w:rsid w:val="00CF62D6"/>
    <w:rsid w:val="00D00536"/>
    <w:rsid w:val="00D0502A"/>
    <w:rsid w:val="00D0533A"/>
    <w:rsid w:val="00D07459"/>
    <w:rsid w:val="00D07AF4"/>
    <w:rsid w:val="00D13DDC"/>
    <w:rsid w:val="00D13EAD"/>
    <w:rsid w:val="00D142F8"/>
    <w:rsid w:val="00D175A4"/>
    <w:rsid w:val="00D208BB"/>
    <w:rsid w:val="00D22726"/>
    <w:rsid w:val="00D22947"/>
    <w:rsid w:val="00D23C6C"/>
    <w:rsid w:val="00D258EE"/>
    <w:rsid w:val="00D25936"/>
    <w:rsid w:val="00D25CA1"/>
    <w:rsid w:val="00D274EE"/>
    <w:rsid w:val="00D31BAF"/>
    <w:rsid w:val="00D31C6E"/>
    <w:rsid w:val="00D32B3A"/>
    <w:rsid w:val="00D34EF0"/>
    <w:rsid w:val="00D41890"/>
    <w:rsid w:val="00D44735"/>
    <w:rsid w:val="00D460B5"/>
    <w:rsid w:val="00D468BA"/>
    <w:rsid w:val="00D46E7D"/>
    <w:rsid w:val="00D5011B"/>
    <w:rsid w:val="00D5068B"/>
    <w:rsid w:val="00D52238"/>
    <w:rsid w:val="00D5271F"/>
    <w:rsid w:val="00D5554D"/>
    <w:rsid w:val="00D57A59"/>
    <w:rsid w:val="00D60A11"/>
    <w:rsid w:val="00D63B67"/>
    <w:rsid w:val="00D70530"/>
    <w:rsid w:val="00D71B5F"/>
    <w:rsid w:val="00D72A49"/>
    <w:rsid w:val="00D72CBC"/>
    <w:rsid w:val="00D74855"/>
    <w:rsid w:val="00D75FF9"/>
    <w:rsid w:val="00D774D8"/>
    <w:rsid w:val="00D818B0"/>
    <w:rsid w:val="00D81BA7"/>
    <w:rsid w:val="00D81BB1"/>
    <w:rsid w:val="00D82D59"/>
    <w:rsid w:val="00D8483B"/>
    <w:rsid w:val="00D85B7B"/>
    <w:rsid w:val="00D87205"/>
    <w:rsid w:val="00D937F1"/>
    <w:rsid w:val="00D974C6"/>
    <w:rsid w:val="00DA243D"/>
    <w:rsid w:val="00DA2CA5"/>
    <w:rsid w:val="00DA59F0"/>
    <w:rsid w:val="00DA5BDA"/>
    <w:rsid w:val="00DA644E"/>
    <w:rsid w:val="00DB202E"/>
    <w:rsid w:val="00DB52E0"/>
    <w:rsid w:val="00DB7834"/>
    <w:rsid w:val="00DC037C"/>
    <w:rsid w:val="00DC4C08"/>
    <w:rsid w:val="00DC4D68"/>
    <w:rsid w:val="00DC5B5C"/>
    <w:rsid w:val="00DC6DC1"/>
    <w:rsid w:val="00DD1C42"/>
    <w:rsid w:val="00DD3316"/>
    <w:rsid w:val="00DD48B8"/>
    <w:rsid w:val="00DE3731"/>
    <w:rsid w:val="00DE6DF4"/>
    <w:rsid w:val="00DE7196"/>
    <w:rsid w:val="00DF0F8E"/>
    <w:rsid w:val="00DF108A"/>
    <w:rsid w:val="00DF4CDD"/>
    <w:rsid w:val="00DF5FA5"/>
    <w:rsid w:val="00DF64B8"/>
    <w:rsid w:val="00DF69A2"/>
    <w:rsid w:val="00DF7223"/>
    <w:rsid w:val="00E00845"/>
    <w:rsid w:val="00E02097"/>
    <w:rsid w:val="00E026DB"/>
    <w:rsid w:val="00E02DE4"/>
    <w:rsid w:val="00E04758"/>
    <w:rsid w:val="00E057A1"/>
    <w:rsid w:val="00E065DC"/>
    <w:rsid w:val="00E10508"/>
    <w:rsid w:val="00E109CF"/>
    <w:rsid w:val="00E11722"/>
    <w:rsid w:val="00E11C1E"/>
    <w:rsid w:val="00E22075"/>
    <w:rsid w:val="00E24313"/>
    <w:rsid w:val="00E24E30"/>
    <w:rsid w:val="00E3436E"/>
    <w:rsid w:val="00E35B06"/>
    <w:rsid w:val="00E3644C"/>
    <w:rsid w:val="00E416B7"/>
    <w:rsid w:val="00E443B3"/>
    <w:rsid w:val="00E51578"/>
    <w:rsid w:val="00E521CD"/>
    <w:rsid w:val="00E531F3"/>
    <w:rsid w:val="00E53934"/>
    <w:rsid w:val="00E54524"/>
    <w:rsid w:val="00E54E2B"/>
    <w:rsid w:val="00E556AE"/>
    <w:rsid w:val="00E576FC"/>
    <w:rsid w:val="00E57B9F"/>
    <w:rsid w:val="00E60CA3"/>
    <w:rsid w:val="00E61EE9"/>
    <w:rsid w:val="00E65B0F"/>
    <w:rsid w:val="00E65BF0"/>
    <w:rsid w:val="00E67BDA"/>
    <w:rsid w:val="00E70094"/>
    <w:rsid w:val="00E70B0D"/>
    <w:rsid w:val="00E70EC9"/>
    <w:rsid w:val="00E71CBF"/>
    <w:rsid w:val="00E733A9"/>
    <w:rsid w:val="00E73E8F"/>
    <w:rsid w:val="00E75B1F"/>
    <w:rsid w:val="00E76B85"/>
    <w:rsid w:val="00E77C16"/>
    <w:rsid w:val="00E80FD9"/>
    <w:rsid w:val="00E81CAB"/>
    <w:rsid w:val="00E84637"/>
    <w:rsid w:val="00E85B05"/>
    <w:rsid w:val="00E878CB"/>
    <w:rsid w:val="00E90268"/>
    <w:rsid w:val="00E92E8D"/>
    <w:rsid w:val="00E96F0B"/>
    <w:rsid w:val="00E97EED"/>
    <w:rsid w:val="00E97F19"/>
    <w:rsid w:val="00EA0D5F"/>
    <w:rsid w:val="00EA2662"/>
    <w:rsid w:val="00EA2BB2"/>
    <w:rsid w:val="00EB120F"/>
    <w:rsid w:val="00EB128F"/>
    <w:rsid w:val="00EB1AF2"/>
    <w:rsid w:val="00EB752D"/>
    <w:rsid w:val="00EB7DE6"/>
    <w:rsid w:val="00EC0592"/>
    <w:rsid w:val="00EC0E00"/>
    <w:rsid w:val="00EC0E2B"/>
    <w:rsid w:val="00EC0F12"/>
    <w:rsid w:val="00EC524C"/>
    <w:rsid w:val="00EC7276"/>
    <w:rsid w:val="00EC7B3E"/>
    <w:rsid w:val="00ED14B7"/>
    <w:rsid w:val="00ED25CF"/>
    <w:rsid w:val="00ED33A3"/>
    <w:rsid w:val="00ED56D3"/>
    <w:rsid w:val="00ED6130"/>
    <w:rsid w:val="00EE2025"/>
    <w:rsid w:val="00EE24A5"/>
    <w:rsid w:val="00EE3951"/>
    <w:rsid w:val="00EE5DCA"/>
    <w:rsid w:val="00EE7A4B"/>
    <w:rsid w:val="00EF61FA"/>
    <w:rsid w:val="00F0042F"/>
    <w:rsid w:val="00F03F4D"/>
    <w:rsid w:val="00F10043"/>
    <w:rsid w:val="00F11145"/>
    <w:rsid w:val="00F121B3"/>
    <w:rsid w:val="00F12501"/>
    <w:rsid w:val="00F126EF"/>
    <w:rsid w:val="00F139B8"/>
    <w:rsid w:val="00F14502"/>
    <w:rsid w:val="00F14598"/>
    <w:rsid w:val="00F1516A"/>
    <w:rsid w:val="00F15910"/>
    <w:rsid w:val="00F17991"/>
    <w:rsid w:val="00F2290C"/>
    <w:rsid w:val="00F260CA"/>
    <w:rsid w:val="00F2645B"/>
    <w:rsid w:val="00F26952"/>
    <w:rsid w:val="00F27318"/>
    <w:rsid w:val="00F27361"/>
    <w:rsid w:val="00F2756F"/>
    <w:rsid w:val="00F33F3B"/>
    <w:rsid w:val="00F35DB3"/>
    <w:rsid w:val="00F37C29"/>
    <w:rsid w:val="00F40AF1"/>
    <w:rsid w:val="00F42313"/>
    <w:rsid w:val="00F446BD"/>
    <w:rsid w:val="00F45619"/>
    <w:rsid w:val="00F46CD8"/>
    <w:rsid w:val="00F47415"/>
    <w:rsid w:val="00F50EA1"/>
    <w:rsid w:val="00F51595"/>
    <w:rsid w:val="00F52112"/>
    <w:rsid w:val="00F52D73"/>
    <w:rsid w:val="00F5359F"/>
    <w:rsid w:val="00F53A8D"/>
    <w:rsid w:val="00F608EF"/>
    <w:rsid w:val="00F61780"/>
    <w:rsid w:val="00F62C4B"/>
    <w:rsid w:val="00F65782"/>
    <w:rsid w:val="00F65818"/>
    <w:rsid w:val="00F6603F"/>
    <w:rsid w:val="00F71FD1"/>
    <w:rsid w:val="00F77B3C"/>
    <w:rsid w:val="00F80360"/>
    <w:rsid w:val="00F81F71"/>
    <w:rsid w:val="00F822AD"/>
    <w:rsid w:val="00F839BC"/>
    <w:rsid w:val="00F868CA"/>
    <w:rsid w:val="00F94FA4"/>
    <w:rsid w:val="00F96CBB"/>
    <w:rsid w:val="00FA16E2"/>
    <w:rsid w:val="00FA3118"/>
    <w:rsid w:val="00FB075C"/>
    <w:rsid w:val="00FB26D8"/>
    <w:rsid w:val="00FB2791"/>
    <w:rsid w:val="00FB2B5A"/>
    <w:rsid w:val="00FB3388"/>
    <w:rsid w:val="00FB3E00"/>
    <w:rsid w:val="00FB4C4D"/>
    <w:rsid w:val="00FB50A5"/>
    <w:rsid w:val="00FB551F"/>
    <w:rsid w:val="00FB6B3C"/>
    <w:rsid w:val="00FB71B1"/>
    <w:rsid w:val="00FB72BC"/>
    <w:rsid w:val="00FC59CE"/>
    <w:rsid w:val="00FC75B8"/>
    <w:rsid w:val="00FD1ACD"/>
    <w:rsid w:val="00FD1F96"/>
    <w:rsid w:val="00FD2BF6"/>
    <w:rsid w:val="00FD2C91"/>
    <w:rsid w:val="00FD45F0"/>
    <w:rsid w:val="00FD517A"/>
    <w:rsid w:val="00FD54D9"/>
    <w:rsid w:val="00FD5F4E"/>
    <w:rsid w:val="00FD6324"/>
    <w:rsid w:val="00FD6455"/>
    <w:rsid w:val="00FD6A43"/>
    <w:rsid w:val="00FE049B"/>
    <w:rsid w:val="00FE3D17"/>
    <w:rsid w:val="00FE7A1E"/>
    <w:rsid w:val="00FF04E8"/>
    <w:rsid w:val="00FF43A4"/>
    <w:rsid w:val="00FF6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4EC1"/>
  <w15:docId w15:val="{41EAEACA-8CE7-4C5B-8EDC-12FC091B7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59F"/>
    <w:rPr>
      <w:rFonts w:ascii="Calibri" w:eastAsia="Calibri" w:hAnsi="Calibri" w:cs="Times New Roman"/>
    </w:rPr>
  </w:style>
  <w:style w:type="paragraph" w:styleId="Heading1">
    <w:name w:val="heading 1"/>
    <w:basedOn w:val="Normal"/>
    <w:next w:val="Normal"/>
    <w:link w:val="Heading1Char"/>
    <w:uiPriority w:val="9"/>
    <w:qFormat/>
    <w:rsid w:val="00F5359F"/>
    <w:pPr>
      <w:keepNext/>
      <w:keepLines/>
      <w:numPr>
        <w:numId w:val="1"/>
      </w:numPr>
      <w:spacing w:before="480"/>
      <w:ind w:left="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76F1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31C6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59F"/>
    <w:rPr>
      <w:rFonts w:asciiTheme="majorHAnsi" w:eastAsiaTheme="majorEastAsia" w:hAnsiTheme="majorHAnsi" w:cstheme="majorBidi"/>
      <w:b/>
      <w:bCs/>
      <w:color w:val="2E74B5" w:themeColor="accent1" w:themeShade="BF"/>
      <w:sz w:val="28"/>
      <w:szCs w:val="28"/>
    </w:rPr>
  </w:style>
  <w:style w:type="character" w:styleId="Hyperlink">
    <w:name w:val="Hyperlink"/>
    <w:uiPriority w:val="99"/>
    <w:unhideWhenUsed/>
    <w:rsid w:val="00F5359F"/>
    <w:rPr>
      <w:color w:val="0000FF"/>
      <w:u w:val="single"/>
    </w:rPr>
  </w:style>
  <w:style w:type="table" w:styleId="TableGrid">
    <w:name w:val="Table Grid"/>
    <w:basedOn w:val="TableNormal"/>
    <w:uiPriority w:val="59"/>
    <w:rsid w:val="00F53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next w:val="Normal"/>
    <w:qFormat/>
    <w:rsid w:val="00F5359F"/>
    <w:pPr>
      <w:jc w:val="both"/>
    </w:pPr>
    <w:rPr>
      <w:rFonts w:ascii="Cambria" w:eastAsiaTheme="minorEastAsia" w:hAnsi="Cambria" w:cs="Calibri"/>
      <w:bCs/>
      <w:color w:val="404040" w:themeColor="text1" w:themeTint="BF"/>
      <w:sz w:val="20"/>
      <w:szCs w:val="20"/>
      <w:lang w:val="en-US" w:eastAsia="en-AU"/>
    </w:rPr>
  </w:style>
  <w:style w:type="paragraph" w:styleId="Footer">
    <w:name w:val="footer"/>
    <w:basedOn w:val="Normal"/>
    <w:link w:val="FooterChar"/>
    <w:uiPriority w:val="99"/>
    <w:unhideWhenUsed/>
    <w:rsid w:val="00F5359F"/>
    <w:pPr>
      <w:tabs>
        <w:tab w:val="center" w:pos="4320"/>
        <w:tab w:val="right" w:pos="8640"/>
      </w:tabs>
    </w:pPr>
  </w:style>
  <w:style w:type="character" w:customStyle="1" w:styleId="FooterChar">
    <w:name w:val="Footer Char"/>
    <w:basedOn w:val="DefaultParagraphFont"/>
    <w:link w:val="Footer"/>
    <w:uiPriority w:val="99"/>
    <w:rsid w:val="00F5359F"/>
    <w:rPr>
      <w:rFonts w:ascii="Calibri" w:eastAsia="Calibri" w:hAnsi="Calibri" w:cs="Times New Roman"/>
    </w:rPr>
  </w:style>
  <w:style w:type="character" w:styleId="PageNumber">
    <w:name w:val="page number"/>
    <w:basedOn w:val="DefaultParagraphFont"/>
    <w:uiPriority w:val="99"/>
    <w:semiHidden/>
    <w:unhideWhenUsed/>
    <w:rsid w:val="00F5359F"/>
  </w:style>
  <w:style w:type="paragraph" w:styleId="TOCHeading">
    <w:name w:val="TOC Heading"/>
    <w:basedOn w:val="Heading1"/>
    <w:next w:val="Normal"/>
    <w:uiPriority w:val="39"/>
    <w:unhideWhenUsed/>
    <w:qFormat/>
    <w:rsid w:val="00F5359F"/>
    <w:pPr>
      <w:numPr>
        <w:numId w:val="0"/>
      </w:numPr>
      <w:outlineLvl w:val="9"/>
    </w:pPr>
    <w:rPr>
      <w:lang w:val="en-US" w:eastAsia="ja-JP"/>
    </w:rPr>
  </w:style>
  <w:style w:type="paragraph" w:styleId="TOC1">
    <w:name w:val="toc 1"/>
    <w:basedOn w:val="Normal"/>
    <w:next w:val="Normal"/>
    <w:autoRedefine/>
    <w:uiPriority w:val="39"/>
    <w:unhideWhenUsed/>
    <w:rsid w:val="00F5359F"/>
    <w:pPr>
      <w:spacing w:after="100"/>
    </w:pPr>
  </w:style>
  <w:style w:type="paragraph" w:styleId="ListParagraph">
    <w:name w:val="List Paragraph"/>
    <w:basedOn w:val="Normal"/>
    <w:link w:val="ListParagraphChar"/>
    <w:uiPriority w:val="34"/>
    <w:qFormat/>
    <w:rsid w:val="00F5359F"/>
    <w:pPr>
      <w:ind w:left="720"/>
      <w:contextualSpacing/>
    </w:pPr>
  </w:style>
  <w:style w:type="paragraph" w:customStyle="1" w:styleId="BodyA">
    <w:name w:val="Body A"/>
    <w:rsid w:val="00F5359F"/>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character" w:customStyle="1" w:styleId="NoneA">
    <w:name w:val="None A"/>
    <w:rsid w:val="00F5359F"/>
  </w:style>
  <w:style w:type="paragraph" w:styleId="FootnoteText">
    <w:name w:val="footnote text"/>
    <w:aliases w:val="FN,fn,Footnote Text Char1,Footnote Text Char Char,Footnote Text Char1 Char Char,Footnote Text Char Char Char Char,Footnote Text Char Char1,Footnote Text Char1 Char,Footnote Text Char Char Char,Footnote Text Char Char Char Char Char Char"/>
    <w:basedOn w:val="Normal"/>
    <w:link w:val="FootnoteTextChar"/>
    <w:uiPriority w:val="99"/>
    <w:unhideWhenUsed/>
    <w:qFormat/>
    <w:rsid w:val="00F5359F"/>
    <w:rPr>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rsid w:val="00F5359F"/>
    <w:rPr>
      <w:rFonts w:ascii="Calibri" w:eastAsia="Calibri" w:hAnsi="Calibri" w:cs="Times New Roman"/>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
    <w:basedOn w:val="DefaultParagraphFont"/>
    <w:link w:val="4GCharCharChar"/>
    <w:uiPriority w:val="99"/>
    <w:unhideWhenUsed/>
    <w:rsid w:val="00F5359F"/>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F5359F"/>
    <w:pPr>
      <w:spacing w:line="240" w:lineRule="exact"/>
      <w:jc w:val="both"/>
    </w:pPr>
    <w:rPr>
      <w:rFonts w:asciiTheme="minorHAnsi" w:eastAsiaTheme="minorHAnsi" w:hAnsiTheme="minorHAnsi" w:cstheme="minorBidi"/>
      <w:vertAlign w:val="superscript"/>
    </w:rPr>
  </w:style>
  <w:style w:type="character" w:customStyle="1" w:styleId="Hyperlink2">
    <w:name w:val="Hyperlink.2"/>
    <w:basedOn w:val="NoneA"/>
    <w:rsid w:val="00F5359F"/>
    <w:rPr>
      <w:rFonts w:ascii="Arial" w:eastAsia="Arial" w:hAnsi="Arial" w:cs="Arial"/>
      <w:color w:val="0000FF"/>
      <w:sz w:val="16"/>
      <w:szCs w:val="16"/>
      <w:u w:val="single" w:color="0000FF"/>
    </w:rPr>
  </w:style>
  <w:style w:type="paragraph" w:customStyle="1" w:styleId="Body">
    <w:name w:val="Body"/>
    <w:rsid w:val="00F5359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AU"/>
    </w:rPr>
  </w:style>
  <w:style w:type="character" w:styleId="CommentReference">
    <w:name w:val="annotation reference"/>
    <w:basedOn w:val="DefaultParagraphFont"/>
    <w:uiPriority w:val="99"/>
    <w:semiHidden/>
    <w:unhideWhenUsed/>
    <w:rsid w:val="00F5359F"/>
    <w:rPr>
      <w:sz w:val="16"/>
      <w:szCs w:val="16"/>
    </w:rPr>
  </w:style>
  <w:style w:type="paragraph" w:styleId="CommentText">
    <w:name w:val="annotation text"/>
    <w:basedOn w:val="Normal"/>
    <w:link w:val="CommentTextChar"/>
    <w:uiPriority w:val="99"/>
    <w:semiHidden/>
    <w:unhideWhenUsed/>
    <w:rsid w:val="00F5359F"/>
    <w:rPr>
      <w:sz w:val="20"/>
      <w:szCs w:val="20"/>
    </w:rPr>
  </w:style>
  <w:style w:type="character" w:customStyle="1" w:styleId="CommentTextChar">
    <w:name w:val="Comment Text Char"/>
    <w:basedOn w:val="DefaultParagraphFont"/>
    <w:link w:val="CommentText"/>
    <w:uiPriority w:val="99"/>
    <w:semiHidden/>
    <w:rsid w:val="00F5359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53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59F"/>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F5359F"/>
    <w:rPr>
      <w:b/>
      <w:bCs/>
    </w:rPr>
  </w:style>
  <w:style w:type="character" w:customStyle="1" w:styleId="CommentSubjectChar">
    <w:name w:val="Comment Subject Char"/>
    <w:basedOn w:val="CommentTextChar"/>
    <w:link w:val="CommentSubject"/>
    <w:uiPriority w:val="99"/>
    <w:semiHidden/>
    <w:rsid w:val="00F5359F"/>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976F11"/>
    <w:rPr>
      <w:rFonts w:asciiTheme="majorHAnsi" w:eastAsiaTheme="majorEastAsia" w:hAnsiTheme="majorHAnsi" w:cstheme="majorBidi"/>
      <w:b/>
      <w:bCs/>
      <w:color w:val="5B9BD5" w:themeColor="accent1"/>
      <w:sz w:val="26"/>
      <w:szCs w:val="26"/>
    </w:rPr>
  </w:style>
  <w:style w:type="character" w:customStyle="1" w:styleId="ListParagraphChar">
    <w:name w:val="List Paragraph Char"/>
    <w:link w:val="ListParagraph"/>
    <w:uiPriority w:val="34"/>
    <w:rsid w:val="00976F11"/>
    <w:rPr>
      <w:rFonts w:ascii="Calibri" w:eastAsia="Calibri" w:hAnsi="Calibri" w:cs="Times New Roman"/>
    </w:rPr>
  </w:style>
  <w:style w:type="character" w:styleId="BookTitle">
    <w:name w:val="Book Title"/>
    <w:basedOn w:val="DefaultParagraphFont"/>
    <w:uiPriority w:val="33"/>
    <w:qFormat/>
    <w:rsid w:val="008E181C"/>
  </w:style>
  <w:style w:type="paragraph" w:styleId="TOC2">
    <w:name w:val="toc 2"/>
    <w:basedOn w:val="Normal"/>
    <w:next w:val="Normal"/>
    <w:autoRedefine/>
    <w:uiPriority w:val="39"/>
    <w:unhideWhenUsed/>
    <w:rsid w:val="002F2AA4"/>
    <w:pPr>
      <w:spacing w:after="100"/>
      <w:ind w:left="220"/>
    </w:pPr>
  </w:style>
  <w:style w:type="character" w:customStyle="1" w:styleId="Heading3Char">
    <w:name w:val="Heading 3 Char"/>
    <w:basedOn w:val="DefaultParagraphFont"/>
    <w:link w:val="Heading3"/>
    <w:uiPriority w:val="9"/>
    <w:semiHidden/>
    <w:rsid w:val="00D31C6E"/>
    <w:rPr>
      <w:rFonts w:asciiTheme="majorHAnsi" w:eastAsiaTheme="majorEastAsia" w:hAnsiTheme="majorHAnsi" w:cstheme="majorBidi"/>
      <w:b/>
      <w:bCs/>
      <w:color w:val="5B9BD5" w:themeColor="accent1"/>
    </w:rPr>
  </w:style>
  <w:style w:type="character" w:styleId="FollowedHyperlink">
    <w:name w:val="FollowedHyperlink"/>
    <w:basedOn w:val="DefaultParagraphFont"/>
    <w:uiPriority w:val="99"/>
    <w:semiHidden/>
    <w:unhideWhenUsed/>
    <w:rsid w:val="0001660C"/>
    <w:rPr>
      <w:color w:val="954F72" w:themeColor="followedHyperlink"/>
      <w:u w:val="single"/>
    </w:rPr>
  </w:style>
  <w:style w:type="paragraph" w:styleId="EndnoteText">
    <w:name w:val="endnote text"/>
    <w:basedOn w:val="Normal"/>
    <w:link w:val="EndnoteTextChar"/>
    <w:uiPriority w:val="99"/>
    <w:semiHidden/>
    <w:unhideWhenUsed/>
    <w:rsid w:val="001271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7147"/>
    <w:rPr>
      <w:rFonts w:ascii="Calibri" w:eastAsia="Calibri" w:hAnsi="Calibri" w:cs="Times New Roman"/>
      <w:sz w:val="20"/>
      <w:szCs w:val="20"/>
    </w:rPr>
  </w:style>
  <w:style w:type="character" w:styleId="EndnoteReference">
    <w:name w:val="endnote reference"/>
    <w:basedOn w:val="DefaultParagraphFont"/>
    <w:uiPriority w:val="99"/>
    <w:unhideWhenUsed/>
    <w:rsid w:val="00127147"/>
    <w:rPr>
      <w:vertAlign w:val="superscript"/>
    </w:rPr>
  </w:style>
  <w:style w:type="character" w:styleId="UnresolvedMention">
    <w:name w:val="Unresolved Mention"/>
    <w:basedOn w:val="DefaultParagraphFont"/>
    <w:uiPriority w:val="99"/>
    <w:semiHidden/>
    <w:unhideWhenUsed/>
    <w:rsid w:val="00C23922"/>
    <w:rPr>
      <w:color w:val="605E5C"/>
      <w:shd w:val="clear" w:color="auto" w:fill="E1DFDD"/>
    </w:rPr>
  </w:style>
  <w:style w:type="paragraph" w:styleId="Header">
    <w:name w:val="header"/>
    <w:basedOn w:val="Normal"/>
    <w:link w:val="HeaderChar"/>
    <w:uiPriority w:val="99"/>
    <w:unhideWhenUsed/>
    <w:rsid w:val="00F12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5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4949">
      <w:bodyDiv w:val="1"/>
      <w:marLeft w:val="0"/>
      <w:marRight w:val="0"/>
      <w:marTop w:val="0"/>
      <w:marBottom w:val="0"/>
      <w:divBdr>
        <w:top w:val="none" w:sz="0" w:space="0" w:color="auto"/>
        <w:left w:val="none" w:sz="0" w:space="0" w:color="auto"/>
        <w:bottom w:val="none" w:sz="0" w:space="0" w:color="auto"/>
        <w:right w:val="none" w:sz="0" w:space="0" w:color="auto"/>
      </w:divBdr>
    </w:div>
    <w:div w:id="403380507">
      <w:bodyDiv w:val="1"/>
      <w:marLeft w:val="0"/>
      <w:marRight w:val="0"/>
      <w:marTop w:val="0"/>
      <w:marBottom w:val="0"/>
      <w:divBdr>
        <w:top w:val="none" w:sz="0" w:space="0" w:color="auto"/>
        <w:left w:val="none" w:sz="0" w:space="0" w:color="auto"/>
        <w:bottom w:val="none" w:sz="0" w:space="0" w:color="auto"/>
        <w:right w:val="none" w:sz="0" w:space="0" w:color="auto"/>
      </w:divBdr>
      <w:divsChild>
        <w:div w:id="1117523963">
          <w:marLeft w:val="0"/>
          <w:marRight w:val="0"/>
          <w:marTop w:val="0"/>
          <w:marBottom w:val="0"/>
          <w:divBdr>
            <w:top w:val="none" w:sz="0" w:space="0" w:color="auto"/>
            <w:left w:val="none" w:sz="0" w:space="0" w:color="auto"/>
            <w:bottom w:val="none" w:sz="0" w:space="0" w:color="auto"/>
            <w:right w:val="none" w:sz="0" w:space="0" w:color="auto"/>
          </w:divBdr>
          <w:divsChild>
            <w:div w:id="1307318369">
              <w:marLeft w:val="0"/>
              <w:marRight w:val="0"/>
              <w:marTop w:val="0"/>
              <w:marBottom w:val="0"/>
              <w:divBdr>
                <w:top w:val="none" w:sz="0" w:space="0" w:color="auto"/>
                <w:left w:val="none" w:sz="0" w:space="0" w:color="auto"/>
                <w:bottom w:val="none" w:sz="0" w:space="0" w:color="auto"/>
                <w:right w:val="none" w:sz="0" w:space="0" w:color="auto"/>
              </w:divBdr>
              <w:divsChild>
                <w:div w:id="363596656">
                  <w:marLeft w:val="0"/>
                  <w:marRight w:val="0"/>
                  <w:marTop w:val="0"/>
                  <w:marBottom w:val="0"/>
                  <w:divBdr>
                    <w:top w:val="none" w:sz="0" w:space="0" w:color="auto"/>
                    <w:left w:val="none" w:sz="0" w:space="0" w:color="auto"/>
                    <w:bottom w:val="none" w:sz="0" w:space="0" w:color="auto"/>
                    <w:right w:val="none" w:sz="0" w:space="0" w:color="auto"/>
                  </w:divBdr>
                  <w:divsChild>
                    <w:div w:id="14893905">
                      <w:marLeft w:val="0"/>
                      <w:marRight w:val="0"/>
                      <w:marTop w:val="0"/>
                      <w:marBottom w:val="0"/>
                      <w:divBdr>
                        <w:top w:val="none" w:sz="0" w:space="0" w:color="auto"/>
                        <w:left w:val="none" w:sz="0" w:space="0" w:color="auto"/>
                        <w:bottom w:val="none" w:sz="0" w:space="0" w:color="auto"/>
                        <w:right w:val="none" w:sz="0" w:space="0" w:color="auto"/>
                      </w:divBdr>
                      <w:divsChild>
                        <w:div w:id="270477748">
                          <w:marLeft w:val="0"/>
                          <w:marRight w:val="0"/>
                          <w:marTop w:val="0"/>
                          <w:marBottom w:val="0"/>
                          <w:divBdr>
                            <w:top w:val="none" w:sz="0" w:space="0" w:color="auto"/>
                            <w:left w:val="none" w:sz="0" w:space="0" w:color="auto"/>
                            <w:bottom w:val="none" w:sz="0" w:space="0" w:color="auto"/>
                            <w:right w:val="none" w:sz="0" w:space="0" w:color="auto"/>
                          </w:divBdr>
                          <w:divsChild>
                            <w:div w:id="162211529">
                              <w:marLeft w:val="0"/>
                              <w:marRight w:val="0"/>
                              <w:marTop w:val="0"/>
                              <w:marBottom w:val="0"/>
                              <w:divBdr>
                                <w:top w:val="none" w:sz="0" w:space="0" w:color="auto"/>
                                <w:left w:val="none" w:sz="0" w:space="0" w:color="auto"/>
                                <w:bottom w:val="none" w:sz="0" w:space="0" w:color="auto"/>
                                <w:right w:val="none" w:sz="0" w:space="0" w:color="auto"/>
                              </w:divBdr>
                              <w:divsChild>
                                <w:div w:id="307444770">
                                  <w:marLeft w:val="0"/>
                                  <w:marRight w:val="0"/>
                                  <w:marTop w:val="0"/>
                                  <w:marBottom w:val="0"/>
                                  <w:divBdr>
                                    <w:top w:val="none" w:sz="0" w:space="0" w:color="auto"/>
                                    <w:left w:val="none" w:sz="0" w:space="0" w:color="auto"/>
                                    <w:bottom w:val="none" w:sz="0" w:space="0" w:color="auto"/>
                                    <w:right w:val="none" w:sz="0" w:space="0" w:color="auto"/>
                                  </w:divBdr>
                                  <w:divsChild>
                                    <w:div w:id="6768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770301">
      <w:bodyDiv w:val="1"/>
      <w:marLeft w:val="0"/>
      <w:marRight w:val="0"/>
      <w:marTop w:val="0"/>
      <w:marBottom w:val="0"/>
      <w:divBdr>
        <w:top w:val="none" w:sz="0" w:space="0" w:color="auto"/>
        <w:left w:val="none" w:sz="0" w:space="0" w:color="auto"/>
        <w:bottom w:val="none" w:sz="0" w:space="0" w:color="auto"/>
        <w:right w:val="none" w:sz="0" w:space="0" w:color="auto"/>
      </w:divBdr>
    </w:div>
    <w:div w:id="643972481">
      <w:bodyDiv w:val="1"/>
      <w:marLeft w:val="0"/>
      <w:marRight w:val="0"/>
      <w:marTop w:val="0"/>
      <w:marBottom w:val="0"/>
      <w:divBdr>
        <w:top w:val="none" w:sz="0" w:space="0" w:color="auto"/>
        <w:left w:val="none" w:sz="0" w:space="0" w:color="auto"/>
        <w:bottom w:val="none" w:sz="0" w:space="0" w:color="auto"/>
        <w:right w:val="none" w:sz="0" w:space="0" w:color="auto"/>
      </w:divBdr>
    </w:div>
    <w:div w:id="822507372">
      <w:bodyDiv w:val="1"/>
      <w:marLeft w:val="0"/>
      <w:marRight w:val="0"/>
      <w:marTop w:val="0"/>
      <w:marBottom w:val="0"/>
      <w:divBdr>
        <w:top w:val="none" w:sz="0" w:space="0" w:color="auto"/>
        <w:left w:val="none" w:sz="0" w:space="0" w:color="auto"/>
        <w:bottom w:val="none" w:sz="0" w:space="0" w:color="auto"/>
        <w:right w:val="none" w:sz="0" w:space="0" w:color="auto"/>
      </w:divBdr>
    </w:div>
    <w:div w:id="884828132">
      <w:bodyDiv w:val="1"/>
      <w:marLeft w:val="0"/>
      <w:marRight w:val="0"/>
      <w:marTop w:val="0"/>
      <w:marBottom w:val="0"/>
      <w:divBdr>
        <w:top w:val="none" w:sz="0" w:space="0" w:color="auto"/>
        <w:left w:val="none" w:sz="0" w:space="0" w:color="auto"/>
        <w:bottom w:val="none" w:sz="0" w:space="0" w:color="auto"/>
        <w:right w:val="none" w:sz="0" w:space="0" w:color="auto"/>
      </w:divBdr>
      <w:divsChild>
        <w:div w:id="1905682174">
          <w:marLeft w:val="0"/>
          <w:marRight w:val="0"/>
          <w:marTop w:val="0"/>
          <w:marBottom w:val="0"/>
          <w:divBdr>
            <w:top w:val="none" w:sz="0" w:space="0" w:color="auto"/>
            <w:left w:val="none" w:sz="0" w:space="0" w:color="auto"/>
            <w:bottom w:val="none" w:sz="0" w:space="0" w:color="auto"/>
            <w:right w:val="none" w:sz="0" w:space="0" w:color="auto"/>
          </w:divBdr>
          <w:divsChild>
            <w:div w:id="702366004">
              <w:marLeft w:val="0"/>
              <w:marRight w:val="0"/>
              <w:marTop w:val="0"/>
              <w:marBottom w:val="0"/>
              <w:divBdr>
                <w:top w:val="none" w:sz="0" w:space="0" w:color="auto"/>
                <w:left w:val="none" w:sz="0" w:space="0" w:color="auto"/>
                <w:bottom w:val="none" w:sz="0" w:space="0" w:color="auto"/>
                <w:right w:val="none" w:sz="0" w:space="0" w:color="auto"/>
              </w:divBdr>
              <w:divsChild>
                <w:div w:id="1847355544">
                  <w:marLeft w:val="0"/>
                  <w:marRight w:val="0"/>
                  <w:marTop w:val="0"/>
                  <w:marBottom w:val="0"/>
                  <w:divBdr>
                    <w:top w:val="none" w:sz="0" w:space="0" w:color="auto"/>
                    <w:left w:val="none" w:sz="0" w:space="0" w:color="auto"/>
                    <w:bottom w:val="none" w:sz="0" w:space="0" w:color="auto"/>
                    <w:right w:val="none" w:sz="0" w:space="0" w:color="auto"/>
                  </w:divBdr>
                  <w:divsChild>
                    <w:div w:id="669523259">
                      <w:marLeft w:val="0"/>
                      <w:marRight w:val="0"/>
                      <w:marTop w:val="0"/>
                      <w:marBottom w:val="0"/>
                      <w:divBdr>
                        <w:top w:val="none" w:sz="0" w:space="0" w:color="auto"/>
                        <w:left w:val="none" w:sz="0" w:space="0" w:color="auto"/>
                        <w:bottom w:val="none" w:sz="0" w:space="0" w:color="auto"/>
                        <w:right w:val="none" w:sz="0" w:space="0" w:color="auto"/>
                      </w:divBdr>
                      <w:divsChild>
                        <w:div w:id="2057462268">
                          <w:marLeft w:val="0"/>
                          <w:marRight w:val="0"/>
                          <w:marTop w:val="0"/>
                          <w:marBottom w:val="0"/>
                          <w:divBdr>
                            <w:top w:val="none" w:sz="0" w:space="0" w:color="auto"/>
                            <w:left w:val="none" w:sz="0" w:space="0" w:color="auto"/>
                            <w:bottom w:val="none" w:sz="0" w:space="0" w:color="auto"/>
                            <w:right w:val="none" w:sz="0" w:space="0" w:color="auto"/>
                          </w:divBdr>
                          <w:divsChild>
                            <w:div w:id="719550886">
                              <w:marLeft w:val="0"/>
                              <w:marRight w:val="0"/>
                              <w:marTop w:val="0"/>
                              <w:marBottom w:val="0"/>
                              <w:divBdr>
                                <w:top w:val="none" w:sz="0" w:space="0" w:color="auto"/>
                                <w:left w:val="none" w:sz="0" w:space="0" w:color="auto"/>
                                <w:bottom w:val="none" w:sz="0" w:space="0" w:color="auto"/>
                                <w:right w:val="none" w:sz="0" w:space="0" w:color="auto"/>
                              </w:divBdr>
                              <w:divsChild>
                                <w:div w:id="484905736">
                                  <w:marLeft w:val="0"/>
                                  <w:marRight w:val="0"/>
                                  <w:marTop w:val="0"/>
                                  <w:marBottom w:val="0"/>
                                  <w:divBdr>
                                    <w:top w:val="none" w:sz="0" w:space="0" w:color="auto"/>
                                    <w:left w:val="none" w:sz="0" w:space="0" w:color="auto"/>
                                    <w:bottom w:val="none" w:sz="0" w:space="0" w:color="auto"/>
                                    <w:right w:val="none" w:sz="0" w:space="0" w:color="auto"/>
                                  </w:divBdr>
                                  <w:divsChild>
                                    <w:div w:id="1155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540270">
      <w:bodyDiv w:val="1"/>
      <w:marLeft w:val="0"/>
      <w:marRight w:val="0"/>
      <w:marTop w:val="0"/>
      <w:marBottom w:val="0"/>
      <w:divBdr>
        <w:top w:val="none" w:sz="0" w:space="0" w:color="auto"/>
        <w:left w:val="none" w:sz="0" w:space="0" w:color="auto"/>
        <w:bottom w:val="none" w:sz="0" w:space="0" w:color="auto"/>
        <w:right w:val="none" w:sz="0" w:space="0" w:color="auto"/>
      </w:divBdr>
    </w:div>
    <w:div w:id="173257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samanthaf@pwd.org.au"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anthaf@pwd.org.au"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office@disabilityvoicestas.org.au"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dss.gov.au/sites/default/files/documents/05_2012/national_disability_strategy_2010_2020.pdf" TargetMode="External"/><Relationship Id="rId1" Type="http://schemas.openxmlformats.org/officeDocument/2006/relationships/hyperlink" Target="http://www.un.org/disabilities/convention/conventionful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CF15F-3FB0-4461-916B-6DAE908C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3598</Words>
  <Characters>20511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 Lea</dc:creator>
  <cp:lastModifiedBy>Jane Flanagan</cp:lastModifiedBy>
  <cp:revision>7</cp:revision>
  <cp:lastPrinted>2018-10-01T11:40:00Z</cp:lastPrinted>
  <dcterms:created xsi:type="dcterms:W3CDTF">2021-04-28T06:32:00Z</dcterms:created>
  <dcterms:modified xsi:type="dcterms:W3CDTF">2021-04-28T06:41:00Z</dcterms:modified>
</cp:coreProperties>
</file>