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CAAF" w14:textId="187F9B2E" w:rsidR="00BB3549" w:rsidRPr="00187C51" w:rsidRDefault="00960DB6" w:rsidP="00BB3549">
      <w:pPr>
        <w:pStyle w:val="Heading1"/>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bCs/>
          <w:color w:val="C00000"/>
          <w:sz w:val="28"/>
          <w:szCs w:val="28"/>
        </w:rPr>
      </w:pPr>
      <w:r>
        <w:rPr>
          <w:rFonts w:ascii="Arial" w:hAnsi="Arial" w:cs="Arial"/>
          <w:b/>
          <w:bCs/>
          <w:color w:val="C00000"/>
          <w:sz w:val="28"/>
          <w:szCs w:val="28"/>
        </w:rPr>
        <w:t>Indefinite Detention of People with Disability</w:t>
      </w:r>
    </w:p>
    <w:p w14:paraId="2B14F43F" w14:textId="60E283D8" w:rsidR="004373E4" w:rsidRPr="00C079DF" w:rsidRDefault="004373E4" w:rsidP="00C079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p>
    <w:p w14:paraId="2D6CA25B" w14:textId="1CE95120" w:rsidR="00A16939" w:rsidRPr="00C079DF" w:rsidRDefault="00A16939" w:rsidP="00C079DF">
      <w:pPr>
        <w:spacing w:line="276" w:lineRule="auto"/>
        <w:jc w:val="both"/>
        <w:rPr>
          <w:rFonts w:ascii="Arial" w:hAnsi="Arial" w:cs="Arial"/>
          <w:sz w:val="20"/>
          <w:szCs w:val="20"/>
        </w:rPr>
      </w:pPr>
      <w:r w:rsidRPr="00C079DF">
        <w:rPr>
          <w:rFonts w:ascii="Arial" w:hAnsi="Arial" w:cs="Arial"/>
          <w:sz w:val="20"/>
          <w:szCs w:val="20"/>
        </w:rPr>
        <w:t xml:space="preserve">There remain significant issues with legislative, policy and practice frameworks, which result in the </w:t>
      </w:r>
      <w:r w:rsidR="00C079DF">
        <w:rPr>
          <w:rFonts w:ascii="Arial" w:hAnsi="Arial" w:cs="Arial"/>
          <w:sz w:val="20"/>
          <w:szCs w:val="20"/>
        </w:rPr>
        <w:t>indefinite</w:t>
      </w:r>
      <w:r w:rsidRPr="00C079DF">
        <w:rPr>
          <w:rFonts w:ascii="Arial" w:hAnsi="Arial" w:cs="Arial"/>
          <w:sz w:val="20"/>
          <w:szCs w:val="20"/>
        </w:rPr>
        <w:t xml:space="preserve"> detention of people with disability, disproportionately experienced by Indigenous people with disability, people with intellectual disability and people with psychosocial disability.</w:t>
      </w:r>
    </w:p>
    <w:p w14:paraId="6CE8E137" w14:textId="3D14DC76" w:rsidR="00A16939" w:rsidRPr="00C079DF" w:rsidRDefault="00A16939" w:rsidP="00C079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p>
    <w:p w14:paraId="4D9DD246" w14:textId="77777777" w:rsidR="00A16939" w:rsidRPr="00C079DF" w:rsidRDefault="00A16939" w:rsidP="00C079DF">
      <w:pPr>
        <w:pStyle w:val="PFNumLevel1"/>
        <w:numPr>
          <w:ilvl w:val="0"/>
          <w:numId w:val="0"/>
        </w:numPr>
        <w:spacing w:before="0" w:after="0"/>
        <w:jc w:val="both"/>
        <w:rPr>
          <w:rFonts w:ascii="Arial" w:hAnsi="Arial" w:cs="Arial"/>
          <w:sz w:val="20"/>
          <w:lang w:val="en-AU"/>
        </w:rPr>
      </w:pPr>
      <w:r w:rsidRPr="00C079DF">
        <w:rPr>
          <w:rFonts w:ascii="Arial" w:hAnsi="Arial" w:cs="Arial"/>
          <w:sz w:val="20"/>
          <w:u w:color="BC2504"/>
          <w:lang w:val="en-AU"/>
        </w:rPr>
        <w:t xml:space="preserve">All Australian jurisdictions have in place legislation that addresses a defendant within the criminal justice system and their ‘fitness’ to stand trial. </w:t>
      </w:r>
      <w:r w:rsidRPr="00C079DF">
        <w:rPr>
          <w:rFonts w:ascii="Arial" w:hAnsi="Arial" w:cs="Arial"/>
          <w:sz w:val="20"/>
          <w:lang w:val="en-AU"/>
        </w:rPr>
        <w:t xml:space="preserve">These justice diversion provisions are applied when people with disability, particularly those with cognitive or psychosocial disability are deemed ‘unfit’ to stand trial. </w:t>
      </w:r>
      <w:r w:rsidRPr="00C079DF">
        <w:rPr>
          <w:rFonts w:ascii="Arial" w:hAnsi="Arial" w:cs="Arial"/>
          <w:sz w:val="20"/>
          <w:u w:color="BC2504"/>
          <w:lang w:val="en-AU"/>
        </w:rPr>
        <w:t>An unfitness test may arise as an issue before or during the trial process.</w:t>
      </w:r>
      <w:r w:rsidRPr="00C079DF">
        <w:rPr>
          <w:rStyle w:val="EndnoteReference"/>
          <w:rFonts w:ascii="Arial" w:hAnsi="Arial" w:cs="Arial"/>
          <w:sz w:val="20"/>
          <w:u w:color="BC2504"/>
          <w:lang w:val="en-AU"/>
        </w:rPr>
        <w:endnoteReference w:id="1"/>
      </w:r>
      <w:r w:rsidRPr="00C079DF">
        <w:rPr>
          <w:rFonts w:ascii="Arial" w:hAnsi="Arial" w:cs="Arial"/>
          <w:sz w:val="20"/>
          <w:u w:color="BC2504"/>
          <w:lang w:val="en-AU"/>
        </w:rPr>
        <w:t xml:space="preserve">  </w:t>
      </w:r>
    </w:p>
    <w:p w14:paraId="3A98AC0F" w14:textId="77777777" w:rsidR="00A16939" w:rsidRPr="00C079DF" w:rsidRDefault="00A16939" w:rsidP="00C079DF">
      <w:pPr>
        <w:pStyle w:val="PFNumLevel1"/>
        <w:numPr>
          <w:ilvl w:val="0"/>
          <w:numId w:val="0"/>
        </w:numPr>
        <w:spacing w:before="0" w:after="0"/>
        <w:jc w:val="both"/>
        <w:rPr>
          <w:rFonts w:ascii="Arial" w:hAnsi="Arial" w:cs="Arial"/>
          <w:sz w:val="20"/>
          <w:lang w:val="en-AU"/>
        </w:rPr>
      </w:pPr>
    </w:p>
    <w:p w14:paraId="0E0D931E" w14:textId="5E136504" w:rsidR="00A16939" w:rsidRPr="00C079DF" w:rsidRDefault="00A16939" w:rsidP="00C079DF">
      <w:pPr>
        <w:pStyle w:val="PFNumLevel1"/>
        <w:numPr>
          <w:ilvl w:val="0"/>
          <w:numId w:val="0"/>
        </w:numPr>
        <w:spacing w:before="0" w:after="0"/>
        <w:jc w:val="both"/>
        <w:rPr>
          <w:rFonts w:ascii="Arial" w:hAnsi="Arial" w:cs="Arial"/>
          <w:sz w:val="20"/>
          <w:lang w:val="en-AU"/>
        </w:rPr>
      </w:pPr>
      <w:r w:rsidRPr="00C079DF">
        <w:rPr>
          <w:rFonts w:ascii="Arial" w:hAnsi="Arial" w:cs="Arial"/>
          <w:bCs/>
          <w:sz w:val="20"/>
          <w:lang w:val="en-AU"/>
        </w:rPr>
        <w:t xml:space="preserve">Justice diversion provisions have resulted in </w:t>
      </w:r>
      <w:r w:rsidRPr="00C079DF">
        <w:rPr>
          <w:rFonts w:ascii="Arial" w:hAnsi="Arial" w:cs="Arial"/>
          <w:sz w:val="20"/>
          <w:lang w:val="en-AU"/>
        </w:rPr>
        <w:t>people with disability being detained indefinitely in prisons or psychiatric facilities without being convicted of a crime. In numerous cases, people are being detained for a longer period than if they had been convicted.</w:t>
      </w:r>
      <w:r w:rsidRPr="00C079DF">
        <w:rPr>
          <w:rStyle w:val="EndnoteReference"/>
          <w:rFonts w:ascii="Arial" w:hAnsi="Arial" w:cs="Arial"/>
          <w:sz w:val="20"/>
          <w:lang w:val="en-AU"/>
        </w:rPr>
        <w:endnoteReference w:id="2"/>
      </w:r>
      <w:r w:rsidRPr="00C079DF">
        <w:rPr>
          <w:rFonts w:ascii="Arial" w:hAnsi="Arial" w:cs="Arial"/>
          <w:sz w:val="20"/>
          <w:lang w:val="en-AU"/>
        </w:rPr>
        <w:t xml:space="preserve"> This situation is exacerbated by a lack of community based housing, therapeutic and disability support options available for people with disability who are deemed ‘unfit’ to stand trial. </w:t>
      </w:r>
    </w:p>
    <w:p w14:paraId="3A193CF0" w14:textId="77777777" w:rsidR="008E5829" w:rsidRPr="00C079DF" w:rsidRDefault="008E5829" w:rsidP="00C079DF">
      <w:pPr>
        <w:spacing w:line="276" w:lineRule="auto"/>
        <w:jc w:val="both"/>
        <w:rPr>
          <w:rFonts w:ascii="Arial" w:eastAsia="Times New Roman" w:hAnsi="Arial" w:cs="Arial"/>
          <w:bCs/>
          <w:sz w:val="20"/>
          <w:szCs w:val="20"/>
          <w:lang w:val="en-AU"/>
        </w:rPr>
      </w:pPr>
    </w:p>
    <w:p w14:paraId="75438B0A" w14:textId="48915593" w:rsidR="008E5829" w:rsidRPr="00C079DF" w:rsidRDefault="008E5829" w:rsidP="00C079DF">
      <w:pPr>
        <w:spacing w:line="276" w:lineRule="auto"/>
        <w:jc w:val="both"/>
        <w:rPr>
          <w:rFonts w:ascii="Arial" w:eastAsia="Times New Roman" w:hAnsi="Arial" w:cs="Arial"/>
          <w:sz w:val="20"/>
          <w:szCs w:val="20"/>
          <w:lang w:val="en-AU"/>
        </w:rPr>
      </w:pPr>
      <w:r w:rsidRPr="00C079DF">
        <w:rPr>
          <w:rFonts w:ascii="Arial" w:eastAsia="Times New Roman" w:hAnsi="Arial" w:cs="Arial"/>
          <w:bCs/>
          <w:sz w:val="20"/>
          <w:szCs w:val="20"/>
          <w:lang w:val="en-AU"/>
        </w:rPr>
        <w:t>In reviewing Commonwealth laws and programs and legal capacity for people with disability</w:t>
      </w:r>
      <w:r w:rsidR="002252B9">
        <w:rPr>
          <w:rFonts w:ascii="Arial" w:eastAsia="Times New Roman" w:hAnsi="Arial" w:cs="Arial"/>
          <w:bCs/>
          <w:sz w:val="20"/>
          <w:szCs w:val="20"/>
          <w:lang w:val="en-AU"/>
        </w:rPr>
        <w:t xml:space="preserve"> in 2014</w:t>
      </w:r>
      <w:r w:rsidRPr="00C079DF">
        <w:rPr>
          <w:rFonts w:ascii="Arial" w:eastAsia="Times New Roman" w:hAnsi="Arial" w:cs="Arial"/>
          <w:bCs/>
          <w:sz w:val="20"/>
          <w:szCs w:val="20"/>
          <w:lang w:val="en-AU"/>
        </w:rPr>
        <w:t>, the Australian Law Reform Commission recommended reform of the ‘unfitness’ test, the provision of appropriate supports, limits and reviews on detention.</w:t>
      </w:r>
      <w:r w:rsidRPr="00C079DF">
        <w:rPr>
          <w:rFonts w:ascii="Arial" w:eastAsia="Times New Roman" w:hAnsi="Arial" w:cs="Arial"/>
          <w:bCs/>
          <w:sz w:val="20"/>
          <w:szCs w:val="20"/>
          <w:vertAlign w:val="superscript"/>
          <w:lang w:val="en-AU"/>
        </w:rPr>
        <w:endnoteReference w:id="3"/>
      </w:r>
      <w:r w:rsidRPr="00C079DF">
        <w:rPr>
          <w:rFonts w:ascii="Arial" w:eastAsia="Times New Roman" w:hAnsi="Arial" w:cs="Arial"/>
          <w:bCs/>
          <w:sz w:val="20"/>
          <w:szCs w:val="20"/>
          <w:lang w:val="en-AU"/>
        </w:rPr>
        <w:t xml:space="preserve"> The Australian Government </w:t>
      </w:r>
      <w:r w:rsidR="00C079DF">
        <w:rPr>
          <w:rFonts w:ascii="Arial" w:eastAsia="Times New Roman" w:hAnsi="Arial" w:cs="Arial"/>
          <w:bCs/>
          <w:sz w:val="20"/>
          <w:szCs w:val="20"/>
          <w:lang w:val="en-AU"/>
        </w:rPr>
        <w:t>is</w:t>
      </w:r>
      <w:r w:rsidRPr="00C079DF">
        <w:rPr>
          <w:rFonts w:ascii="Arial" w:eastAsia="Times New Roman" w:hAnsi="Arial" w:cs="Arial"/>
          <w:bCs/>
          <w:sz w:val="20"/>
          <w:szCs w:val="20"/>
          <w:lang w:val="en-AU"/>
        </w:rPr>
        <w:t xml:space="preserve"> yet to respond to th</w:t>
      </w:r>
      <w:r w:rsidR="00C079DF">
        <w:rPr>
          <w:rFonts w:ascii="Arial" w:eastAsia="Times New Roman" w:hAnsi="Arial" w:cs="Arial"/>
          <w:bCs/>
          <w:sz w:val="20"/>
          <w:szCs w:val="20"/>
          <w:lang w:val="en-AU"/>
        </w:rPr>
        <w:t>e Law Reform Commission’s</w:t>
      </w:r>
      <w:r w:rsidRPr="00C079DF">
        <w:rPr>
          <w:rFonts w:ascii="Arial" w:eastAsia="Times New Roman" w:hAnsi="Arial" w:cs="Arial"/>
          <w:bCs/>
          <w:sz w:val="20"/>
          <w:szCs w:val="20"/>
          <w:lang w:val="en-AU"/>
        </w:rPr>
        <w:t xml:space="preserve"> </w:t>
      </w:r>
      <w:r w:rsidR="006617AD">
        <w:rPr>
          <w:rFonts w:ascii="Arial" w:eastAsia="Times New Roman" w:hAnsi="Arial" w:cs="Arial"/>
          <w:bCs/>
          <w:sz w:val="20"/>
          <w:szCs w:val="20"/>
          <w:lang w:val="en-AU"/>
        </w:rPr>
        <w:t xml:space="preserve">2014 </w:t>
      </w:r>
      <w:r w:rsidRPr="00C079DF">
        <w:rPr>
          <w:rFonts w:ascii="Arial" w:eastAsia="Times New Roman" w:hAnsi="Arial" w:cs="Arial"/>
          <w:bCs/>
          <w:sz w:val="20"/>
          <w:szCs w:val="20"/>
          <w:lang w:val="en-AU"/>
        </w:rPr>
        <w:t>report</w:t>
      </w:r>
      <w:r w:rsidR="002252B9">
        <w:rPr>
          <w:rFonts w:ascii="Arial" w:eastAsia="Times New Roman" w:hAnsi="Arial" w:cs="Arial"/>
          <w:bCs/>
          <w:sz w:val="20"/>
          <w:szCs w:val="20"/>
          <w:lang w:val="en-AU"/>
        </w:rPr>
        <w:t xml:space="preserve"> </w:t>
      </w:r>
      <w:r w:rsidR="006617AD" w:rsidRPr="006617AD">
        <w:rPr>
          <w:rFonts w:ascii="Arial" w:eastAsia="Times New Roman" w:hAnsi="Arial" w:cs="Arial"/>
          <w:bCs/>
          <w:i/>
          <w:iCs/>
          <w:sz w:val="20"/>
          <w:szCs w:val="20"/>
          <w:lang w:val="en-AU"/>
        </w:rPr>
        <w:t>'</w:t>
      </w:r>
      <w:r w:rsidR="006617AD" w:rsidRPr="006617AD">
        <w:rPr>
          <w:rFonts w:ascii="Arial" w:eastAsia="Times New Roman" w:hAnsi="Arial" w:cs="Arial"/>
          <w:bCs/>
          <w:i/>
          <w:iCs/>
          <w:sz w:val="20"/>
          <w:szCs w:val="20"/>
          <w:lang w:val="en-AU"/>
        </w:rPr>
        <w:t>Equality, Capacity and Disability in Commonwealth Laws</w:t>
      </w:r>
      <w:r w:rsidR="006617AD" w:rsidRPr="006617AD">
        <w:rPr>
          <w:rFonts w:ascii="Arial" w:eastAsia="Times New Roman" w:hAnsi="Arial" w:cs="Arial"/>
          <w:bCs/>
          <w:i/>
          <w:iCs/>
          <w:sz w:val="20"/>
          <w:szCs w:val="20"/>
          <w:lang w:val="en-AU"/>
        </w:rPr>
        <w:t>'</w:t>
      </w:r>
      <w:r w:rsidRPr="00C079DF">
        <w:rPr>
          <w:rFonts w:ascii="Arial" w:eastAsia="Times New Roman" w:hAnsi="Arial" w:cs="Arial"/>
          <w:bCs/>
          <w:sz w:val="20"/>
          <w:szCs w:val="20"/>
          <w:lang w:val="en-AU"/>
        </w:rPr>
        <w:t>.</w:t>
      </w:r>
    </w:p>
    <w:p w14:paraId="7AC030B3" w14:textId="77777777" w:rsidR="008E5829" w:rsidRPr="00C079DF" w:rsidRDefault="008E5829" w:rsidP="00C079DF">
      <w:pPr>
        <w:pStyle w:val="PFNumLevel1"/>
        <w:numPr>
          <w:ilvl w:val="0"/>
          <w:numId w:val="0"/>
        </w:numPr>
        <w:spacing w:before="0" w:after="0"/>
        <w:jc w:val="both"/>
        <w:rPr>
          <w:rFonts w:ascii="Arial" w:hAnsi="Arial" w:cs="Arial"/>
          <w:sz w:val="20"/>
          <w:lang w:val="en-AU"/>
        </w:rPr>
      </w:pPr>
    </w:p>
    <w:p w14:paraId="3BF26726" w14:textId="0525DBDA" w:rsidR="00A16939" w:rsidRPr="00C079DF" w:rsidRDefault="00A16939" w:rsidP="00C079DF">
      <w:pPr>
        <w:spacing w:line="276" w:lineRule="auto"/>
        <w:jc w:val="both"/>
        <w:rPr>
          <w:rFonts w:ascii="Arial" w:hAnsi="Arial" w:cs="Arial"/>
          <w:sz w:val="20"/>
          <w:szCs w:val="20"/>
        </w:rPr>
      </w:pPr>
      <w:r w:rsidRPr="00C079DF">
        <w:rPr>
          <w:rFonts w:ascii="Arial" w:eastAsia="Times New Roman" w:hAnsi="Arial" w:cs="Arial"/>
          <w:sz w:val="20"/>
          <w:szCs w:val="20"/>
          <w:lang w:val="en-AU"/>
        </w:rPr>
        <w:t>Th</w:t>
      </w:r>
      <w:r w:rsidR="008E5829" w:rsidRPr="00C079DF">
        <w:rPr>
          <w:rFonts w:ascii="Arial" w:eastAsia="Times New Roman" w:hAnsi="Arial" w:cs="Arial"/>
          <w:sz w:val="20"/>
          <w:szCs w:val="20"/>
          <w:lang w:val="en-AU"/>
        </w:rPr>
        <w:t>e</w:t>
      </w:r>
      <w:r w:rsidRPr="00C079DF">
        <w:rPr>
          <w:rFonts w:ascii="Arial" w:eastAsia="Times New Roman" w:hAnsi="Arial" w:cs="Arial"/>
          <w:sz w:val="20"/>
          <w:szCs w:val="20"/>
          <w:lang w:val="en-AU"/>
        </w:rPr>
        <w:t xml:space="preserve"> practice of indefinite detention is disproportionately experienced by </w:t>
      </w:r>
      <w:r w:rsidRPr="00C079DF">
        <w:rPr>
          <w:rFonts w:ascii="Arial" w:hAnsi="Arial" w:cs="Arial"/>
          <w:sz w:val="20"/>
          <w:szCs w:val="20"/>
        </w:rPr>
        <w:t>Indigenous people with disability</w:t>
      </w:r>
      <w:r w:rsidRPr="00C079DF">
        <w:rPr>
          <w:rFonts w:ascii="Arial" w:eastAsia="Times New Roman" w:hAnsi="Arial" w:cs="Arial"/>
          <w:sz w:val="20"/>
          <w:szCs w:val="20"/>
          <w:lang w:val="en-AU"/>
        </w:rPr>
        <w:t>.</w:t>
      </w:r>
      <w:r w:rsidRPr="00C079DF">
        <w:rPr>
          <w:rStyle w:val="EndnoteReference"/>
          <w:rFonts w:ascii="Arial" w:eastAsia="Times New Roman" w:hAnsi="Arial" w:cs="Arial"/>
          <w:sz w:val="20"/>
          <w:szCs w:val="20"/>
          <w:lang w:val="en-AU"/>
        </w:rPr>
        <w:endnoteReference w:id="4"/>
      </w:r>
      <w:r w:rsidRPr="00C079DF">
        <w:rPr>
          <w:rFonts w:ascii="Arial" w:eastAsia="Times New Roman" w:hAnsi="Arial" w:cs="Arial"/>
          <w:sz w:val="20"/>
          <w:szCs w:val="20"/>
          <w:lang w:val="en-AU"/>
        </w:rPr>
        <w:t xml:space="preserve"> A lack of transparency in data makes it difficult to quantify the number of people indefinitely detained, however evidence provided to a Senate Inquiry on indefinite detention estimate</w:t>
      </w:r>
      <w:r w:rsidR="0035296F">
        <w:rPr>
          <w:rFonts w:ascii="Arial" w:eastAsia="Times New Roman" w:hAnsi="Arial" w:cs="Arial"/>
          <w:sz w:val="20"/>
          <w:szCs w:val="20"/>
          <w:lang w:val="en-AU"/>
        </w:rPr>
        <w:t>s</w:t>
      </w:r>
      <w:r w:rsidRPr="00C079DF">
        <w:rPr>
          <w:rFonts w:ascii="Arial" w:eastAsia="Times New Roman" w:hAnsi="Arial" w:cs="Arial"/>
          <w:sz w:val="20"/>
          <w:szCs w:val="20"/>
          <w:lang w:val="en-AU"/>
        </w:rPr>
        <w:t xml:space="preserve">, that there are at least 100 people </w:t>
      </w:r>
      <w:r w:rsidRPr="00C079DF">
        <w:rPr>
          <w:rFonts w:ascii="Arial" w:hAnsi="Arial" w:cs="Arial"/>
          <w:sz w:val="20"/>
          <w:szCs w:val="20"/>
        </w:rPr>
        <w:t>detained across Australia without conviction in prisons, psychiatric units and forensic detention services under mental impairment legislation. These people are predominately Indigenous, have cognitive and/or psychosocial impairment, cultural communication barriers and/or hearing loss.</w:t>
      </w:r>
      <w:r w:rsidRPr="00C079DF">
        <w:rPr>
          <w:rStyle w:val="EndnoteReference"/>
          <w:rFonts w:ascii="Arial" w:hAnsi="Arial" w:cs="Arial"/>
          <w:sz w:val="20"/>
          <w:szCs w:val="20"/>
        </w:rPr>
        <w:endnoteReference w:id="5"/>
      </w:r>
      <w:r w:rsidRPr="00C079DF">
        <w:rPr>
          <w:rFonts w:ascii="Arial" w:hAnsi="Arial" w:cs="Arial"/>
          <w:sz w:val="20"/>
          <w:szCs w:val="20"/>
        </w:rPr>
        <w:t xml:space="preserve"> </w:t>
      </w:r>
      <w:r w:rsidRPr="00C079DF">
        <w:rPr>
          <w:rFonts w:ascii="Arial" w:eastAsia="Times New Roman" w:hAnsi="Arial" w:cs="Arial"/>
          <w:sz w:val="20"/>
          <w:szCs w:val="20"/>
          <w:lang w:val="en-AU"/>
        </w:rPr>
        <w:t xml:space="preserve">This issue intersects with the high rates of incarceration of </w:t>
      </w:r>
      <w:r w:rsidRPr="00C079DF">
        <w:rPr>
          <w:rFonts w:ascii="Arial" w:hAnsi="Arial" w:cs="Arial"/>
          <w:sz w:val="20"/>
          <w:szCs w:val="20"/>
        </w:rPr>
        <w:t>Indigenous Australians</w:t>
      </w:r>
      <w:r w:rsidRPr="00C079DF">
        <w:rPr>
          <w:rFonts w:ascii="Arial" w:eastAsia="Times New Roman" w:hAnsi="Arial" w:cs="Arial"/>
          <w:sz w:val="20"/>
          <w:szCs w:val="20"/>
          <w:lang w:val="en-AU"/>
        </w:rPr>
        <w:t>, who whilst making up 2.5% of the Australian population, comprise at least 50% or one-half of the people detained without conviction.</w:t>
      </w:r>
      <w:r w:rsidRPr="00C079DF">
        <w:rPr>
          <w:rFonts w:ascii="Arial" w:eastAsia="Times New Roman" w:hAnsi="Arial" w:cs="Arial"/>
          <w:sz w:val="20"/>
          <w:szCs w:val="20"/>
          <w:vertAlign w:val="superscript"/>
          <w:lang w:val="en-AU"/>
        </w:rPr>
        <w:endnoteReference w:id="6"/>
      </w:r>
      <w:r w:rsidRPr="00C079DF">
        <w:rPr>
          <w:rFonts w:ascii="Arial" w:eastAsia="Times New Roman" w:hAnsi="Arial" w:cs="Arial"/>
          <w:sz w:val="20"/>
          <w:szCs w:val="20"/>
          <w:lang w:val="en-AU"/>
        </w:rPr>
        <w:t xml:space="preserve"> </w:t>
      </w:r>
    </w:p>
    <w:p w14:paraId="052D929B" w14:textId="24B45471" w:rsidR="00A16939" w:rsidRPr="00C079DF" w:rsidRDefault="00A16939" w:rsidP="00C079DF">
      <w:pPr>
        <w:spacing w:line="276" w:lineRule="auto"/>
        <w:jc w:val="both"/>
        <w:rPr>
          <w:rFonts w:ascii="Arial" w:hAnsi="Arial" w:cs="Arial"/>
          <w:sz w:val="20"/>
          <w:szCs w:val="20"/>
        </w:rPr>
      </w:pPr>
    </w:p>
    <w:p w14:paraId="0E83906A" w14:textId="453E3B60" w:rsidR="00A16939" w:rsidRPr="00C079DF" w:rsidRDefault="00A16939" w:rsidP="00C079DF">
      <w:pPr>
        <w:spacing w:line="276" w:lineRule="auto"/>
        <w:jc w:val="both"/>
        <w:rPr>
          <w:rFonts w:ascii="Arial" w:eastAsia="Times New Roman" w:hAnsi="Arial" w:cs="Arial"/>
          <w:bCs/>
          <w:sz w:val="20"/>
          <w:szCs w:val="20"/>
          <w:lang w:val="en-AU"/>
        </w:rPr>
      </w:pPr>
      <w:r w:rsidRPr="00C079DF">
        <w:rPr>
          <w:rFonts w:ascii="Arial" w:eastAsia="Times New Roman" w:hAnsi="Arial" w:cs="Arial"/>
          <w:bCs/>
          <w:sz w:val="20"/>
          <w:szCs w:val="20"/>
          <w:lang w:val="en-AU"/>
        </w:rPr>
        <w:t xml:space="preserve">In detention, people with disability are vulnerable to punitive treatment and practices, such as chemical and physical restraints, and solitary confinement. For example, in the situation of four </w:t>
      </w:r>
      <w:r w:rsidR="00472C28" w:rsidRPr="00C079DF">
        <w:rPr>
          <w:rFonts w:ascii="Arial" w:hAnsi="Arial" w:cs="Arial"/>
          <w:sz w:val="20"/>
          <w:szCs w:val="20"/>
        </w:rPr>
        <w:t>Indigenous</w:t>
      </w:r>
      <w:r w:rsidRPr="00C079DF">
        <w:rPr>
          <w:rFonts w:ascii="Arial" w:eastAsia="Times New Roman" w:hAnsi="Arial" w:cs="Arial"/>
          <w:bCs/>
          <w:sz w:val="20"/>
          <w:szCs w:val="20"/>
          <w:lang w:val="en-AU"/>
        </w:rPr>
        <w:t xml:space="preserve"> men with disability indefinitely detained in prisons, the Australian Human Rights Commission found that detention conditions amounted to cruel, inhuman or degrading treatment and that Australia was in breach of its international obligations.</w:t>
      </w:r>
      <w:r w:rsidRPr="00C079DF">
        <w:rPr>
          <w:rStyle w:val="EndnoteReference"/>
          <w:rFonts w:ascii="Arial" w:eastAsia="Times New Roman" w:hAnsi="Arial" w:cs="Arial"/>
          <w:bCs/>
          <w:sz w:val="20"/>
          <w:szCs w:val="20"/>
          <w:lang w:val="en-AU"/>
        </w:rPr>
        <w:endnoteReference w:id="7"/>
      </w:r>
      <w:r w:rsidRPr="00C079DF">
        <w:rPr>
          <w:rFonts w:ascii="Arial" w:eastAsia="Times New Roman" w:hAnsi="Arial" w:cs="Arial"/>
          <w:bCs/>
          <w:sz w:val="20"/>
          <w:szCs w:val="20"/>
          <w:lang w:val="en-AU"/>
        </w:rPr>
        <w:t xml:space="preserve"> </w:t>
      </w:r>
    </w:p>
    <w:p w14:paraId="6847EE39" w14:textId="04E239FE" w:rsidR="00A16939" w:rsidRPr="00C079DF" w:rsidRDefault="00A16939" w:rsidP="00C079DF">
      <w:pPr>
        <w:spacing w:line="276" w:lineRule="auto"/>
        <w:jc w:val="both"/>
        <w:rPr>
          <w:rFonts w:ascii="Arial" w:eastAsia="Times New Roman" w:hAnsi="Arial" w:cs="Arial"/>
          <w:bCs/>
          <w:sz w:val="20"/>
          <w:szCs w:val="20"/>
          <w:lang w:val="en-AU"/>
        </w:rPr>
      </w:pPr>
    </w:p>
    <w:p w14:paraId="583257E7" w14:textId="759CFDBC" w:rsidR="009513FD" w:rsidRPr="00C079DF" w:rsidRDefault="009513FD" w:rsidP="00C079DF">
      <w:pPr>
        <w:spacing w:line="276" w:lineRule="auto"/>
        <w:jc w:val="both"/>
        <w:rPr>
          <w:rFonts w:ascii="Arial" w:hAnsi="Arial" w:cs="Arial"/>
          <w:sz w:val="20"/>
          <w:szCs w:val="20"/>
        </w:rPr>
      </w:pPr>
      <w:r w:rsidRPr="00C079DF">
        <w:rPr>
          <w:rFonts w:ascii="Arial" w:hAnsi="Arial" w:cs="Arial"/>
          <w:sz w:val="20"/>
          <w:szCs w:val="20"/>
        </w:rPr>
        <w:t>Children with disability are being held and restrained in adult detention centres and are experiencing gross violations of their human rights. In June 2019, an Indigenous boy with an intellectual impairment was kept "completely naked" for days inside an adult, maximum-security police watch house after being deemed a suicide risk. After being stripped he was left naked in a cell with only a blanket to cover himself with. An investigation by a current affairs program found that some children</w:t>
      </w:r>
      <w:r w:rsidR="00B163AC" w:rsidRPr="00C079DF">
        <w:rPr>
          <w:rFonts w:ascii="Arial" w:hAnsi="Arial" w:cs="Arial"/>
          <w:sz w:val="20"/>
          <w:szCs w:val="20"/>
        </w:rPr>
        <w:t>, including those with disability,</w:t>
      </w:r>
      <w:r w:rsidRPr="00C079DF">
        <w:rPr>
          <w:rFonts w:ascii="Arial" w:hAnsi="Arial" w:cs="Arial"/>
          <w:sz w:val="20"/>
          <w:szCs w:val="20"/>
        </w:rPr>
        <w:t xml:space="preserve"> were being held in </w:t>
      </w:r>
      <w:r w:rsidR="00B163AC" w:rsidRPr="00C079DF">
        <w:rPr>
          <w:rFonts w:ascii="Arial" w:hAnsi="Arial" w:cs="Arial"/>
          <w:sz w:val="20"/>
          <w:szCs w:val="20"/>
        </w:rPr>
        <w:t xml:space="preserve">adult </w:t>
      </w:r>
      <w:r w:rsidRPr="00C079DF">
        <w:rPr>
          <w:rFonts w:ascii="Arial" w:hAnsi="Arial" w:cs="Arial"/>
          <w:sz w:val="20"/>
          <w:szCs w:val="20"/>
        </w:rPr>
        <w:t>watch houses for weeks on end, with one placed in isolation for 23 days.</w:t>
      </w:r>
      <w:r w:rsidR="008E5829" w:rsidRPr="00C079DF">
        <w:rPr>
          <w:rStyle w:val="EndnoteReference"/>
          <w:rFonts w:ascii="Arial" w:hAnsi="Arial" w:cs="Arial"/>
          <w:sz w:val="20"/>
          <w:szCs w:val="20"/>
        </w:rPr>
        <w:endnoteReference w:id="8"/>
      </w:r>
    </w:p>
    <w:p w14:paraId="3058ABB5" w14:textId="36460EB4" w:rsidR="00A16939" w:rsidRPr="00C079DF" w:rsidRDefault="00A16939" w:rsidP="00C079DF">
      <w:pPr>
        <w:spacing w:line="276" w:lineRule="auto"/>
        <w:jc w:val="both"/>
        <w:rPr>
          <w:rFonts w:ascii="Arial" w:eastAsia="Times New Roman" w:hAnsi="Arial" w:cs="Arial"/>
          <w:sz w:val="20"/>
          <w:szCs w:val="20"/>
          <w:lang w:val="en-AU"/>
        </w:rPr>
      </w:pPr>
    </w:p>
    <w:p w14:paraId="31D16360" w14:textId="21E5E3D2" w:rsidR="008A1708" w:rsidRPr="00C079DF" w:rsidRDefault="008A1708" w:rsidP="00C079DF">
      <w:pPr>
        <w:spacing w:line="276" w:lineRule="auto"/>
        <w:jc w:val="both"/>
        <w:rPr>
          <w:rFonts w:ascii="Arial" w:hAnsi="Arial" w:cs="Arial"/>
          <w:sz w:val="20"/>
          <w:szCs w:val="20"/>
        </w:rPr>
      </w:pPr>
      <w:r w:rsidRPr="00C079DF">
        <w:rPr>
          <w:rFonts w:ascii="Arial" w:hAnsi="Arial" w:cs="Arial"/>
          <w:sz w:val="20"/>
          <w:szCs w:val="20"/>
        </w:rPr>
        <w:t xml:space="preserve">In 2016, the Australian Senate tabled its </w:t>
      </w:r>
      <w:r w:rsidRPr="00C079DF">
        <w:rPr>
          <w:rFonts w:ascii="Arial" w:hAnsi="Arial" w:cs="Arial"/>
          <w:i/>
          <w:iCs/>
          <w:sz w:val="20"/>
          <w:szCs w:val="20"/>
        </w:rPr>
        <w:t>Inquiry Report into the Indefinite Detention of People with Cognitive and Psychiatric Impairment</w:t>
      </w:r>
      <w:r w:rsidRPr="00C079DF">
        <w:rPr>
          <w:rFonts w:ascii="Arial" w:hAnsi="Arial" w:cs="Arial"/>
          <w:sz w:val="20"/>
          <w:szCs w:val="20"/>
        </w:rPr>
        <w:t xml:space="preserve"> in Australia.</w:t>
      </w:r>
      <w:r w:rsidRPr="00C079DF">
        <w:rPr>
          <w:rStyle w:val="EndnoteReference"/>
          <w:rFonts w:ascii="Arial" w:hAnsi="Arial" w:cs="Arial"/>
          <w:sz w:val="20"/>
          <w:szCs w:val="20"/>
        </w:rPr>
        <w:endnoteReference w:id="9"/>
      </w:r>
      <w:r w:rsidRPr="00C079DF">
        <w:rPr>
          <w:rFonts w:ascii="Arial" w:hAnsi="Arial" w:cs="Arial"/>
          <w:sz w:val="20"/>
          <w:szCs w:val="20"/>
        </w:rPr>
        <w:t xml:space="preserve"> </w:t>
      </w:r>
      <w:r w:rsidR="00CD3D10" w:rsidRPr="00C079DF">
        <w:rPr>
          <w:rFonts w:ascii="Arial" w:hAnsi="Arial" w:cs="Arial"/>
          <w:sz w:val="20"/>
          <w:szCs w:val="20"/>
        </w:rPr>
        <w:t xml:space="preserve">The Inquiry Report sets out a series of recommendations for </w:t>
      </w:r>
      <w:r w:rsidR="00CD3D10" w:rsidRPr="00C079DF">
        <w:rPr>
          <w:rFonts w:ascii="Arial" w:eastAsia="Times New Roman" w:hAnsi="Arial" w:cs="Arial"/>
          <w:sz w:val="20"/>
          <w:szCs w:val="20"/>
          <w:lang w:eastAsia="en-AU"/>
        </w:rPr>
        <w:t>comprehensive law, policy and program reform to address indefinite detention of people with cognitive and psychiatric Impairment.</w:t>
      </w:r>
      <w:r w:rsidR="00CD3D10" w:rsidRPr="00C079DF">
        <w:rPr>
          <w:rFonts w:ascii="Arial" w:eastAsia="Times New Roman" w:hAnsi="Arial" w:cs="Arial"/>
          <w:sz w:val="20"/>
          <w:szCs w:val="20"/>
          <w:vertAlign w:val="superscript"/>
          <w:lang w:eastAsia="en-AU"/>
        </w:rPr>
        <w:endnoteReference w:id="10"/>
      </w:r>
      <w:r w:rsidR="00CD3D10" w:rsidRPr="00C079DF">
        <w:rPr>
          <w:rFonts w:ascii="Arial" w:eastAsia="Times New Roman" w:hAnsi="Arial" w:cs="Arial"/>
          <w:sz w:val="20"/>
          <w:szCs w:val="20"/>
          <w:lang w:eastAsia="en-AU"/>
        </w:rPr>
        <w:t xml:space="preserve"> </w:t>
      </w:r>
      <w:r w:rsidR="00522502" w:rsidRPr="00C079DF">
        <w:rPr>
          <w:rFonts w:ascii="Arial" w:eastAsia="Times New Roman" w:hAnsi="Arial" w:cs="Arial"/>
          <w:sz w:val="20"/>
          <w:szCs w:val="20"/>
          <w:lang w:eastAsia="en-AU"/>
        </w:rPr>
        <w:t xml:space="preserve">More than three years on from the tabling of the Senate Report, the </w:t>
      </w:r>
      <w:r w:rsidRPr="00C079DF">
        <w:rPr>
          <w:rFonts w:ascii="Arial" w:hAnsi="Arial" w:cs="Arial"/>
          <w:sz w:val="20"/>
          <w:szCs w:val="20"/>
        </w:rPr>
        <w:t xml:space="preserve">Australian Government is yet to respond to the Report.  </w:t>
      </w:r>
    </w:p>
    <w:p w14:paraId="38AEE9D4" w14:textId="294D4D13" w:rsidR="008A1708" w:rsidRPr="00C079DF" w:rsidRDefault="008A1708" w:rsidP="00C079DF">
      <w:pPr>
        <w:spacing w:line="276" w:lineRule="auto"/>
        <w:jc w:val="both"/>
        <w:rPr>
          <w:rFonts w:ascii="Arial" w:eastAsia="Times New Roman" w:hAnsi="Arial" w:cs="Arial"/>
          <w:sz w:val="20"/>
          <w:szCs w:val="20"/>
          <w:lang w:val="en-AU"/>
        </w:rPr>
      </w:pPr>
    </w:p>
    <w:p w14:paraId="063C755E" w14:textId="77777777" w:rsidR="009513FD" w:rsidRPr="00C079DF" w:rsidRDefault="009513FD" w:rsidP="00C079DF">
      <w:pPr>
        <w:spacing w:line="276" w:lineRule="auto"/>
        <w:jc w:val="both"/>
        <w:rPr>
          <w:rFonts w:ascii="Arial" w:hAnsi="Arial" w:cs="Arial"/>
          <w:sz w:val="20"/>
          <w:szCs w:val="20"/>
        </w:rPr>
      </w:pPr>
      <w:r w:rsidRPr="00C079DF">
        <w:rPr>
          <w:rFonts w:ascii="Arial" w:hAnsi="Arial" w:cs="Arial"/>
          <w:sz w:val="20"/>
          <w:szCs w:val="20"/>
        </w:rPr>
        <w:t>At the 2016 UPR</w:t>
      </w:r>
      <w:r w:rsidRPr="00C079DF">
        <w:rPr>
          <w:rStyle w:val="EndnoteReference"/>
          <w:rFonts w:ascii="Arial" w:hAnsi="Arial" w:cs="Arial"/>
          <w:sz w:val="20"/>
          <w:szCs w:val="20"/>
        </w:rPr>
        <w:endnoteReference w:id="11"/>
      </w:r>
      <w:r w:rsidRPr="00C079DF">
        <w:rPr>
          <w:rFonts w:ascii="Arial" w:hAnsi="Arial" w:cs="Arial"/>
          <w:sz w:val="20"/>
          <w:szCs w:val="20"/>
        </w:rPr>
        <w:t xml:space="preserve"> Australia made a voluntary commitment</w:t>
      </w:r>
      <w:r w:rsidRPr="00C079DF">
        <w:rPr>
          <w:rStyle w:val="EndnoteReference"/>
          <w:rFonts w:ascii="Arial" w:hAnsi="Arial" w:cs="Arial"/>
          <w:sz w:val="20"/>
          <w:szCs w:val="20"/>
        </w:rPr>
        <w:endnoteReference w:id="12"/>
      </w:r>
      <w:r w:rsidRPr="00C079DF">
        <w:rPr>
          <w:rFonts w:ascii="Arial" w:hAnsi="Arial" w:cs="Arial"/>
          <w:sz w:val="20"/>
          <w:szCs w:val="20"/>
        </w:rPr>
        <w:t xml:space="preserve"> to improve the way the criminal justice system treats people with cognitive disability who are unfit to plead or found not guilty by reason of mental impairment. In 2016 Australian Governments</w:t>
      </w:r>
      <w:r w:rsidRPr="00C079DF">
        <w:rPr>
          <w:rStyle w:val="EndnoteReference"/>
          <w:rFonts w:ascii="Arial" w:hAnsi="Arial" w:cs="Arial"/>
          <w:sz w:val="20"/>
          <w:szCs w:val="20"/>
        </w:rPr>
        <w:endnoteReference w:id="13"/>
      </w:r>
      <w:r w:rsidRPr="00C079DF">
        <w:rPr>
          <w:rFonts w:ascii="Arial" w:hAnsi="Arial" w:cs="Arial"/>
          <w:sz w:val="20"/>
          <w:szCs w:val="20"/>
        </w:rPr>
        <w:t xml:space="preserve"> tabled the </w:t>
      </w:r>
      <w:r w:rsidRPr="00C079DF">
        <w:rPr>
          <w:rFonts w:ascii="Arial" w:hAnsi="Arial" w:cs="Arial"/>
          <w:i/>
          <w:iCs/>
          <w:sz w:val="20"/>
          <w:szCs w:val="20"/>
        </w:rPr>
        <w:t xml:space="preserve">Draft National Statement of Principles Relating to Persons Unfit </w:t>
      </w:r>
      <w:r w:rsidRPr="00C079DF">
        <w:rPr>
          <w:rFonts w:ascii="Arial" w:hAnsi="Arial" w:cs="Arial"/>
          <w:i/>
          <w:iCs/>
          <w:sz w:val="20"/>
          <w:szCs w:val="20"/>
        </w:rPr>
        <w:lastRenderedPageBreak/>
        <w:t xml:space="preserve">to Plead or Found Not Guilty </w:t>
      </w:r>
      <w:proofErr w:type="gramStart"/>
      <w:r w:rsidRPr="00C079DF">
        <w:rPr>
          <w:rFonts w:ascii="Arial" w:hAnsi="Arial" w:cs="Arial"/>
          <w:i/>
          <w:iCs/>
          <w:sz w:val="20"/>
          <w:szCs w:val="20"/>
        </w:rPr>
        <w:t>By</w:t>
      </w:r>
      <w:proofErr w:type="gramEnd"/>
      <w:r w:rsidRPr="00C079DF">
        <w:rPr>
          <w:rFonts w:ascii="Arial" w:hAnsi="Arial" w:cs="Arial"/>
          <w:i/>
          <w:iCs/>
          <w:sz w:val="20"/>
          <w:szCs w:val="20"/>
        </w:rPr>
        <w:t xml:space="preserve"> Reason of Cognitive or Mental Health Impairment. </w:t>
      </w:r>
      <w:r w:rsidRPr="00C079DF">
        <w:rPr>
          <w:rFonts w:ascii="Arial" w:hAnsi="Arial" w:cs="Arial"/>
          <w:sz w:val="20"/>
          <w:szCs w:val="20"/>
        </w:rPr>
        <w:t>However, three years later, these Principles are yet to be consulted on, endorsed or implemented.</w:t>
      </w:r>
    </w:p>
    <w:p w14:paraId="2098015A" w14:textId="02788F46" w:rsidR="009513FD" w:rsidRPr="00C079DF" w:rsidRDefault="009513FD" w:rsidP="00C079DF">
      <w:pPr>
        <w:spacing w:line="276" w:lineRule="auto"/>
        <w:jc w:val="both"/>
        <w:rPr>
          <w:rFonts w:ascii="Arial" w:eastAsia="Times New Roman" w:hAnsi="Arial" w:cs="Arial"/>
          <w:sz w:val="20"/>
          <w:szCs w:val="20"/>
          <w:lang w:eastAsia="en-AU"/>
        </w:rPr>
      </w:pPr>
    </w:p>
    <w:p w14:paraId="328B1C9F" w14:textId="38191184" w:rsidR="00A16939" w:rsidRPr="00C079DF" w:rsidRDefault="00A16939" w:rsidP="00C079DF">
      <w:pPr>
        <w:spacing w:line="276" w:lineRule="auto"/>
        <w:jc w:val="both"/>
        <w:rPr>
          <w:rFonts w:ascii="Arial" w:eastAsia="Times New Roman" w:hAnsi="Arial" w:cs="Arial"/>
          <w:sz w:val="20"/>
          <w:szCs w:val="20"/>
          <w:lang w:eastAsia="en-AU"/>
        </w:rPr>
      </w:pPr>
      <w:r w:rsidRPr="00C079DF">
        <w:rPr>
          <w:rFonts w:ascii="Arial" w:eastAsia="Times New Roman" w:hAnsi="Arial" w:cs="Arial"/>
          <w:sz w:val="20"/>
          <w:szCs w:val="20"/>
          <w:lang w:eastAsia="en-AU"/>
        </w:rPr>
        <w:t xml:space="preserve">It is also unclear if this </w:t>
      </w:r>
      <w:r w:rsidR="00C30F52" w:rsidRPr="00C079DF">
        <w:rPr>
          <w:rFonts w:ascii="Arial" w:eastAsia="Times New Roman" w:hAnsi="Arial" w:cs="Arial"/>
          <w:sz w:val="20"/>
          <w:szCs w:val="20"/>
          <w:lang w:eastAsia="en-AU"/>
        </w:rPr>
        <w:t xml:space="preserve">voluntary </w:t>
      </w:r>
      <w:r w:rsidRPr="00C079DF">
        <w:rPr>
          <w:rFonts w:ascii="Arial" w:eastAsia="Times New Roman" w:hAnsi="Arial" w:cs="Arial"/>
          <w:sz w:val="20"/>
          <w:szCs w:val="20"/>
          <w:lang w:eastAsia="en-AU"/>
        </w:rPr>
        <w:t xml:space="preserve">commitment aims to address the concluding observation made to Australia </w:t>
      </w:r>
      <w:r w:rsidR="00C30F52" w:rsidRPr="00C079DF">
        <w:rPr>
          <w:rFonts w:ascii="Arial" w:eastAsia="Times New Roman" w:hAnsi="Arial" w:cs="Arial"/>
          <w:sz w:val="20"/>
          <w:szCs w:val="20"/>
          <w:lang w:eastAsia="en-AU"/>
        </w:rPr>
        <w:t xml:space="preserve">in 2013 </w:t>
      </w:r>
      <w:r w:rsidRPr="00C079DF">
        <w:rPr>
          <w:rFonts w:ascii="Arial" w:eastAsia="Times New Roman" w:hAnsi="Arial" w:cs="Arial"/>
          <w:sz w:val="20"/>
          <w:szCs w:val="20"/>
          <w:lang w:eastAsia="en-AU"/>
        </w:rPr>
        <w:t xml:space="preserve">by the Committee on the Rights of Persons with Disabilities regarding the indefinite detention of un-convicted persons with disability, particularly </w:t>
      </w:r>
      <w:r w:rsidR="00C30F52" w:rsidRPr="00C079DF">
        <w:rPr>
          <w:rFonts w:ascii="Arial" w:hAnsi="Arial" w:cs="Arial"/>
          <w:sz w:val="20"/>
          <w:szCs w:val="20"/>
        </w:rPr>
        <w:t>Indigenous people with disability</w:t>
      </w:r>
      <w:r w:rsidRPr="00C079DF">
        <w:rPr>
          <w:rFonts w:ascii="Arial" w:eastAsia="Times New Roman" w:hAnsi="Arial" w:cs="Arial"/>
          <w:sz w:val="20"/>
          <w:szCs w:val="20"/>
          <w:lang w:eastAsia="en-AU"/>
        </w:rPr>
        <w:t>.</w:t>
      </w:r>
      <w:r w:rsidRPr="00C079DF">
        <w:rPr>
          <w:rStyle w:val="EndnoteReference"/>
          <w:rFonts w:ascii="Arial" w:eastAsia="Times New Roman" w:hAnsi="Arial" w:cs="Arial"/>
          <w:sz w:val="20"/>
          <w:szCs w:val="20"/>
          <w:lang w:eastAsia="en-AU"/>
        </w:rPr>
        <w:endnoteReference w:id="14"/>
      </w:r>
      <w:r w:rsidRPr="00C079DF">
        <w:rPr>
          <w:rFonts w:ascii="Arial" w:eastAsia="Times New Roman" w:hAnsi="Arial" w:cs="Arial"/>
          <w:sz w:val="20"/>
          <w:szCs w:val="20"/>
          <w:lang w:eastAsia="en-AU"/>
        </w:rPr>
        <w:t xml:space="preserve"> </w:t>
      </w:r>
    </w:p>
    <w:p w14:paraId="480F0E66" w14:textId="46719AFD" w:rsidR="0078306D" w:rsidRDefault="0078306D" w:rsidP="00C079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p>
    <w:p w14:paraId="4660177E" w14:textId="23704031" w:rsidR="008E75DF" w:rsidRDefault="008E75DF" w:rsidP="008E75DF">
      <w:pPr>
        <w:spacing w:line="276" w:lineRule="auto"/>
        <w:jc w:val="both"/>
        <w:rPr>
          <w:rFonts w:ascii="Arial" w:hAnsi="Arial" w:cs="Arial"/>
          <w:sz w:val="20"/>
          <w:szCs w:val="20"/>
          <w:lang w:val="en-AU"/>
        </w:rPr>
      </w:pPr>
      <w:r w:rsidRPr="00927A1B">
        <w:rPr>
          <w:rFonts w:ascii="Arial" w:hAnsi="Arial" w:cs="Arial"/>
          <w:sz w:val="20"/>
          <w:szCs w:val="20"/>
          <w:lang w:val="en-AU"/>
        </w:rPr>
        <w:t>In its 2017 review of the fifth periodic report of Australia,</w:t>
      </w:r>
      <w:r w:rsidRPr="00927A1B">
        <w:rPr>
          <w:rStyle w:val="EndnoteReference"/>
          <w:rFonts w:ascii="Arial" w:hAnsi="Arial" w:cs="Arial"/>
          <w:sz w:val="20"/>
          <w:szCs w:val="20"/>
          <w:lang w:val="en-AU"/>
        </w:rPr>
        <w:endnoteReference w:id="15"/>
      </w:r>
      <w:r w:rsidRPr="00927A1B">
        <w:rPr>
          <w:rFonts w:ascii="Arial" w:hAnsi="Arial" w:cs="Arial"/>
          <w:sz w:val="20"/>
          <w:szCs w:val="20"/>
          <w:lang w:val="en-AU"/>
        </w:rPr>
        <w:t xml:space="preserve"> the Committee on Economic, Social and Cultural Rights </w:t>
      </w:r>
      <w:r>
        <w:rPr>
          <w:rFonts w:ascii="Arial" w:hAnsi="Arial" w:cs="Arial"/>
          <w:sz w:val="20"/>
          <w:szCs w:val="20"/>
          <w:lang w:val="en-AU"/>
        </w:rPr>
        <w:t>expressed its concern that</w:t>
      </w:r>
      <w:r w:rsidRPr="008E75DF">
        <w:rPr>
          <w:rFonts w:ascii="Arial" w:hAnsi="Arial" w:cs="Arial"/>
          <w:sz w:val="20"/>
          <w:szCs w:val="20"/>
          <w:lang w:val="en-AU"/>
        </w:rPr>
        <w:t xml:space="preserve"> persons with disabilit</w:t>
      </w:r>
      <w:r>
        <w:rPr>
          <w:rFonts w:ascii="Arial" w:hAnsi="Arial" w:cs="Arial"/>
          <w:sz w:val="20"/>
          <w:szCs w:val="20"/>
          <w:lang w:val="en-AU"/>
        </w:rPr>
        <w:t>y</w:t>
      </w:r>
      <w:r w:rsidRPr="008E75DF">
        <w:rPr>
          <w:rFonts w:ascii="Arial" w:hAnsi="Arial" w:cs="Arial"/>
          <w:sz w:val="20"/>
          <w:szCs w:val="20"/>
          <w:lang w:val="en-AU"/>
        </w:rPr>
        <w:t xml:space="preserve"> who are deemed unfit to stand trial may be subject to indefinite detention without being convicted of a crime</w:t>
      </w:r>
      <w:r>
        <w:rPr>
          <w:rFonts w:ascii="Arial" w:hAnsi="Arial" w:cs="Arial"/>
          <w:sz w:val="20"/>
          <w:szCs w:val="20"/>
          <w:lang w:val="en-AU"/>
        </w:rPr>
        <w:t>, and recommended that the Australia "</w:t>
      </w:r>
      <w:r w:rsidRPr="008E75DF">
        <w:rPr>
          <w:rFonts w:ascii="Arial" w:hAnsi="Arial" w:cs="Arial"/>
          <w:sz w:val="20"/>
          <w:szCs w:val="20"/>
          <w:lang w:val="en-AU"/>
        </w:rPr>
        <w:t>Introduce the necessary legislative and policy changes to end indefinite detention of people with disabilities without conviction</w:t>
      </w:r>
      <w:r>
        <w:rPr>
          <w:rFonts w:ascii="Arial" w:hAnsi="Arial" w:cs="Arial"/>
          <w:sz w:val="20"/>
          <w:szCs w:val="20"/>
          <w:lang w:val="en-AU"/>
        </w:rPr>
        <w:t>".</w:t>
      </w:r>
      <w:r w:rsidR="002340EF">
        <w:rPr>
          <w:rStyle w:val="EndnoteReference"/>
          <w:rFonts w:ascii="Arial" w:hAnsi="Arial" w:cs="Arial"/>
          <w:sz w:val="20"/>
          <w:szCs w:val="20"/>
          <w:lang w:val="en-AU"/>
        </w:rPr>
        <w:endnoteReference w:id="16"/>
      </w:r>
    </w:p>
    <w:p w14:paraId="78B537CC" w14:textId="77777777" w:rsidR="008E75DF" w:rsidRPr="00927A1B" w:rsidRDefault="008E75DF" w:rsidP="008E75DF">
      <w:pPr>
        <w:spacing w:line="276" w:lineRule="auto"/>
        <w:jc w:val="both"/>
        <w:rPr>
          <w:rFonts w:ascii="Arial" w:hAnsi="Arial" w:cs="Arial"/>
          <w:sz w:val="20"/>
          <w:szCs w:val="20"/>
          <w:lang w:val="en-AU"/>
        </w:rPr>
      </w:pPr>
    </w:p>
    <w:p w14:paraId="25E09EEE" w14:textId="1DA1A308" w:rsidR="008E75DF" w:rsidRPr="00C079DF" w:rsidRDefault="008E75DF" w:rsidP="002340EF">
      <w:pPr>
        <w:spacing w:line="276" w:lineRule="auto"/>
        <w:jc w:val="both"/>
        <w:rPr>
          <w:rFonts w:ascii="Arial" w:hAnsi="Arial" w:cs="Arial"/>
          <w:sz w:val="20"/>
          <w:szCs w:val="20"/>
          <w:lang w:val="en-AU"/>
        </w:rPr>
      </w:pPr>
      <w:r>
        <w:rPr>
          <w:rFonts w:ascii="Arial" w:hAnsi="Arial" w:cs="Arial"/>
          <w:sz w:val="20"/>
          <w:szCs w:val="20"/>
          <w:lang w:val="en-AU"/>
        </w:rPr>
        <w:t xml:space="preserve">Australia has not acted on the recommendations from the CRPD Committee and the </w:t>
      </w:r>
      <w:r w:rsidRPr="00927A1B">
        <w:rPr>
          <w:rFonts w:ascii="Arial" w:hAnsi="Arial" w:cs="Arial"/>
          <w:sz w:val="20"/>
          <w:szCs w:val="20"/>
          <w:lang w:val="en-AU"/>
        </w:rPr>
        <w:t>Committee on Economic, Social and Cultural Rights</w:t>
      </w:r>
      <w:r>
        <w:rPr>
          <w:rFonts w:ascii="Arial" w:hAnsi="Arial" w:cs="Arial"/>
          <w:sz w:val="20"/>
          <w:szCs w:val="20"/>
          <w:lang w:val="en-AU"/>
        </w:rPr>
        <w:t xml:space="preserve">, and people with disability in Australia continue to experience </w:t>
      </w:r>
      <w:r w:rsidR="002340EF">
        <w:rPr>
          <w:rFonts w:ascii="Arial" w:hAnsi="Arial" w:cs="Arial"/>
          <w:sz w:val="20"/>
          <w:szCs w:val="20"/>
          <w:lang w:val="en-AU"/>
        </w:rPr>
        <w:t xml:space="preserve">indefinite detention </w:t>
      </w:r>
      <w:r w:rsidR="002340EF" w:rsidRPr="00C079DF">
        <w:rPr>
          <w:rFonts w:ascii="Arial" w:hAnsi="Arial" w:cs="Arial"/>
          <w:sz w:val="20"/>
          <w:szCs w:val="20"/>
        </w:rPr>
        <w:t>in prisons, psychiatric units and forensic detention services</w:t>
      </w:r>
      <w:r w:rsidR="002340EF">
        <w:rPr>
          <w:rFonts w:ascii="Arial" w:hAnsi="Arial" w:cs="Arial"/>
          <w:sz w:val="20"/>
          <w:szCs w:val="20"/>
        </w:rPr>
        <w:t>.</w:t>
      </w:r>
    </w:p>
    <w:p w14:paraId="45593254" w14:textId="09EC9676" w:rsidR="0078306D" w:rsidRPr="00C079DF" w:rsidRDefault="0078306D" w:rsidP="00C079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p>
    <w:p w14:paraId="65E0621B" w14:textId="77777777" w:rsidR="00BB3549" w:rsidRPr="00187C51" w:rsidRDefault="00BB3549" w:rsidP="00BB3549">
      <w:pPr>
        <w:pBdr>
          <w:bottom w:val="single" w:sz="4" w:space="1" w:color="auto"/>
        </w:pBdr>
        <w:rPr>
          <w:rFonts w:ascii="Arial" w:hAnsi="Arial" w:cs="Arial"/>
          <w:b/>
          <w:color w:val="7030A0"/>
        </w:rPr>
      </w:pPr>
      <w:r w:rsidRPr="00187C51">
        <w:rPr>
          <w:rFonts w:ascii="Arial" w:hAnsi="Arial" w:cs="Arial"/>
          <w:b/>
          <w:color w:val="7030A0"/>
        </w:rPr>
        <w:t>Recommendations</w:t>
      </w:r>
    </w:p>
    <w:p w14:paraId="6C209320" w14:textId="77777777" w:rsidR="00BB3549" w:rsidRPr="00187C51" w:rsidRDefault="00BB3549" w:rsidP="00BB3549">
      <w:pPr>
        <w:spacing w:line="276" w:lineRule="auto"/>
        <w:jc w:val="both"/>
        <w:rPr>
          <w:rFonts w:ascii="Arial" w:hAnsi="Arial" w:cs="Arial"/>
          <w:sz w:val="20"/>
          <w:szCs w:val="20"/>
        </w:rPr>
      </w:pPr>
    </w:p>
    <w:p w14:paraId="38B9335A" w14:textId="77777777" w:rsidR="00BB3549" w:rsidRPr="00187C51" w:rsidRDefault="00BB3549" w:rsidP="00BB3549">
      <w:pPr>
        <w:spacing w:line="276" w:lineRule="auto"/>
        <w:jc w:val="both"/>
        <w:rPr>
          <w:rFonts w:ascii="Arial" w:hAnsi="Arial" w:cs="Arial"/>
          <w:sz w:val="20"/>
          <w:szCs w:val="20"/>
        </w:rPr>
      </w:pPr>
      <w:r w:rsidRPr="00187C51">
        <w:rPr>
          <w:rFonts w:ascii="Arial" w:hAnsi="Arial" w:cs="Arial"/>
          <w:sz w:val="20"/>
          <w:szCs w:val="20"/>
        </w:rPr>
        <w:t>That Australia:</w:t>
      </w:r>
    </w:p>
    <w:p w14:paraId="0524F90E" w14:textId="77777777" w:rsidR="00FE0B42" w:rsidRPr="00FE0B42" w:rsidRDefault="00FE0B42" w:rsidP="00FE0B42">
      <w:pPr>
        <w:jc w:val="both"/>
        <w:rPr>
          <w:rFonts w:ascii="Arial" w:hAnsi="Arial" w:cs="Arial"/>
          <w:sz w:val="20"/>
          <w:szCs w:val="20"/>
        </w:rPr>
      </w:pPr>
    </w:p>
    <w:p w14:paraId="76734BE6" w14:textId="77777777" w:rsidR="00FE0B42" w:rsidRPr="00FE0B42" w:rsidRDefault="00FE0B42" w:rsidP="002252B9">
      <w:pPr>
        <w:pStyle w:val="ListParagraph"/>
        <w:numPr>
          <w:ilvl w:val="0"/>
          <w:numId w:val="15"/>
        </w:numPr>
        <w:spacing w:after="0"/>
        <w:jc w:val="both"/>
        <w:rPr>
          <w:rFonts w:ascii="Arial" w:hAnsi="Arial" w:cs="Arial"/>
          <w:sz w:val="20"/>
          <w:szCs w:val="20"/>
        </w:rPr>
      </w:pPr>
      <w:r w:rsidRPr="00FE0B42">
        <w:rPr>
          <w:rFonts w:ascii="Arial" w:hAnsi="Arial" w:cs="Arial"/>
          <w:sz w:val="20"/>
          <w:szCs w:val="20"/>
        </w:rPr>
        <w:t>As a matter of urgency, end the unwarranted use of prisons for the management of unconvicted people with disability.</w:t>
      </w:r>
    </w:p>
    <w:p w14:paraId="4033B123" w14:textId="77777777" w:rsidR="00FE0B42" w:rsidRPr="00FE0B42" w:rsidRDefault="00FE0B42" w:rsidP="002252B9">
      <w:pPr>
        <w:spacing w:line="276" w:lineRule="auto"/>
        <w:jc w:val="both"/>
        <w:rPr>
          <w:rFonts w:ascii="Arial" w:hAnsi="Arial" w:cs="Arial"/>
          <w:sz w:val="20"/>
          <w:szCs w:val="20"/>
        </w:rPr>
      </w:pPr>
    </w:p>
    <w:p w14:paraId="1A1F6BDA" w14:textId="77777777" w:rsidR="00FE0B42" w:rsidRPr="00FE0B42" w:rsidRDefault="00FE0B42" w:rsidP="002252B9">
      <w:pPr>
        <w:pStyle w:val="ListParagraph"/>
        <w:numPr>
          <w:ilvl w:val="0"/>
          <w:numId w:val="15"/>
        </w:numPr>
        <w:spacing w:after="0"/>
        <w:jc w:val="both"/>
        <w:rPr>
          <w:rFonts w:ascii="Arial" w:hAnsi="Arial" w:cs="Arial"/>
          <w:sz w:val="20"/>
          <w:szCs w:val="20"/>
        </w:rPr>
      </w:pPr>
      <w:r w:rsidRPr="00FE0B42">
        <w:rPr>
          <w:rFonts w:ascii="Arial" w:hAnsi="Arial" w:cs="Arial"/>
          <w:sz w:val="20"/>
          <w:szCs w:val="20"/>
        </w:rPr>
        <w:t xml:space="preserve">Consult with people with disability on the </w:t>
      </w:r>
      <w:r w:rsidRPr="00FE0B42">
        <w:rPr>
          <w:rFonts w:ascii="Arial" w:hAnsi="Arial" w:cs="Arial"/>
          <w:i/>
          <w:iCs/>
          <w:sz w:val="20"/>
          <w:szCs w:val="20"/>
        </w:rPr>
        <w:t xml:space="preserve">Draft National Statement of Principles Relating to Persons Unfit to Plead or Found Not Guilty By Reason of Cognitive or Mental Health Impairment, </w:t>
      </w:r>
      <w:r w:rsidRPr="00FE0B42">
        <w:rPr>
          <w:rFonts w:ascii="Arial" w:hAnsi="Arial" w:cs="Arial"/>
          <w:sz w:val="20"/>
          <w:szCs w:val="20"/>
        </w:rPr>
        <w:t xml:space="preserve">and on other measures to address indefinite detention of unconvicted people with disability. </w:t>
      </w:r>
    </w:p>
    <w:p w14:paraId="42793F65" w14:textId="77777777" w:rsidR="00FE0B42" w:rsidRPr="00FE0B42" w:rsidRDefault="00FE0B42" w:rsidP="002252B9">
      <w:pPr>
        <w:spacing w:line="276" w:lineRule="auto"/>
        <w:jc w:val="both"/>
        <w:rPr>
          <w:rFonts w:ascii="Arial" w:hAnsi="Arial" w:cs="Arial"/>
          <w:sz w:val="20"/>
          <w:szCs w:val="20"/>
        </w:rPr>
      </w:pPr>
    </w:p>
    <w:p w14:paraId="4081DE2F" w14:textId="77777777" w:rsidR="00FE0B42" w:rsidRPr="00FE0B42" w:rsidRDefault="00FE0B42" w:rsidP="002252B9">
      <w:pPr>
        <w:pStyle w:val="ListParagraph"/>
        <w:numPr>
          <w:ilvl w:val="0"/>
          <w:numId w:val="15"/>
        </w:numPr>
        <w:spacing w:after="0"/>
        <w:jc w:val="both"/>
        <w:rPr>
          <w:rFonts w:ascii="Arial" w:hAnsi="Arial" w:cs="Arial"/>
          <w:sz w:val="20"/>
          <w:szCs w:val="20"/>
        </w:rPr>
      </w:pPr>
      <w:r w:rsidRPr="00FE0B42">
        <w:rPr>
          <w:rFonts w:ascii="Arial" w:hAnsi="Arial" w:cs="Arial"/>
          <w:sz w:val="20"/>
          <w:szCs w:val="20"/>
        </w:rPr>
        <w:t xml:space="preserve">Implement the recommendations from the 2016 Senate </w:t>
      </w:r>
      <w:r w:rsidRPr="00FE0B42">
        <w:rPr>
          <w:rFonts w:ascii="Arial" w:hAnsi="Arial" w:cs="Arial"/>
          <w:i/>
          <w:iCs/>
          <w:sz w:val="20"/>
          <w:szCs w:val="20"/>
        </w:rPr>
        <w:t>Inquiry Report into the Indefinite Detention of People with Cognitive and Psychiatric Impairment</w:t>
      </w:r>
      <w:r w:rsidRPr="00FE0B42">
        <w:rPr>
          <w:rFonts w:ascii="Arial" w:hAnsi="Arial" w:cs="Arial"/>
          <w:sz w:val="20"/>
          <w:szCs w:val="20"/>
        </w:rPr>
        <w:t xml:space="preserve"> in Australia.</w:t>
      </w:r>
    </w:p>
    <w:p w14:paraId="7113359B" w14:textId="77777777" w:rsidR="00FE0B42" w:rsidRPr="00FE0B42" w:rsidRDefault="00FE0B42" w:rsidP="002252B9">
      <w:pPr>
        <w:spacing w:line="276" w:lineRule="auto"/>
        <w:jc w:val="both"/>
        <w:rPr>
          <w:rFonts w:ascii="Arial" w:hAnsi="Arial" w:cs="Arial"/>
          <w:sz w:val="20"/>
          <w:szCs w:val="20"/>
        </w:rPr>
      </w:pPr>
    </w:p>
    <w:p w14:paraId="44B1D97D" w14:textId="08FC6017" w:rsidR="00416881" w:rsidRPr="00FE0B42" w:rsidRDefault="00FE0B42" w:rsidP="002252B9">
      <w:pPr>
        <w:pStyle w:val="ListParagraph"/>
        <w:numPr>
          <w:ilvl w:val="0"/>
          <w:numId w:val="18"/>
        </w:numPr>
        <w:spacing w:after="0"/>
        <w:jc w:val="both"/>
        <w:rPr>
          <w:rFonts w:ascii="Arial" w:hAnsi="Arial" w:cs="Arial"/>
          <w:sz w:val="20"/>
          <w:szCs w:val="20"/>
        </w:rPr>
      </w:pPr>
      <w:r w:rsidRPr="00FE0B42">
        <w:rPr>
          <w:rFonts w:ascii="Arial" w:hAnsi="Arial" w:cs="Arial"/>
          <w:sz w:val="20"/>
          <w:szCs w:val="20"/>
        </w:rPr>
        <w:t>Ensure that legislative, administrative and policy frameworks that deprive people with disability of their liberty and impact on their security are fully consistent with the CRPD.</w:t>
      </w:r>
    </w:p>
    <w:p w14:paraId="447C163B" w14:textId="77777777" w:rsidR="00FE0B42" w:rsidRPr="00FE0B42" w:rsidRDefault="00FE0B42" w:rsidP="002252B9">
      <w:pPr>
        <w:spacing w:line="276" w:lineRule="auto"/>
        <w:jc w:val="both"/>
        <w:rPr>
          <w:rFonts w:ascii="Arial" w:hAnsi="Arial" w:cs="Arial"/>
          <w:sz w:val="20"/>
          <w:szCs w:val="20"/>
        </w:rPr>
      </w:pPr>
    </w:p>
    <w:p w14:paraId="676DBD22" w14:textId="77777777" w:rsidR="00FE0B42" w:rsidRPr="00FE0B42" w:rsidRDefault="00FE0B42" w:rsidP="002252B9">
      <w:pPr>
        <w:pStyle w:val="ListParagraph"/>
        <w:numPr>
          <w:ilvl w:val="0"/>
          <w:numId w:val="17"/>
        </w:numPr>
        <w:spacing w:after="0"/>
        <w:jc w:val="both"/>
        <w:rPr>
          <w:rFonts w:ascii="Arial" w:hAnsi="Arial" w:cs="Arial"/>
          <w:sz w:val="20"/>
          <w:szCs w:val="20"/>
        </w:rPr>
      </w:pPr>
      <w:r w:rsidRPr="00FE0B42">
        <w:rPr>
          <w:rFonts w:ascii="Arial" w:hAnsi="Arial" w:cs="Arial"/>
          <w:sz w:val="20"/>
          <w:szCs w:val="20"/>
        </w:rPr>
        <w:t xml:space="preserve">Implement the recommendations from the </w:t>
      </w:r>
      <w:r w:rsidRPr="00FE0B42">
        <w:rPr>
          <w:rFonts w:ascii="Arial" w:hAnsi="Arial" w:cs="Arial"/>
          <w:i/>
          <w:iCs/>
          <w:sz w:val="20"/>
          <w:szCs w:val="20"/>
        </w:rPr>
        <w:t>National Inquiry into the Incarceration Rate of Indigenous Peoples</w:t>
      </w:r>
      <w:r w:rsidRPr="00FE0B42">
        <w:rPr>
          <w:rFonts w:ascii="Arial" w:hAnsi="Arial" w:cs="Arial"/>
          <w:sz w:val="20"/>
          <w:szCs w:val="20"/>
        </w:rPr>
        <w:t>.</w:t>
      </w:r>
    </w:p>
    <w:p w14:paraId="77FDAA2C" w14:textId="77777777" w:rsidR="00FE0B42" w:rsidRPr="00FE0B42" w:rsidRDefault="00FE0B42" w:rsidP="002252B9">
      <w:pPr>
        <w:spacing w:line="276" w:lineRule="auto"/>
        <w:jc w:val="both"/>
        <w:rPr>
          <w:rFonts w:ascii="Arial" w:hAnsi="Arial" w:cs="Arial"/>
          <w:sz w:val="20"/>
          <w:szCs w:val="20"/>
        </w:rPr>
      </w:pPr>
    </w:p>
    <w:p w14:paraId="6EBF22A8" w14:textId="35A17314" w:rsidR="0014294C" w:rsidRPr="00FE0B42" w:rsidRDefault="0014294C" w:rsidP="00FE0B42">
      <w:pPr>
        <w:jc w:val="both"/>
        <w:rPr>
          <w:rFonts w:ascii="Arial" w:eastAsia="Calibri" w:hAnsi="Arial" w:cs="Arial"/>
          <w:sz w:val="20"/>
          <w:szCs w:val="20"/>
          <w:bdr w:val="none" w:sz="0" w:space="0" w:color="auto"/>
          <w:lang w:val="en-AU"/>
        </w:rPr>
      </w:pPr>
    </w:p>
    <w:p w14:paraId="75C43E41" w14:textId="77777777" w:rsidR="00BB3549" w:rsidRPr="000F3883" w:rsidRDefault="00BB3549" w:rsidP="00FE0B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b/>
          <w:color w:val="7030A0"/>
          <w:sz w:val="22"/>
          <w:szCs w:val="22"/>
          <w:lang w:val="en-AU"/>
        </w:rPr>
      </w:pPr>
      <w:r w:rsidRPr="000F3883">
        <w:rPr>
          <w:rFonts w:ascii="Arial" w:hAnsi="Arial" w:cs="Arial"/>
          <w:b/>
          <w:bCs/>
          <w:color w:val="7030A0"/>
        </w:rPr>
        <w:t>Endnotes</w:t>
      </w:r>
    </w:p>
    <w:p w14:paraId="6CBE6E76" w14:textId="77777777" w:rsidR="00051049" w:rsidRPr="008E2E29" w:rsidRDefault="00A0733B" w:rsidP="00FE0B42">
      <w:pPr>
        <w:rPr>
          <w:rFonts w:ascii="Arial" w:hAnsi="Arial" w:cs="Arial"/>
          <w:sz w:val="20"/>
          <w:szCs w:val="20"/>
        </w:rPr>
      </w:pPr>
    </w:p>
    <w:sectPr w:rsidR="00051049" w:rsidRPr="008E2E29" w:rsidSect="00D23C73">
      <w:footerReference w:type="even" r:id="rId8"/>
      <w:footerReference w:type="default" r:id="rId9"/>
      <w:headerReference w:type="first" r:id="rId10"/>
      <w:endnotePr>
        <w:numFmt w:val="decimal"/>
      </w:endnotePr>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E6684" w14:textId="77777777" w:rsidR="00A0733B" w:rsidRDefault="00A0733B" w:rsidP="00BB3549">
      <w:r>
        <w:separator/>
      </w:r>
    </w:p>
  </w:endnote>
  <w:endnote w:type="continuationSeparator" w:id="0">
    <w:p w14:paraId="05EB160B" w14:textId="77777777" w:rsidR="00A0733B" w:rsidRDefault="00A0733B" w:rsidP="00BB3549">
      <w:r>
        <w:continuationSeparator/>
      </w:r>
    </w:p>
  </w:endnote>
  <w:endnote w:id="1">
    <w:p w14:paraId="1DD5C5D2" w14:textId="19C54257" w:rsidR="00A16939" w:rsidRDefault="00A16939" w:rsidP="00A16939">
      <w:pPr>
        <w:pStyle w:val="EndnoteText"/>
        <w:contextualSpacing/>
        <w:rPr>
          <w:rFonts w:ascii="Arial" w:hAnsi="Arial" w:cs="Arial"/>
          <w:bCs/>
          <w:sz w:val="15"/>
          <w:szCs w:val="15"/>
        </w:rPr>
      </w:pPr>
      <w:r w:rsidRPr="0035296F">
        <w:rPr>
          <w:rStyle w:val="EndnoteReference"/>
          <w:rFonts w:ascii="Arial" w:hAnsi="Arial" w:cs="Arial"/>
          <w:sz w:val="15"/>
          <w:szCs w:val="15"/>
        </w:rPr>
        <w:endnoteRef/>
      </w:r>
      <w:r w:rsidRPr="0035296F">
        <w:rPr>
          <w:rFonts w:ascii="Arial" w:hAnsi="Arial" w:cs="Arial"/>
          <w:sz w:val="15"/>
          <w:szCs w:val="15"/>
        </w:rPr>
        <w:t xml:space="preserve"> </w:t>
      </w:r>
      <w:r w:rsidRPr="0035296F">
        <w:rPr>
          <w:rFonts w:ascii="Arial" w:hAnsi="Arial" w:cs="Arial"/>
          <w:sz w:val="15"/>
          <w:szCs w:val="15"/>
          <w:u w:color="BC2504"/>
        </w:rPr>
        <w:t xml:space="preserve">Australian Law Reform Commission, </w:t>
      </w:r>
      <w:hyperlink r:id="rId1" w:history="1">
        <w:r w:rsidRPr="00083280">
          <w:rPr>
            <w:rStyle w:val="Hyperlink"/>
            <w:rFonts w:ascii="Arial" w:hAnsi="Arial" w:cs="Arial"/>
            <w:bCs/>
            <w:sz w:val="15"/>
            <w:szCs w:val="15"/>
          </w:rPr>
          <w:t>Equality, Capacity and Disability in Commonwealth Laws</w:t>
        </w:r>
      </w:hyperlink>
      <w:r w:rsidRPr="0035296F">
        <w:rPr>
          <w:rFonts w:ascii="Arial" w:hAnsi="Arial" w:cs="Arial"/>
          <w:bCs/>
          <w:sz w:val="15"/>
          <w:szCs w:val="15"/>
        </w:rPr>
        <w:t>, ALRC Report 124, (2014).</w:t>
      </w:r>
    </w:p>
    <w:p w14:paraId="5BFB88E2" w14:textId="77777777" w:rsidR="0035296F" w:rsidRPr="0035296F" w:rsidRDefault="0035296F" w:rsidP="00A16939">
      <w:pPr>
        <w:pStyle w:val="EndnoteText"/>
        <w:contextualSpacing/>
        <w:rPr>
          <w:rFonts w:ascii="Arial" w:hAnsi="Arial" w:cs="Arial"/>
          <w:sz w:val="15"/>
          <w:szCs w:val="15"/>
        </w:rPr>
      </w:pPr>
    </w:p>
  </w:endnote>
  <w:endnote w:id="2">
    <w:p w14:paraId="2D12DCC3" w14:textId="50C60645" w:rsidR="00A16939" w:rsidRDefault="00A16939" w:rsidP="00A16939">
      <w:pPr>
        <w:pStyle w:val="EndnoteText"/>
        <w:contextualSpacing/>
        <w:rPr>
          <w:rFonts w:ascii="Arial" w:hAnsi="Arial" w:cs="Arial"/>
          <w:sz w:val="15"/>
          <w:szCs w:val="15"/>
        </w:rPr>
      </w:pPr>
      <w:r w:rsidRPr="0035296F">
        <w:rPr>
          <w:rStyle w:val="EndnoteReference"/>
          <w:rFonts w:ascii="Arial" w:hAnsi="Arial" w:cs="Arial"/>
          <w:sz w:val="15"/>
          <w:szCs w:val="15"/>
        </w:rPr>
        <w:endnoteRef/>
      </w:r>
      <w:r w:rsidRPr="0035296F">
        <w:rPr>
          <w:rFonts w:ascii="Arial" w:hAnsi="Arial" w:cs="Arial"/>
          <w:sz w:val="15"/>
          <w:szCs w:val="15"/>
        </w:rPr>
        <w:t xml:space="preserve"> Australian Human Rights Commission, </w:t>
      </w:r>
      <w:hyperlink r:id="rId2" w:history="1">
        <w:r w:rsidR="0035296F" w:rsidRPr="0035296F">
          <w:rPr>
            <w:rStyle w:val="Hyperlink"/>
            <w:rFonts w:ascii="Arial" w:hAnsi="Arial" w:cs="Arial"/>
            <w:sz w:val="15"/>
            <w:szCs w:val="15"/>
          </w:rPr>
          <w:t>I</w:t>
        </w:r>
        <w:r w:rsidRPr="0035296F">
          <w:rPr>
            <w:rStyle w:val="Hyperlink"/>
            <w:rFonts w:ascii="Arial" w:hAnsi="Arial" w:cs="Arial"/>
            <w:sz w:val="15"/>
            <w:szCs w:val="15"/>
          </w:rPr>
          <w:t>ndefinite detention of people with cognitive and psychiatric impairment in Australia</w:t>
        </w:r>
      </w:hyperlink>
      <w:r w:rsidRPr="0035296F">
        <w:rPr>
          <w:rFonts w:ascii="Arial" w:hAnsi="Arial" w:cs="Arial"/>
          <w:sz w:val="15"/>
          <w:szCs w:val="15"/>
        </w:rPr>
        <w:t>, Submission to the Senate Community Affairs References Committee, March 2016, p.4</w:t>
      </w:r>
      <w:r w:rsidR="0035296F">
        <w:rPr>
          <w:rFonts w:ascii="Arial" w:hAnsi="Arial" w:cs="Arial"/>
          <w:sz w:val="15"/>
          <w:szCs w:val="15"/>
        </w:rPr>
        <w:t>.</w:t>
      </w:r>
    </w:p>
    <w:p w14:paraId="4FEB3EB2" w14:textId="77777777" w:rsidR="0035296F" w:rsidRPr="0035296F" w:rsidRDefault="0035296F" w:rsidP="00A16939">
      <w:pPr>
        <w:pStyle w:val="EndnoteText"/>
        <w:contextualSpacing/>
        <w:rPr>
          <w:rFonts w:ascii="Arial" w:hAnsi="Arial" w:cs="Arial"/>
          <w:sz w:val="15"/>
          <w:szCs w:val="15"/>
        </w:rPr>
      </w:pPr>
    </w:p>
  </w:endnote>
  <w:endnote w:id="3">
    <w:p w14:paraId="3B3A0641" w14:textId="5FDE2FAA" w:rsidR="008E5829" w:rsidRDefault="008E5829" w:rsidP="008E5829">
      <w:pPr>
        <w:pStyle w:val="EndnoteText"/>
        <w:rPr>
          <w:rFonts w:ascii="Arial" w:hAnsi="Arial" w:cs="Arial"/>
          <w:sz w:val="15"/>
          <w:szCs w:val="15"/>
        </w:rPr>
      </w:pPr>
      <w:r w:rsidRPr="0035296F">
        <w:rPr>
          <w:rStyle w:val="EndnoteReference"/>
          <w:rFonts w:ascii="Arial" w:hAnsi="Arial" w:cs="Arial"/>
          <w:sz w:val="15"/>
          <w:szCs w:val="15"/>
        </w:rPr>
        <w:endnoteRef/>
      </w:r>
      <w:r w:rsidRPr="0035296F">
        <w:rPr>
          <w:rFonts w:ascii="Arial" w:hAnsi="Arial" w:cs="Arial"/>
          <w:sz w:val="15"/>
          <w:szCs w:val="15"/>
        </w:rPr>
        <w:t xml:space="preserve"> Australian Law Reform Commission, </w:t>
      </w:r>
      <w:hyperlink r:id="rId3" w:history="1">
        <w:r w:rsidRPr="00083280">
          <w:rPr>
            <w:rStyle w:val="Hyperlink"/>
            <w:rFonts w:ascii="Arial" w:hAnsi="Arial" w:cs="Arial"/>
            <w:sz w:val="15"/>
            <w:szCs w:val="15"/>
          </w:rPr>
          <w:t>Equality, Capacity and Disability in Commonwealth Laws</w:t>
        </w:r>
      </w:hyperlink>
      <w:r w:rsidRPr="0035296F">
        <w:rPr>
          <w:rFonts w:ascii="Arial" w:hAnsi="Arial" w:cs="Arial"/>
          <w:sz w:val="15"/>
          <w:szCs w:val="15"/>
        </w:rPr>
        <w:t>, ALRC Report 124 (2014).</w:t>
      </w:r>
    </w:p>
    <w:p w14:paraId="038371EE" w14:textId="77777777" w:rsidR="0035296F" w:rsidRPr="0035296F" w:rsidRDefault="0035296F" w:rsidP="008E5829">
      <w:pPr>
        <w:pStyle w:val="EndnoteText"/>
        <w:rPr>
          <w:rFonts w:ascii="Arial" w:hAnsi="Arial" w:cs="Arial"/>
          <w:sz w:val="15"/>
          <w:szCs w:val="15"/>
        </w:rPr>
      </w:pPr>
    </w:p>
  </w:endnote>
  <w:endnote w:id="4">
    <w:p w14:paraId="47ABE5A7" w14:textId="78AFBD01" w:rsidR="00A16939" w:rsidRDefault="00A16939" w:rsidP="00A16939">
      <w:pPr>
        <w:pStyle w:val="EndnoteText"/>
        <w:contextualSpacing/>
        <w:rPr>
          <w:rStyle w:val="Hyperlink"/>
          <w:rFonts w:ascii="Arial" w:hAnsi="Arial" w:cs="Arial"/>
          <w:sz w:val="15"/>
          <w:szCs w:val="15"/>
        </w:rPr>
      </w:pPr>
      <w:r w:rsidRPr="0035296F">
        <w:rPr>
          <w:rStyle w:val="EndnoteReference"/>
          <w:rFonts w:ascii="Arial" w:hAnsi="Arial" w:cs="Arial"/>
          <w:sz w:val="15"/>
          <w:szCs w:val="15"/>
        </w:rPr>
        <w:endnoteRef/>
      </w:r>
      <w:r w:rsidRPr="0035296F">
        <w:rPr>
          <w:rFonts w:ascii="Arial" w:hAnsi="Arial" w:cs="Arial"/>
          <w:sz w:val="15"/>
          <w:szCs w:val="15"/>
        </w:rPr>
        <w:t xml:space="preserve"> First Peoples Disability Justice Consortium, </w:t>
      </w:r>
      <w:hyperlink r:id="rId4" w:history="1">
        <w:r w:rsidRPr="00083280">
          <w:rPr>
            <w:rStyle w:val="Hyperlink"/>
            <w:rFonts w:ascii="Arial" w:hAnsi="Arial" w:cs="Arial"/>
            <w:sz w:val="15"/>
            <w:szCs w:val="15"/>
          </w:rPr>
          <w:t>Aboriginal and Torres Strait Islander Perspectives on the Recurrent and Indefinite Detention of People with Cognitive and Psychiatric Impairment</w:t>
        </w:r>
      </w:hyperlink>
      <w:r w:rsidRPr="0035296F">
        <w:rPr>
          <w:rFonts w:ascii="Arial" w:hAnsi="Arial" w:cs="Arial"/>
          <w:sz w:val="15"/>
          <w:szCs w:val="15"/>
        </w:rPr>
        <w:t xml:space="preserve">, April 2016, First Peoples Disability Network. </w:t>
      </w:r>
    </w:p>
    <w:p w14:paraId="43E0F9FE" w14:textId="77777777" w:rsidR="0035296F" w:rsidRPr="0035296F" w:rsidRDefault="0035296F" w:rsidP="00A16939">
      <w:pPr>
        <w:pStyle w:val="EndnoteText"/>
        <w:contextualSpacing/>
        <w:rPr>
          <w:rFonts w:ascii="Arial" w:hAnsi="Arial" w:cs="Arial"/>
          <w:sz w:val="15"/>
          <w:szCs w:val="15"/>
        </w:rPr>
      </w:pPr>
    </w:p>
  </w:endnote>
  <w:endnote w:id="5">
    <w:p w14:paraId="2D3E3040" w14:textId="77777777" w:rsidR="00A16939" w:rsidRPr="0035296F" w:rsidRDefault="00A16939" w:rsidP="00A16939">
      <w:pPr>
        <w:pStyle w:val="EndnoteText"/>
        <w:rPr>
          <w:rFonts w:ascii="Arial" w:hAnsi="Arial" w:cs="Arial"/>
          <w:sz w:val="15"/>
          <w:szCs w:val="15"/>
        </w:rPr>
      </w:pPr>
      <w:r w:rsidRPr="0035296F">
        <w:rPr>
          <w:rStyle w:val="EndnoteReference"/>
          <w:rFonts w:ascii="Arial" w:hAnsi="Arial" w:cs="Arial"/>
          <w:sz w:val="15"/>
          <w:szCs w:val="15"/>
        </w:rPr>
        <w:endnoteRef/>
      </w:r>
      <w:r w:rsidRPr="0035296F">
        <w:rPr>
          <w:rFonts w:ascii="Arial" w:hAnsi="Arial" w:cs="Arial"/>
          <w:sz w:val="15"/>
          <w:szCs w:val="15"/>
        </w:rPr>
        <w:t xml:space="preserve"> Commonwealth of Australia (2016) Senate Standing Committee on Community Affairs, Report: </w:t>
      </w:r>
      <w:hyperlink r:id="rId5" w:history="1">
        <w:r w:rsidRPr="0035296F">
          <w:rPr>
            <w:rStyle w:val="Hyperlink"/>
            <w:rFonts w:ascii="Arial" w:hAnsi="Arial" w:cs="Arial"/>
            <w:sz w:val="15"/>
            <w:szCs w:val="15"/>
          </w:rPr>
          <w:t>Indefinite detention of people with cognitive and psychiatric impairment in Australia</w:t>
        </w:r>
      </w:hyperlink>
      <w:r w:rsidRPr="0035296F">
        <w:rPr>
          <w:rFonts w:ascii="Arial" w:hAnsi="Arial" w:cs="Arial"/>
          <w:sz w:val="15"/>
          <w:szCs w:val="15"/>
        </w:rPr>
        <w:t>.</w:t>
      </w:r>
    </w:p>
    <w:p w14:paraId="45CDC391" w14:textId="77777777" w:rsidR="00A16939" w:rsidRPr="0035296F" w:rsidRDefault="00A16939" w:rsidP="00A16939">
      <w:pPr>
        <w:pStyle w:val="EndnoteText"/>
        <w:rPr>
          <w:rFonts w:ascii="Arial" w:hAnsi="Arial" w:cs="Arial"/>
          <w:sz w:val="15"/>
          <w:szCs w:val="15"/>
        </w:rPr>
      </w:pPr>
    </w:p>
  </w:endnote>
  <w:endnote w:id="6">
    <w:p w14:paraId="20D9D203" w14:textId="6B201712" w:rsidR="00A16939" w:rsidRDefault="00A16939" w:rsidP="00A16939">
      <w:pPr>
        <w:pStyle w:val="EndnoteText"/>
        <w:contextualSpacing/>
        <w:rPr>
          <w:rFonts w:ascii="Arial" w:hAnsi="Arial" w:cs="Arial"/>
          <w:sz w:val="15"/>
          <w:szCs w:val="15"/>
        </w:rPr>
      </w:pPr>
      <w:r w:rsidRPr="0035296F">
        <w:rPr>
          <w:rStyle w:val="EndnoteReference"/>
          <w:rFonts w:ascii="Arial" w:hAnsi="Arial" w:cs="Arial"/>
          <w:sz w:val="15"/>
          <w:szCs w:val="15"/>
        </w:rPr>
        <w:endnoteRef/>
      </w:r>
      <w:r w:rsidRPr="0035296F">
        <w:rPr>
          <w:rFonts w:ascii="Arial" w:hAnsi="Arial" w:cs="Arial"/>
          <w:sz w:val="15"/>
          <w:szCs w:val="15"/>
        </w:rPr>
        <w:t xml:space="preserve"> </w:t>
      </w:r>
      <w:proofErr w:type="spellStart"/>
      <w:r w:rsidRPr="0035296F">
        <w:rPr>
          <w:rFonts w:ascii="Arial" w:hAnsi="Arial" w:cs="Arial"/>
          <w:sz w:val="15"/>
          <w:szCs w:val="15"/>
        </w:rPr>
        <w:t>Sotiri</w:t>
      </w:r>
      <w:proofErr w:type="spellEnd"/>
      <w:r w:rsidRPr="0035296F">
        <w:rPr>
          <w:rFonts w:ascii="Arial" w:hAnsi="Arial" w:cs="Arial"/>
          <w:sz w:val="15"/>
          <w:szCs w:val="15"/>
        </w:rPr>
        <w:t xml:space="preserve">, M, McGee, P, &amp; Baldry, E (2012) </w:t>
      </w:r>
      <w:hyperlink r:id="rId6" w:history="1">
        <w:r w:rsidRPr="00543CA3">
          <w:rPr>
            <w:rStyle w:val="Hyperlink"/>
            <w:rFonts w:ascii="Arial" w:hAnsi="Arial" w:cs="Arial"/>
            <w:sz w:val="15"/>
            <w:szCs w:val="15"/>
          </w:rPr>
          <w:t>No End in Sight. The Imprisonment and Indefinite Detention of Indigenous Australians with a Cognitive Impairment.</w:t>
        </w:r>
      </w:hyperlink>
      <w:r w:rsidRPr="0035296F">
        <w:rPr>
          <w:rFonts w:ascii="Arial" w:hAnsi="Arial" w:cs="Arial"/>
          <w:sz w:val="15"/>
          <w:szCs w:val="15"/>
        </w:rPr>
        <w:t xml:space="preserve"> Sydney: University of NSW. See also Eileen Baldry, Ruth McCausland, Leanne Dowse, Elizabeth </w:t>
      </w:r>
      <w:proofErr w:type="spellStart"/>
      <w:r w:rsidRPr="0035296F">
        <w:rPr>
          <w:rFonts w:ascii="Arial" w:hAnsi="Arial" w:cs="Arial"/>
          <w:sz w:val="15"/>
          <w:szCs w:val="15"/>
        </w:rPr>
        <w:t>McEntyre</w:t>
      </w:r>
      <w:proofErr w:type="spellEnd"/>
      <w:r w:rsidRPr="0035296F">
        <w:rPr>
          <w:rFonts w:ascii="Arial" w:hAnsi="Arial" w:cs="Arial"/>
          <w:sz w:val="15"/>
          <w:szCs w:val="15"/>
        </w:rPr>
        <w:t xml:space="preserve">, </w:t>
      </w:r>
      <w:hyperlink r:id="rId7" w:history="1">
        <w:r w:rsidRPr="00083280">
          <w:rPr>
            <w:rStyle w:val="Hyperlink"/>
            <w:rFonts w:ascii="Arial" w:hAnsi="Arial" w:cs="Arial"/>
            <w:sz w:val="15"/>
            <w:szCs w:val="15"/>
          </w:rPr>
          <w:t>A predictable and preventable path: Aboriginal people with mental and cognitive disabilities in the criminal justice system</w:t>
        </w:r>
      </w:hyperlink>
      <w:r w:rsidRPr="0035296F">
        <w:rPr>
          <w:rFonts w:ascii="Arial" w:hAnsi="Arial" w:cs="Arial"/>
          <w:sz w:val="15"/>
          <w:szCs w:val="15"/>
        </w:rPr>
        <w:t>, UNSW, October 2015</w:t>
      </w:r>
      <w:r w:rsidR="00083280">
        <w:rPr>
          <w:rFonts w:ascii="Arial" w:hAnsi="Arial" w:cs="Arial"/>
          <w:sz w:val="15"/>
          <w:szCs w:val="15"/>
        </w:rPr>
        <w:t>.</w:t>
      </w:r>
    </w:p>
    <w:p w14:paraId="6440145F" w14:textId="77777777" w:rsidR="00083280" w:rsidRPr="0035296F" w:rsidRDefault="00083280" w:rsidP="00A16939">
      <w:pPr>
        <w:pStyle w:val="EndnoteText"/>
        <w:contextualSpacing/>
        <w:rPr>
          <w:rFonts w:ascii="Arial" w:hAnsi="Arial" w:cs="Arial"/>
          <w:sz w:val="15"/>
          <w:szCs w:val="15"/>
        </w:rPr>
      </w:pPr>
    </w:p>
  </w:endnote>
  <w:endnote w:id="7">
    <w:p w14:paraId="5F5A8146" w14:textId="3B4232A0" w:rsidR="00A16939" w:rsidRDefault="00A16939" w:rsidP="00A16939">
      <w:pPr>
        <w:pStyle w:val="EndnoteText"/>
        <w:rPr>
          <w:rFonts w:ascii="Arial" w:hAnsi="Arial" w:cs="Arial"/>
          <w:sz w:val="15"/>
          <w:szCs w:val="15"/>
        </w:rPr>
      </w:pPr>
      <w:r w:rsidRPr="0035296F">
        <w:rPr>
          <w:rStyle w:val="EndnoteReference"/>
          <w:rFonts w:ascii="Arial" w:hAnsi="Arial" w:cs="Arial"/>
          <w:sz w:val="15"/>
          <w:szCs w:val="15"/>
        </w:rPr>
        <w:endnoteRef/>
      </w:r>
      <w:r w:rsidRPr="0035296F">
        <w:rPr>
          <w:rFonts w:ascii="Arial" w:hAnsi="Arial" w:cs="Arial"/>
          <w:sz w:val="15"/>
          <w:szCs w:val="15"/>
        </w:rPr>
        <w:t xml:space="preserve"> </w:t>
      </w:r>
      <w:hyperlink r:id="rId8" w:history="1">
        <w:r w:rsidRPr="00543CA3">
          <w:rPr>
            <w:rStyle w:val="Hyperlink"/>
            <w:rFonts w:ascii="Arial" w:hAnsi="Arial" w:cs="Arial"/>
            <w:sz w:val="15"/>
            <w:szCs w:val="15"/>
          </w:rPr>
          <w:t>KA, KB, KC and KD v Commonwealth</w:t>
        </w:r>
      </w:hyperlink>
      <w:r w:rsidRPr="0035296F">
        <w:rPr>
          <w:rFonts w:ascii="Arial" w:hAnsi="Arial" w:cs="Arial"/>
          <w:sz w:val="15"/>
          <w:szCs w:val="15"/>
        </w:rPr>
        <w:t xml:space="preserve"> (Department of Prime Minister and Cabinet, Department of Social Services, Attorney-General’s Department) [2014] </w:t>
      </w:r>
      <w:proofErr w:type="spellStart"/>
      <w:r w:rsidRPr="0035296F">
        <w:rPr>
          <w:rFonts w:ascii="Arial" w:hAnsi="Arial" w:cs="Arial"/>
          <w:sz w:val="15"/>
          <w:szCs w:val="15"/>
        </w:rPr>
        <w:t>AusHRC</w:t>
      </w:r>
      <w:proofErr w:type="spellEnd"/>
      <w:r w:rsidRPr="0035296F">
        <w:rPr>
          <w:rFonts w:ascii="Arial" w:hAnsi="Arial" w:cs="Arial"/>
          <w:sz w:val="15"/>
          <w:szCs w:val="15"/>
        </w:rPr>
        <w:t xml:space="preserve"> 80</w:t>
      </w:r>
    </w:p>
    <w:p w14:paraId="3A988238" w14:textId="77777777" w:rsidR="00543CA3" w:rsidRPr="0035296F" w:rsidRDefault="00543CA3" w:rsidP="00A16939">
      <w:pPr>
        <w:pStyle w:val="EndnoteText"/>
        <w:rPr>
          <w:rFonts w:ascii="Arial" w:hAnsi="Arial" w:cs="Arial"/>
          <w:sz w:val="15"/>
          <w:szCs w:val="15"/>
        </w:rPr>
      </w:pPr>
    </w:p>
  </w:endnote>
  <w:endnote w:id="8">
    <w:p w14:paraId="69F38B08" w14:textId="77777777" w:rsidR="008E5829" w:rsidRPr="0035296F" w:rsidRDefault="008E5829" w:rsidP="008E5829">
      <w:pPr>
        <w:pStyle w:val="EndnoteText"/>
        <w:rPr>
          <w:rFonts w:ascii="Arial" w:hAnsi="Arial" w:cs="Arial"/>
          <w:sz w:val="15"/>
          <w:szCs w:val="15"/>
        </w:rPr>
      </w:pPr>
      <w:r w:rsidRPr="0035296F">
        <w:rPr>
          <w:rStyle w:val="EndnoteReference"/>
          <w:rFonts w:ascii="Arial" w:hAnsi="Arial" w:cs="Arial"/>
          <w:sz w:val="15"/>
          <w:szCs w:val="15"/>
        </w:rPr>
        <w:endnoteRef/>
      </w:r>
      <w:r w:rsidRPr="0035296F">
        <w:rPr>
          <w:rFonts w:ascii="Arial" w:hAnsi="Arial" w:cs="Arial"/>
          <w:sz w:val="15"/>
          <w:szCs w:val="15"/>
        </w:rPr>
        <w:t xml:space="preserve"> Willacy, M. &amp; and Blucher, A. (18 Jun 2019) </w:t>
      </w:r>
      <w:hyperlink r:id="rId9" w:history="1">
        <w:r w:rsidRPr="0035296F">
          <w:rPr>
            <w:rStyle w:val="Hyperlink"/>
            <w:rFonts w:ascii="Arial" w:hAnsi="Arial" w:cs="Arial"/>
            <w:sz w:val="15"/>
            <w:szCs w:val="15"/>
          </w:rPr>
          <w:t>Boy kept 'completely naked' in Brisbane watch house for days</w:t>
        </w:r>
      </w:hyperlink>
      <w:r w:rsidRPr="0035296F">
        <w:rPr>
          <w:rFonts w:ascii="Arial" w:hAnsi="Arial" w:cs="Arial"/>
          <w:sz w:val="15"/>
          <w:szCs w:val="15"/>
        </w:rPr>
        <w:t xml:space="preserve">. ABC Investigations. </w:t>
      </w:r>
    </w:p>
    <w:p w14:paraId="3F29A55F" w14:textId="77777777" w:rsidR="008E5829" w:rsidRPr="0035296F" w:rsidRDefault="008E5829" w:rsidP="008E5829">
      <w:pPr>
        <w:pStyle w:val="EndnoteText"/>
        <w:rPr>
          <w:rFonts w:ascii="Arial" w:hAnsi="Arial" w:cs="Arial"/>
          <w:sz w:val="15"/>
          <w:szCs w:val="15"/>
        </w:rPr>
      </w:pPr>
    </w:p>
  </w:endnote>
  <w:endnote w:id="9">
    <w:p w14:paraId="48DE2FD1" w14:textId="77777777" w:rsidR="008A1708" w:rsidRPr="0035296F" w:rsidRDefault="008A1708" w:rsidP="008A1708">
      <w:pPr>
        <w:pStyle w:val="EndnoteText"/>
        <w:rPr>
          <w:rFonts w:ascii="Arial" w:hAnsi="Arial" w:cs="Arial"/>
          <w:sz w:val="15"/>
          <w:szCs w:val="15"/>
        </w:rPr>
      </w:pPr>
      <w:r w:rsidRPr="0035296F">
        <w:rPr>
          <w:rStyle w:val="EndnoteReference"/>
          <w:rFonts w:ascii="Arial" w:hAnsi="Arial" w:cs="Arial"/>
          <w:sz w:val="15"/>
          <w:szCs w:val="15"/>
        </w:rPr>
        <w:endnoteRef/>
      </w:r>
      <w:r w:rsidRPr="0035296F">
        <w:rPr>
          <w:rFonts w:ascii="Arial" w:hAnsi="Arial" w:cs="Arial"/>
          <w:sz w:val="15"/>
          <w:szCs w:val="15"/>
        </w:rPr>
        <w:t xml:space="preserve"> Commonwealth of Australia (2016) Senate Standing Committee on Community Affairs, Report: </w:t>
      </w:r>
      <w:hyperlink r:id="rId10" w:history="1">
        <w:r w:rsidRPr="0035296F">
          <w:rPr>
            <w:rStyle w:val="Hyperlink"/>
            <w:rFonts w:ascii="Arial" w:hAnsi="Arial" w:cs="Arial"/>
            <w:sz w:val="15"/>
            <w:szCs w:val="15"/>
          </w:rPr>
          <w:t>Indefinite detention of people with cognitive and psychiatric impairment in Australia</w:t>
        </w:r>
      </w:hyperlink>
      <w:r w:rsidRPr="0035296F">
        <w:rPr>
          <w:rFonts w:ascii="Arial" w:hAnsi="Arial" w:cs="Arial"/>
          <w:sz w:val="15"/>
          <w:szCs w:val="15"/>
        </w:rPr>
        <w:t>.</w:t>
      </w:r>
    </w:p>
    <w:p w14:paraId="0EDD4BE1" w14:textId="77777777" w:rsidR="008A1708" w:rsidRPr="0035296F" w:rsidRDefault="008A1708" w:rsidP="008A1708">
      <w:pPr>
        <w:pStyle w:val="EndnoteText"/>
        <w:rPr>
          <w:rFonts w:ascii="Arial" w:hAnsi="Arial" w:cs="Arial"/>
          <w:sz w:val="15"/>
          <w:szCs w:val="15"/>
        </w:rPr>
      </w:pPr>
    </w:p>
  </w:endnote>
  <w:endnote w:id="10">
    <w:p w14:paraId="0C71EA23" w14:textId="77777777" w:rsidR="00543CA3" w:rsidRPr="0035296F" w:rsidRDefault="00CD3D10" w:rsidP="00543CA3">
      <w:pPr>
        <w:pStyle w:val="EndnoteText"/>
        <w:rPr>
          <w:rFonts w:ascii="Arial" w:hAnsi="Arial" w:cs="Arial"/>
          <w:sz w:val="15"/>
          <w:szCs w:val="15"/>
        </w:rPr>
      </w:pPr>
      <w:r w:rsidRPr="0035296F">
        <w:rPr>
          <w:rStyle w:val="EndnoteReference"/>
          <w:rFonts w:ascii="Arial" w:hAnsi="Arial" w:cs="Arial"/>
          <w:sz w:val="15"/>
          <w:szCs w:val="15"/>
        </w:rPr>
        <w:endnoteRef/>
      </w:r>
      <w:r w:rsidRPr="0035296F">
        <w:rPr>
          <w:rFonts w:ascii="Arial" w:hAnsi="Arial" w:cs="Arial"/>
          <w:sz w:val="15"/>
          <w:szCs w:val="15"/>
        </w:rPr>
        <w:t xml:space="preserve"> </w:t>
      </w:r>
      <w:r w:rsidR="00543CA3" w:rsidRPr="0035296F">
        <w:rPr>
          <w:rFonts w:ascii="Arial" w:hAnsi="Arial" w:cs="Arial"/>
          <w:sz w:val="15"/>
          <w:szCs w:val="15"/>
        </w:rPr>
        <w:t xml:space="preserve">Commonwealth of Australia (2016) Senate Standing Committee on Community Affairs, Report: </w:t>
      </w:r>
      <w:hyperlink r:id="rId11" w:history="1">
        <w:r w:rsidR="00543CA3" w:rsidRPr="0035296F">
          <w:rPr>
            <w:rStyle w:val="Hyperlink"/>
            <w:rFonts w:ascii="Arial" w:hAnsi="Arial" w:cs="Arial"/>
            <w:sz w:val="15"/>
            <w:szCs w:val="15"/>
          </w:rPr>
          <w:t>Indefinite detention of people with cognitive and psychiatric impairment in Australia</w:t>
        </w:r>
      </w:hyperlink>
      <w:r w:rsidR="00543CA3" w:rsidRPr="0035296F">
        <w:rPr>
          <w:rFonts w:ascii="Arial" w:hAnsi="Arial" w:cs="Arial"/>
          <w:sz w:val="15"/>
          <w:szCs w:val="15"/>
        </w:rPr>
        <w:t>.</w:t>
      </w:r>
    </w:p>
    <w:p w14:paraId="6D933A79" w14:textId="255A18B0" w:rsidR="00083280" w:rsidRPr="0035296F" w:rsidRDefault="00083280" w:rsidP="00CD3D10">
      <w:pPr>
        <w:pStyle w:val="EndnoteText"/>
        <w:tabs>
          <w:tab w:val="right" w:pos="0"/>
        </w:tabs>
        <w:rPr>
          <w:rFonts w:ascii="Arial" w:hAnsi="Arial" w:cs="Arial"/>
          <w:sz w:val="15"/>
          <w:szCs w:val="15"/>
        </w:rPr>
      </w:pPr>
    </w:p>
  </w:endnote>
  <w:endnote w:id="11">
    <w:p w14:paraId="586F3A24" w14:textId="77777777" w:rsidR="009513FD" w:rsidRPr="0035296F" w:rsidRDefault="009513FD" w:rsidP="009513FD">
      <w:pPr>
        <w:pStyle w:val="EndnoteText"/>
        <w:rPr>
          <w:rFonts w:ascii="Arial" w:hAnsi="Arial" w:cs="Arial"/>
          <w:sz w:val="15"/>
          <w:szCs w:val="15"/>
        </w:rPr>
      </w:pPr>
      <w:r w:rsidRPr="0035296F">
        <w:rPr>
          <w:rStyle w:val="EndnoteReference"/>
          <w:rFonts w:ascii="Arial" w:hAnsi="Arial" w:cs="Arial"/>
          <w:sz w:val="15"/>
          <w:szCs w:val="15"/>
        </w:rPr>
        <w:endnoteRef/>
      </w:r>
      <w:r w:rsidRPr="0035296F">
        <w:rPr>
          <w:rFonts w:ascii="Arial" w:hAnsi="Arial" w:cs="Arial"/>
          <w:sz w:val="15"/>
          <w:szCs w:val="15"/>
        </w:rPr>
        <w:t xml:space="preserve"> See: </w:t>
      </w:r>
      <w:hyperlink r:id="rId12" w:history="1">
        <w:r w:rsidRPr="0035296F">
          <w:rPr>
            <w:rStyle w:val="Hyperlink"/>
            <w:rFonts w:ascii="Arial" w:hAnsi="Arial" w:cs="Arial"/>
            <w:sz w:val="15"/>
            <w:szCs w:val="15"/>
          </w:rPr>
          <w:t>Australia’s Universal Periodic Review</w:t>
        </w:r>
      </w:hyperlink>
      <w:r w:rsidRPr="0035296F">
        <w:rPr>
          <w:rFonts w:ascii="Arial" w:hAnsi="Arial" w:cs="Arial"/>
          <w:sz w:val="15"/>
          <w:szCs w:val="15"/>
        </w:rPr>
        <w:t>; Attorney-General's Department.</w:t>
      </w:r>
    </w:p>
    <w:p w14:paraId="3E164A40" w14:textId="77777777" w:rsidR="009513FD" w:rsidRPr="0035296F" w:rsidRDefault="009513FD" w:rsidP="009513FD">
      <w:pPr>
        <w:pStyle w:val="EndnoteText"/>
        <w:rPr>
          <w:rFonts w:ascii="Arial" w:hAnsi="Arial" w:cs="Arial"/>
          <w:sz w:val="15"/>
          <w:szCs w:val="15"/>
        </w:rPr>
      </w:pPr>
    </w:p>
  </w:endnote>
  <w:endnote w:id="12">
    <w:p w14:paraId="782B448D" w14:textId="77777777" w:rsidR="009513FD" w:rsidRPr="0035296F" w:rsidRDefault="009513FD" w:rsidP="009513FD">
      <w:pPr>
        <w:pStyle w:val="EndnoteText"/>
        <w:rPr>
          <w:rFonts w:ascii="Arial" w:hAnsi="Arial" w:cs="Arial"/>
          <w:sz w:val="15"/>
          <w:szCs w:val="15"/>
        </w:rPr>
      </w:pPr>
      <w:r w:rsidRPr="0035296F">
        <w:rPr>
          <w:rStyle w:val="EndnoteReference"/>
          <w:rFonts w:ascii="Arial" w:hAnsi="Arial" w:cs="Arial"/>
          <w:sz w:val="15"/>
          <w:szCs w:val="15"/>
        </w:rPr>
        <w:endnoteRef/>
      </w:r>
      <w:r w:rsidRPr="0035296F">
        <w:rPr>
          <w:rFonts w:ascii="Arial" w:hAnsi="Arial" w:cs="Arial"/>
          <w:sz w:val="15"/>
          <w:szCs w:val="15"/>
        </w:rPr>
        <w:t xml:space="preserve"> See: Human Rights Law Centre, Australia’s 2nd Universal Periodic Review: </w:t>
      </w:r>
      <w:hyperlink r:id="rId13" w:history="1">
        <w:r w:rsidRPr="0035296F">
          <w:rPr>
            <w:rStyle w:val="Hyperlink"/>
            <w:rFonts w:ascii="Arial" w:hAnsi="Arial" w:cs="Arial"/>
            <w:sz w:val="15"/>
            <w:szCs w:val="15"/>
          </w:rPr>
          <w:t>Voluntary Commitments</w:t>
        </w:r>
      </w:hyperlink>
      <w:r w:rsidRPr="0035296F">
        <w:rPr>
          <w:rFonts w:ascii="Arial" w:hAnsi="Arial" w:cs="Arial"/>
          <w:sz w:val="15"/>
          <w:szCs w:val="15"/>
        </w:rPr>
        <w:t xml:space="preserve">. See also: Law Council of Australia, </w:t>
      </w:r>
      <w:hyperlink r:id="rId14" w:history="1">
        <w:r w:rsidRPr="0035296F">
          <w:rPr>
            <w:rStyle w:val="Hyperlink"/>
            <w:rFonts w:ascii="Arial" w:hAnsi="Arial" w:cs="Arial"/>
            <w:sz w:val="15"/>
            <w:szCs w:val="15"/>
          </w:rPr>
          <w:t>Australia’s International Human Rights Obligations</w:t>
        </w:r>
      </w:hyperlink>
      <w:r w:rsidRPr="0035296F">
        <w:rPr>
          <w:rFonts w:ascii="Arial" w:hAnsi="Arial" w:cs="Arial"/>
          <w:sz w:val="15"/>
          <w:szCs w:val="15"/>
        </w:rPr>
        <w:t xml:space="preserve">. </w:t>
      </w:r>
    </w:p>
    <w:p w14:paraId="2EF1C41E" w14:textId="77777777" w:rsidR="009513FD" w:rsidRPr="0035296F" w:rsidRDefault="009513FD" w:rsidP="009513FD">
      <w:pPr>
        <w:pStyle w:val="EndnoteText"/>
        <w:rPr>
          <w:rFonts w:ascii="Arial" w:hAnsi="Arial" w:cs="Arial"/>
          <w:sz w:val="15"/>
          <w:szCs w:val="15"/>
        </w:rPr>
      </w:pPr>
    </w:p>
  </w:endnote>
  <w:endnote w:id="13">
    <w:p w14:paraId="0BFD8626" w14:textId="77777777" w:rsidR="009513FD" w:rsidRPr="0035296F" w:rsidRDefault="009513FD" w:rsidP="009513FD">
      <w:pPr>
        <w:pStyle w:val="EndnoteText"/>
        <w:rPr>
          <w:rFonts w:ascii="Arial" w:hAnsi="Arial" w:cs="Arial"/>
          <w:sz w:val="15"/>
          <w:szCs w:val="15"/>
        </w:rPr>
      </w:pPr>
      <w:r w:rsidRPr="0035296F">
        <w:rPr>
          <w:rStyle w:val="EndnoteReference"/>
          <w:rFonts w:ascii="Arial" w:hAnsi="Arial" w:cs="Arial"/>
          <w:sz w:val="15"/>
          <w:szCs w:val="15"/>
        </w:rPr>
        <w:endnoteRef/>
      </w:r>
      <w:r w:rsidRPr="0035296F">
        <w:rPr>
          <w:rFonts w:ascii="Arial" w:hAnsi="Arial" w:cs="Arial"/>
          <w:sz w:val="15"/>
          <w:szCs w:val="15"/>
        </w:rPr>
        <w:t xml:space="preserve"> The former Law, Crime and Community Safety Council (LCCSC) consisted of ministers with responsibilities for law and justice, police and emergency management. As a result of a Council of Australian Governments (COAG) review conducted in 2016-17, COAG decided to replace the LCCSC with a separate Councils for </w:t>
      </w:r>
      <w:hyperlink r:id="rId15" w:history="1">
        <w:r w:rsidRPr="0035296F">
          <w:rPr>
            <w:rStyle w:val="Hyperlink"/>
            <w:rFonts w:ascii="Arial" w:hAnsi="Arial" w:cs="Arial"/>
            <w:sz w:val="15"/>
            <w:szCs w:val="15"/>
          </w:rPr>
          <w:t>Attorneys-General</w:t>
        </w:r>
      </w:hyperlink>
      <w:r w:rsidRPr="0035296F">
        <w:rPr>
          <w:rFonts w:ascii="Arial" w:hAnsi="Arial" w:cs="Arial"/>
          <w:sz w:val="15"/>
          <w:szCs w:val="15"/>
        </w:rPr>
        <w:t xml:space="preserve">, and a separate Council for </w:t>
      </w:r>
      <w:hyperlink r:id="rId16" w:history="1">
        <w:r w:rsidRPr="0035296F">
          <w:rPr>
            <w:rStyle w:val="Hyperlink"/>
            <w:rFonts w:ascii="Arial" w:hAnsi="Arial" w:cs="Arial"/>
            <w:sz w:val="15"/>
            <w:szCs w:val="15"/>
          </w:rPr>
          <w:t>Police and Emergency Management</w:t>
        </w:r>
      </w:hyperlink>
      <w:r w:rsidRPr="0035296F">
        <w:rPr>
          <w:rFonts w:ascii="Arial" w:hAnsi="Arial" w:cs="Arial"/>
          <w:sz w:val="15"/>
          <w:szCs w:val="15"/>
        </w:rPr>
        <w:t xml:space="preserve">. </w:t>
      </w:r>
    </w:p>
    <w:p w14:paraId="18100BB7" w14:textId="77777777" w:rsidR="009513FD" w:rsidRPr="0035296F" w:rsidRDefault="009513FD" w:rsidP="009513FD">
      <w:pPr>
        <w:pStyle w:val="EndnoteText"/>
        <w:rPr>
          <w:rFonts w:ascii="Arial" w:hAnsi="Arial" w:cs="Arial"/>
          <w:sz w:val="15"/>
          <w:szCs w:val="15"/>
        </w:rPr>
      </w:pPr>
    </w:p>
  </w:endnote>
  <w:endnote w:id="14">
    <w:p w14:paraId="7362EF60" w14:textId="5343C5FE" w:rsidR="00A16939" w:rsidRDefault="00A16939" w:rsidP="00A16939">
      <w:pPr>
        <w:pStyle w:val="EndnoteText"/>
        <w:rPr>
          <w:rFonts w:ascii="Arial" w:hAnsi="Arial" w:cs="Arial"/>
          <w:sz w:val="15"/>
          <w:szCs w:val="15"/>
        </w:rPr>
      </w:pPr>
      <w:r w:rsidRPr="0035296F">
        <w:rPr>
          <w:rStyle w:val="EndnoteReference"/>
          <w:rFonts w:ascii="Arial" w:hAnsi="Arial" w:cs="Arial"/>
          <w:sz w:val="15"/>
          <w:szCs w:val="15"/>
        </w:rPr>
        <w:endnoteRef/>
      </w:r>
      <w:r w:rsidRPr="0035296F">
        <w:rPr>
          <w:rFonts w:ascii="Arial" w:hAnsi="Arial" w:cs="Arial"/>
          <w:sz w:val="15"/>
          <w:szCs w:val="15"/>
        </w:rPr>
        <w:t xml:space="preserve"> Committee on the Rights of Persons with Disabilities, Conc</w:t>
      </w:r>
      <w:bookmarkStart w:id="0" w:name="_GoBack"/>
      <w:bookmarkEnd w:id="0"/>
      <w:r w:rsidRPr="0035296F">
        <w:rPr>
          <w:rFonts w:ascii="Arial" w:hAnsi="Arial" w:cs="Arial"/>
          <w:sz w:val="15"/>
          <w:szCs w:val="15"/>
        </w:rPr>
        <w:t>luding observations on the initial report of Australia, adopted by the Committee at its tenth session (2-13 September 2013), UN Doc CRPD/C/AUS/CO/1, paras 31-32.</w:t>
      </w:r>
    </w:p>
    <w:p w14:paraId="6A0F90C4" w14:textId="77777777" w:rsidR="00EE14E9" w:rsidRPr="0035296F" w:rsidRDefault="00EE14E9" w:rsidP="00A16939">
      <w:pPr>
        <w:pStyle w:val="EndnoteText"/>
        <w:rPr>
          <w:rFonts w:ascii="Arial" w:hAnsi="Arial" w:cs="Arial"/>
          <w:sz w:val="15"/>
          <w:szCs w:val="15"/>
        </w:rPr>
      </w:pPr>
    </w:p>
  </w:endnote>
  <w:endnote w:id="15">
    <w:p w14:paraId="08991D8A" w14:textId="77777777" w:rsidR="008E75DF" w:rsidRDefault="008E75DF" w:rsidP="008E75DF">
      <w:pPr>
        <w:pStyle w:val="EndnoteText"/>
        <w:rPr>
          <w:rFonts w:ascii="Arial" w:hAnsi="Arial" w:cs="Arial"/>
          <w:sz w:val="15"/>
          <w:szCs w:val="15"/>
        </w:rPr>
      </w:pPr>
      <w:r w:rsidRPr="00CB0F49">
        <w:rPr>
          <w:rStyle w:val="EndnoteReference"/>
          <w:rFonts w:ascii="Arial" w:hAnsi="Arial" w:cs="Arial"/>
          <w:sz w:val="15"/>
          <w:szCs w:val="15"/>
        </w:rPr>
        <w:endnoteRef/>
      </w:r>
      <w:r w:rsidRPr="00CB0F49">
        <w:rPr>
          <w:rFonts w:ascii="Arial" w:hAnsi="Arial" w:cs="Arial"/>
          <w:sz w:val="15"/>
          <w:szCs w:val="15"/>
        </w:rPr>
        <w:t xml:space="preserve"> </w:t>
      </w:r>
      <w:r w:rsidRPr="00C31C3F">
        <w:rPr>
          <w:rFonts w:ascii="Arial" w:hAnsi="Arial" w:cs="Arial"/>
          <w:sz w:val="15"/>
          <w:szCs w:val="15"/>
        </w:rPr>
        <w:t>Committee on Economic, Social and Cultural Rights</w:t>
      </w:r>
      <w:r>
        <w:rPr>
          <w:rFonts w:ascii="Arial" w:hAnsi="Arial" w:cs="Arial"/>
          <w:sz w:val="15"/>
          <w:szCs w:val="15"/>
        </w:rPr>
        <w:t xml:space="preserve"> (</w:t>
      </w:r>
      <w:r w:rsidRPr="00C31C3F">
        <w:rPr>
          <w:rFonts w:ascii="Arial" w:hAnsi="Arial" w:cs="Arial"/>
          <w:sz w:val="15"/>
          <w:szCs w:val="15"/>
        </w:rPr>
        <w:t>16 February 2016</w:t>
      </w:r>
      <w:r>
        <w:rPr>
          <w:rFonts w:ascii="Arial" w:hAnsi="Arial" w:cs="Arial"/>
          <w:sz w:val="15"/>
          <w:szCs w:val="15"/>
        </w:rPr>
        <w:t xml:space="preserve">) </w:t>
      </w:r>
      <w:hyperlink r:id="rId17" w:history="1">
        <w:r w:rsidRPr="00C31C3F">
          <w:rPr>
            <w:rStyle w:val="Hyperlink"/>
            <w:rFonts w:ascii="Arial" w:hAnsi="Arial" w:cs="Arial"/>
            <w:sz w:val="15"/>
            <w:szCs w:val="15"/>
          </w:rPr>
          <w:t>Consideration of reports submitted by States parties under articles 16 and 17 of the International Covenant on Economic, Social and Cultural Rights; Fifth periodic reports of States parties due in 2014</w:t>
        </w:r>
      </w:hyperlink>
      <w:r>
        <w:rPr>
          <w:rFonts w:ascii="Arial" w:hAnsi="Arial" w:cs="Arial"/>
          <w:sz w:val="15"/>
          <w:szCs w:val="15"/>
        </w:rPr>
        <w:t xml:space="preserve">, </w:t>
      </w:r>
      <w:r w:rsidRPr="00C31C3F">
        <w:rPr>
          <w:rFonts w:ascii="Arial" w:hAnsi="Arial" w:cs="Arial"/>
          <w:sz w:val="15"/>
          <w:szCs w:val="15"/>
        </w:rPr>
        <w:t>Australia</w:t>
      </w:r>
      <w:r>
        <w:rPr>
          <w:rFonts w:ascii="Arial" w:hAnsi="Arial" w:cs="Arial"/>
          <w:sz w:val="15"/>
          <w:szCs w:val="15"/>
        </w:rPr>
        <w:t xml:space="preserve">. UN Doc No. </w:t>
      </w:r>
      <w:r w:rsidRPr="00CB0F49">
        <w:rPr>
          <w:rFonts w:ascii="Arial" w:hAnsi="Arial" w:cs="Arial"/>
          <w:sz w:val="15"/>
          <w:szCs w:val="15"/>
        </w:rPr>
        <w:t>E/C.12/AUS/5</w:t>
      </w:r>
    </w:p>
    <w:p w14:paraId="750EF2EC" w14:textId="77777777" w:rsidR="008E75DF" w:rsidRPr="00CB0F49" w:rsidRDefault="008E75DF" w:rsidP="008E75DF">
      <w:pPr>
        <w:pStyle w:val="EndnoteText"/>
        <w:rPr>
          <w:rFonts w:ascii="Arial" w:hAnsi="Arial" w:cs="Arial"/>
          <w:sz w:val="15"/>
          <w:szCs w:val="15"/>
          <w:lang w:val="en-AU"/>
        </w:rPr>
      </w:pPr>
    </w:p>
  </w:endnote>
  <w:endnote w:id="16">
    <w:p w14:paraId="245B4FED" w14:textId="77777777" w:rsidR="002340EF" w:rsidRPr="009B75D7" w:rsidRDefault="002340EF" w:rsidP="002340EF">
      <w:pPr>
        <w:pStyle w:val="EndnoteText"/>
        <w:rPr>
          <w:rFonts w:ascii="Arial" w:hAnsi="Arial" w:cs="Arial"/>
          <w:sz w:val="15"/>
          <w:szCs w:val="15"/>
        </w:rPr>
      </w:pPr>
      <w:r w:rsidRPr="00CB0F49">
        <w:rPr>
          <w:rStyle w:val="EndnoteReference"/>
          <w:rFonts w:ascii="Arial" w:hAnsi="Arial" w:cs="Arial"/>
          <w:sz w:val="15"/>
          <w:szCs w:val="15"/>
        </w:rPr>
        <w:endnoteRef/>
      </w:r>
      <w:r w:rsidRPr="00CB0F49">
        <w:rPr>
          <w:rFonts w:ascii="Arial" w:hAnsi="Arial" w:cs="Arial"/>
          <w:sz w:val="15"/>
          <w:szCs w:val="15"/>
        </w:rPr>
        <w:t xml:space="preserve"> </w:t>
      </w:r>
      <w:r w:rsidRPr="009B75D7">
        <w:rPr>
          <w:rFonts w:ascii="Arial" w:hAnsi="Arial" w:cs="Arial"/>
          <w:sz w:val="15"/>
          <w:szCs w:val="15"/>
        </w:rPr>
        <w:t>Committee on Economic, Social and Cultural Rights</w:t>
      </w:r>
      <w:r>
        <w:rPr>
          <w:rFonts w:ascii="Arial" w:hAnsi="Arial" w:cs="Arial"/>
          <w:sz w:val="15"/>
          <w:szCs w:val="15"/>
        </w:rPr>
        <w:t xml:space="preserve">, (11 July 2017) </w:t>
      </w:r>
      <w:hyperlink r:id="rId18" w:history="1">
        <w:r w:rsidRPr="00C31C3F">
          <w:rPr>
            <w:rStyle w:val="Hyperlink"/>
            <w:rFonts w:ascii="Arial" w:hAnsi="Arial" w:cs="Arial"/>
            <w:sz w:val="15"/>
            <w:szCs w:val="15"/>
          </w:rPr>
          <w:t>Concluding observations on the fifth periodic report of Australia</w:t>
        </w:r>
      </w:hyperlink>
      <w:r>
        <w:rPr>
          <w:rFonts w:ascii="Arial" w:hAnsi="Arial" w:cs="Arial"/>
          <w:sz w:val="15"/>
          <w:szCs w:val="15"/>
        </w:rPr>
        <w:t xml:space="preserve">; UN Doc No. </w:t>
      </w:r>
      <w:r w:rsidRPr="00CB0F49">
        <w:rPr>
          <w:rFonts w:ascii="Arial" w:hAnsi="Arial" w:cs="Arial"/>
          <w:sz w:val="15"/>
          <w:szCs w:val="15"/>
        </w:rPr>
        <w:t>E/C.12/AUS/CO/5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7C012" w14:textId="77777777" w:rsidR="00D23C73" w:rsidRDefault="00927830" w:rsidP="00C43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061C6" w14:textId="77777777" w:rsidR="00D23C73" w:rsidRDefault="00A0733B" w:rsidP="00D23C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89A1" w14:textId="77777777" w:rsidR="00D23C73" w:rsidRPr="00D23C73" w:rsidRDefault="00927830" w:rsidP="00C43FC6">
    <w:pPr>
      <w:pStyle w:val="Footer"/>
      <w:framePr w:wrap="around" w:vAnchor="text" w:hAnchor="margin" w:xAlign="right" w:y="1"/>
      <w:rPr>
        <w:rStyle w:val="PageNumber"/>
        <w:rFonts w:ascii="Calibri" w:hAnsi="Calibri"/>
        <w:sz w:val="20"/>
        <w:szCs w:val="20"/>
      </w:rPr>
    </w:pPr>
    <w:r w:rsidRPr="00D23C73">
      <w:rPr>
        <w:rStyle w:val="PageNumber"/>
        <w:rFonts w:ascii="Calibri" w:hAnsi="Calibri"/>
        <w:sz w:val="20"/>
        <w:szCs w:val="20"/>
      </w:rPr>
      <w:fldChar w:fldCharType="begin"/>
    </w:r>
    <w:r w:rsidRPr="00D23C73">
      <w:rPr>
        <w:rStyle w:val="PageNumber"/>
        <w:rFonts w:ascii="Calibri" w:hAnsi="Calibri"/>
        <w:sz w:val="20"/>
        <w:szCs w:val="20"/>
      </w:rPr>
      <w:instrText xml:space="preserve">PAGE  </w:instrText>
    </w:r>
    <w:r w:rsidRPr="00D23C73">
      <w:rPr>
        <w:rStyle w:val="PageNumber"/>
        <w:rFonts w:ascii="Calibri" w:hAnsi="Calibri"/>
        <w:sz w:val="20"/>
        <w:szCs w:val="20"/>
      </w:rPr>
      <w:fldChar w:fldCharType="separate"/>
    </w:r>
    <w:r>
      <w:rPr>
        <w:rStyle w:val="PageNumber"/>
        <w:rFonts w:ascii="Calibri" w:hAnsi="Calibri"/>
        <w:noProof/>
        <w:sz w:val="20"/>
        <w:szCs w:val="20"/>
      </w:rPr>
      <w:t>2</w:t>
    </w:r>
    <w:r w:rsidRPr="00D23C73">
      <w:rPr>
        <w:rStyle w:val="PageNumber"/>
        <w:rFonts w:ascii="Calibri" w:hAnsi="Calibri"/>
        <w:sz w:val="20"/>
        <w:szCs w:val="20"/>
      </w:rPr>
      <w:fldChar w:fldCharType="end"/>
    </w:r>
  </w:p>
  <w:p w14:paraId="3422A939" w14:textId="77777777" w:rsidR="00D23C73" w:rsidRDefault="00A0733B" w:rsidP="00D23C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D5084" w14:textId="77777777" w:rsidR="00A0733B" w:rsidRDefault="00A0733B" w:rsidP="00BB3549">
      <w:r>
        <w:separator/>
      </w:r>
    </w:p>
  </w:footnote>
  <w:footnote w:type="continuationSeparator" w:id="0">
    <w:p w14:paraId="3FFF79DD" w14:textId="77777777" w:rsidR="00A0733B" w:rsidRDefault="00A0733B" w:rsidP="00BB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5C415" w14:textId="1E3CEB3A" w:rsidR="00674930" w:rsidRPr="00187C51" w:rsidRDefault="00927830" w:rsidP="00674930">
    <w:pPr>
      <w:pStyle w:val="Header"/>
      <w:pBdr>
        <w:bottom w:val="single" w:sz="4" w:space="1" w:color="auto"/>
      </w:pBdr>
      <w:jc w:val="center"/>
      <w:rPr>
        <w:rFonts w:ascii="Calibri" w:hAnsi="Calibri"/>
        <w:b/>
        <w:bCs/>
        <w:color w:val="7030A0"/>
        <w:sz w:val="20"/>
        <w:szCs w:val="20"/>
      </w:rPr>
    </w:pPr>
    <w:r w:rsidRPr="00187C51">
      <w:rPr>
        <w:rFonts w:ascii="Calibri" w:hAnsi="Calibri"/>
        <w:b/>
        <w:bCs/>
        <w:color w:val="7030A0"/>
        <w:sz w:val="20"/>
        <w:szCs w:val="20"/>
      </w:rPr>
      <w:t>Disability Rights Now 2019: UN CRPD Review</w:t>
    </w:r>
    <w:r w:rsidR="00F66F4E">
      <w:rPr>
        <w:rFonts w:ascii="Calibri" w:hAnsi="Calibri"/>
        <w:b/>
        <w:bCs/>
        <w:color w:val="7030A0"/>
        <w:sz w:val="20"/>
        <w:szCs w:val="20"/>
      </w:rPr>
      <w:t xml:space="preserve"> of Australia</w:t>
    </w:r>
  </w:p>
  <w:p w14:paraId="14DAFBE2" w14:textId="56246A09" w:rsidR="009F2918" w:rsidRPr="00187C51" w:rsidRDefault="009F2918" w:rsidP="00674930">
    <w:pPr>
      <w:pStyle w:val="Header"/>
      <w:pBdr>
        <w:bottom w:val="single" w:sz="4" w:space="1" w:color="auto"/>
      </w:pBdr>
      <w:jc w:val="center"/>
      <w:rPr>
        <w:rFonts w:ascii="Calibri" w:hAnsi="Calibri"/>
        <w:b/>
        <w:bCs/>
        <w:color w:val="7030A0"/>
        <w:sz w:val="20"/>
        <w:szCs w:val="20"/>
      </w:rPr>
    </w:pPr>
    <w:r w:rsidRPr="00187C51">
      <w:rPr>
        <w:rFonts w:ascii="Calibri" w:hAnsi="Calibri"/>
        <w:b/>
        <w:bCs/>
        <w:color w:val="7030A0"/>
        <w:sz w:val="20"/>
        <w:szCs w:val="20"/>
      </w:rPr>
      <w:t>CRPD Factsheet</w:t>
    </w:r>
  </w:p>
  <w:p w14:paraId="55A02C6C" w14:textId="77777777" w:rsidR="000107BF" w:rsidRPr="00674930" w:rsidRDefault="00A0733B" w:rsidP="00674930">
    <w:pPr>
      <w:pStyle w:val="Header"/>
      <w:pBdr>
        <w:bottom w:val="single" w:sz="4" w:space="1" w:color="auto"/>
      </w:pBdr>
      <w:jc w:val="center"/>
      <w:rPr>
        <w:rFonts w:ascii="Arial" w:hAnsi="Arial" w:cs="Arial"/>
        <w:color w:val="2F5496" w:themeColor="accent1" w:themeShade="B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348"/>
    <w:multiLevelType w:val="hybridMultilevel"/>
    <w:tmpl w:val="4406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762EA"/>
    <w:multiLevelType w:val="hybridMultilevel"/>
    <w:tmpl w:val="3EBE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640A5"/>
    <w:multiLevelType w:val="hybridMultilevel"/>
    <w:tmpl w:val="67CE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B0992"/>
    <w:multiLevelType w:val="multilevel"/>
    <w:tmpl w:val="AADC6E82"/>
    <w:lvl w:ilvl="0">
      <w:start w:val="1"/>
      <w:numFmt w:val="decimal"/>
      <w:pStyle w:val="PFNumLevel1"/>
      <w:lvlText w:val="%1"/>
      <w:lvlJc w:val="left"/>
      <w:pPr>
        <w:tabs>
          <w:tab w:val="num" w:pos="924"/>
        </w:tabs>
        <w:ind w:left="924" w:hanging="924"/>
      </w:pPr>
      <w:rPr>
        <w:rFonts w:hint="default"/>
      </w:r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color w:val="000000"/>
        <w:spacing w:val="0"/>
        <w:w w:val="100"/>
        <w:kern w:val="28"/>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C371CEE"/>
    <w:multiLevelType w:val="hybridMultilevel"/>
    <w:tmpl w:val="F100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27A49"/>
    <w:multiLevelType w:val="hybridMultilevel"/>
    <w:tmpl w:val="1E50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95179"/>
    <w:multiLevelType w:val="hybridMultilevel"/>
    <w:tmpl w:val="2D52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75D02"/>
    <w:multiLevelType w:val="hybridMultilevel"/>
    <w:tmpl w:val="13DA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4198B"/>
    <w:multiLevelType w:val="hybridMultilevel"/>
    <w:tmpl w:val="0114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55692E"/>
    <w:multiLevelType w:val="hybridMultilevel"/>
    <w:tmpl w:val="8CA6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176F3"/>
    <w:multiLevelType w:val="hybridMultilevel"/>
    <w:tmpl w:val="1DDA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32BFB"/>
    <w:multiLevelType w:val="hybridMultilevel"/>
    <w:tmpl w:val="D32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9754A5"/>
    <w:multiLevelType w:val="hybridMultilevel"/>
    <w:tmpl w:val="19A2D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A1A11"/>
    <w:multiLevelType w:val="hybridMultilevel"/>
    <w:tmpl w:val="7724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C04768"/>
    <w:multiLevelType w:val="hybridMultilevel"/>
    <w:tmpl w:val="17DC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C05007"/>
    <w:multiLevelType w:val="hybridMultilevel"/>
    <w:tmpl w:val="209A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4D5F8A"/>
    <w:multiLevelType w:val="hybridMultilevel"/>
    <w:tmpl w:val="78DC17A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CC006F"/>
    <w:multiLevelType w:val="hybridMultilevel"/>
    <w:tmpl w:val="4BE2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17"/>
  </w:num>
  <w:num w:numId="5">
    <w:abstractNumId w:val="10"/>
  </w:num>
  <w:num w:numId="6">
    <w:abstractNumId w:val="9"/>
  </w:num>
  <w:num w:numId="7">
    <w:abstractNumId w:val="0"/>
  </w:num>
  <w:num w:numId="8">
    <w:abstractNumId w:val="4"/>
  </w:num>
  <w:num w:numId="9">
    <w:abstractNumId w:val="6"/>
  </w:num>
  <w:num w:numId="10">
    <w:abstractNumId w:val="11"/>
  </w:num>
  <w:num w:numId="11">
    <w:abstractNumId w:val="7"/>
  </w:num>
  <w:num w:numId="12">
    <w:abstractNumId w:val="16"/>
  </w:num>
  <w:num w:numId="13">
    <w:abstractNumId w:val="1"/>
  </w:num>
  <w:num w:numId="14">
    <w:abstractNumId w:val="13"/>
  </w:num>
  <w:num w:numId="15">
    <w:abstractNumId w:val="15"/>
  </w:num>
  <w:num w:numId="16">
    <w:abstractNumId w:val="3"/>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49"/>
    <w:rsid w:val="00034C6A"/>
    <w:rsid w:val="000354B1"/>
    <w:rsid w:val="000417EB"/>
    <w:rsid w:val="0004457C"/>
    <w:rsid w:val="0006740C"/>
    <w:rsid w:val="00083280"/>
    <w:rsid w:val="000A0BFD"/>
    <w:rsid w:val="000A3A64"/>
    <w:rsid w:val="000F3883"/>
    <w:rsid w:val="001179A2"/>
    <w:rsid w:val="0014294C"/>
    <w:rsid w:val="00172C1A"/>
    <w:rsid w:val="00187C51"/>
    <w:rsid w:val="001A64F7"/>
    <w:rsid w:val="001B6BD5"/>
    <w:rsid w:val="00217030"/>
    <w:rsid w:val="002252B9"/>
    <w:rsid w:val="002340EF"/>
    <w:rsid w:val="00250EA3"/>
    <w:rsid w:val="00257B11"/>
    <w:rsid w:val="002803CA"/>
    <w:rsid w:val="00323DBE"/>
    <w:rsid w:val="003255D8"/>
    <w:rsid w:val="0033420B"/>
    <w:rsid w:val="0035296F"/>
    <w:rsid w:val="00367E9D"/>
    <w:rsid w:val="00382FD5"/>
    <w:rsid w:val="003A0428"/>
    <w:rsid w:val="003F326E"/>
    <w:rsid w:val="004040B5"/>
    <w:rsid w:val="00407CB6"/>
    <w:rsid w:val="00416881"/>
    <w:rsid w:val="00424A34"/>
    <w:rsid w:val="004373E4"/>
    <w:rsid w:val="00450961"/>
    <w:rsid w:val="00472C28"/>
    <w:rsid w:val="0049584F"/>
    <w:rsid w:val="004A201B"/>
    <w:rsid w:val="004B35B0"/>
    <w:rsid w:val="00522502"/>
    <w:rsid w:val="00543CA3"/>
    <w:rsid w:val="00557D1C"/>
    <w:rsid w:val="005613A5"/>
    <w:rsid w:val="0059028E"/>
    <w:rsid w:val="005975CC"/>
    <w:rsid w:val="005A3920"/>
    <w:rsid w:val="005A4AC3"/>
    <w:rsid w:val="006132FE"/>
    <w:rsid w:val="00651033"/>
    <w:rsid w:val="00652B9B"/>
    <w:rsid w:val="006617AD"/>
    <w:rsid w:val="006B0544"/>
    <w:rsid w:val="006C58DC"/>
    <w:rsid w:val="006E135D"/>
    <w:rsid w:val="006F02ED"/>
    <w:rsid w:val="00757771"/>
    <w:rsid w:val="00765A1D"/>
    <w:rsid w:val="007726FF"/>
    <w:rsid w:val="00781112"/>
    <w:rsid w:val="0078306D"/>
    <w:rsid w:val="00785F7E"/>
    <w:rsid w:val="007978FB"/>
    <w:rsid w:val="007A62A0"/>
    <w:rsid w:val="007C35A2"/>
    <w:rsid w:val="008167A7"/>
    <w:rsid w:val="00823121"/>
    <w:rsid w:val="00831317"/>
    <w:rsid w:val="00857E08"/>
    <w:rsid w:val="00860649"/>
    <w:rsid w:val="00872E0C"/>
    <w:rsid w:val="00873682"/>
    <w:rsid w:val="0087575A"/>
    <w:rsid w:val="00884972"/>
    <w:rsid w:val="00891015"/>
    <w:rsid w:val="008A1708"/>
    <w:rsid w:val="008B22D8"/>
    <w:rsid w:val="008E2E29"/>
    <w:rsid w:val="008E5829"/>
    <w:rsid w:val="008E75DF"/>
    <w:rsid w:val="0090754A"/>
    <w:rsid w:val="00927830"/>
    <w:rsid w:val="00927A1B"/>
    <w:rsid w:val="0093016E"/>
    <w:rsid w:val="009513FD"/>
    <w:rsid w:val="00960DB6"/>
    <w:rsid w:val="00974056"/>
    <w:rsid w:val="0098074F"/>
    <w:rsid w:val="00985278"/>
    <w:rsid w:val="009A5D21"/>
    <w:rsid w:val="009B3CFF"/>
    <w:rsid w:val="009B75D7"/>
    <w:rsid w:val="009D3148"/>
    <w:rsid w:val="009E068D"/>
    <w:rsid w:val="009E5CE9"/>
    <w:rsid w:val="009F2918"/>
    <w:rsid w:val="009F2DD7"/>
    <w:rsid w:val="00A0733B"/>
    <w:rsid w:val="00A16939"/>
    <w:rsid w:val="00A20658"/>
    <w:rsid w:val="00A22787"/>
    <w:rsid w:val="00A43A8F"/>
    <w:rsid w:val="00A56F1A"/>
    <w:rsid w:val="00A86644"/>
    <w:rsid w:val="00AA054B"/>
    <w:rsid w:val="00AA2EF5"/>
    <w:rsid w:val="00AD1FDF"/>
    <w:rsid w:val="00AF1400"/>
    <w:rsid w:val="00AF6969"/>
    <w:rsid w:val="00B031A6"/>
    <w:rsid w:val="00B148CA"/>
    <w:rsid w:val="00B163AC"/>
    <w:rsid w:val="00B41377"/>
    <w:rsid w:val="00B44197"/>
    <w:rsid w:val="00B66933"/>
    <w:rsid w:val="00BA3C7A"/>
    <w:rsid w:val="00BB3549"/>
    <w:rsid w:val="00BE1E25"/>
    <w:rsid w:val="00BE549F"/>
    <w:rsid w:val="00C079DF"/>
    <w:rsid w:val="00C10D97"/>
    <w:rsid w:val="00C30F52"/>
    <w:rsid w:val="00C31C3F"/>
    <w:rsid w:val="00CB0F49"/>
    <w:rsid w:val="00CD159E"/>
    <w:rsid w:val="00CD3D10"/>
    <w:rsid w:val="00CE1D73"/>
    <w:rsid w:val="00CE75B2"/>
    <w:rsid w:val="00D00501"/>
    <w:rsid w:val="00D12023"/>
    <w:rsid w:val="00D331C9"/>
    <w:rsid w:val="00D47462"/>
    <w:rsid w:val="00D8738F"/>
    <w:rsid w:val="00D908F6"/>
    <w:rsid w:val="00D90A77"/>
    <w:rsid w:val="00DA1A92"/>
    <w:rsid w:val="00DB1705"/>
    <w:rsid w:val="00E07B16"/>
    <w:rsid w:val="00E1396C"/>
    <w:rsid w:val="00E24191"/>
    <w:rsid w:val="00E43383"/>
    <w:rsid w:val="00E45288"/>
    <w:rsid w:val="00E66943"/>
    <w:rsid w:val="00E905BC"/>
    <w:rsid w:val="00E91605"/>
    <w:rsid w:val="00EE14E9"/>
    <w:rsid w:val="00EE249A"/>
    <w:rsid w:val="00F213FC"/>
    <w:rsid w:val="00F4065B"/>
    <w:rsid w:val="00F616BE"/>
    <w:rsid w:val="00F66F4E"/>
    <w:rsid w:val="00F825C8"/>
    <w:rsid w:val="00F936BA"/>
    <w:rsid w:val="00F973C0"/>
    <w:rsid w:val="00F97A00"/>
    <w:rsid w:val="00FE0B42"/>
    <w:rsid w:val="00FF3799"/>
    <w:rsid w:val="00FF5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3615"/>
  <w15:chartTrackingRefBased/>
  <w15:docId w15:val="{D3F0A78C-3872-4740-9824-81543A92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3549"/>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BB35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549"/>
    <w:rPr>
      <w:rFonts w:asciiTheme="majorHAnsi" w:eastAsiaTheme="majorEastAsia" w:hAnsiTheme="majorHAnsi" w:cstheme="majorBidi"/>
      <w:color w:val="2F5496" w:themeColor="accent1" w:themeShade="BF"/>
      <w:sz w:val="32"/>
      <w:szCs w:val="32"/>
      <w:bdr w:val="nil"/>
      <w:lang w:val="en-US"/>
    </w:rPr>
  </w:style>
  <w:style w:type="paragraph" w:styleId="Header">
    <w:name w:val="header"/>
    <w:basedOn w:val="Normal"/>
    <w:link w:val="HeaderChar"/>
    <w:uiPriority w:val="99"/>
    <w:unhideWhenUsed/>
    <w:rsid w:val="00BB3549"/>
    <w:pPr>
      <w:tabs>
        <w:tab w:val="center" w:pos="4513"/>
        <w:tab w:val="right" w:pos="9026"/>
      </w:tabs>
    </w:pPr>
  </w:style>
  <w:style w:type="character" w:customStyle="1" w:styleId="HeaderChar">
    <w:name w:val="Header Char"/>
    <w:basedOn w:val="DefaultParagraphFont"/>
    <w:link w:val="Header"/>
    <w:uiPriority w:val="99"/>
    <w:rsid w:val="00BB3549"/>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BB3549"/>
    <w:pPr>
      <w:tabs>
        <w:tab w:val="center" w:pos="4513"/>
        <w:tab w:val="right" w:pos="9026"/>
      </w:tabs>
    </w:pPr>
  </w:style>
  <w:style w:type="character" w:customStyle="1" w:styleId="FooterChar">
    <w:name w:val="Footer Char"/>
    <w:basedOn w:val="DefaultParagraphFont"/>
    <w:link w:val="Footer"/>
    <w:uiPriority w:val="99"/>
    <w:rsid w:val="00BB3549"/>
    <w:rPr>
      <w:rFonts w:ascii="Times New Roman" w:eastAsia="Arial Unicode MS" w:hAnsi="Times New Roman" w:cs="Times New Roman"/>
      <w:bdr w:val="nil"/>
      <w:lang w:val="en-US"/>
    </w:rPr>
  </w:style>
  <w:style w:type="character" w:styleId="Hyperlink">
    <w:name w:val="Hyperlink"/>
    <w:uiPriority w:val="99"/>
    <w:rsid w:val="00BB3549"/>
    <w:rPr>
      <w:u w:val="single"/>
    </w:rPr>
  </w:style>
  <w:style w:type="paragraph" w:styleId="ListParagraph">
    <w:name w:val="List Paragraph"/>
    <w:basedOn w:val="Normal"/>
    <w:uiPriority w:val="34"/>
    <w:qFormat/>
    <w:rsid w:val="00BB35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AU"/>
    </w:rPr>
  </w:style>
  <w:style w:type="paragraph" w:styleId="EndnoteText">
    <w:name w:val="endnote text"/>
    <w:basedOn w:val="Normal"/>
    <w:link w:val="EndnoteTextChar"/>
    <w:uiPriority w:val="99"/>
    <w:unhideWhenUsed/>
    <w:rsid w:val="00BB3549"/>
    <w:rPr>
      <w:sz w:val="20"/>
      <w:szCs w:val="20"/>
    </w:rPr>
  </w:style>
  <w:style w:type="character" w:customStyle="1" w:styleId="EndnoteTextChar">
    <w:name w:val="Endnote Text Char"/>
    <w:basedOn w:val="DefaultParagraphFont"/>
    <w:link w:val="EndnoteText"/>
    <w:uiPriority w:val="99"/>
    <w:rsid w:val="00BB3549"/>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BB3549"/>
    <w:rPr>
      <w:vertAlign w:val="superscript"/>
    </w:rPr>
  </w:style>
  <w:style w:type="character" w:styleId="PageNumber">
    <w:name w:val="page number"/>
    <w:basedOn w:val="DefaultParagraphFont"/>
    <w:uiPriority w:val="99"/>
    <w:semiHidden/>
    <w:unhideWhenUsed/>
    <w:rsid w:val="00BB3549"/>
  </w:style>
  <w:style w:type="character" w:customStyle="1" w:styleId="apple-converted-space">
    <w:name w:val="apple-converted-space"/>
    <w:basedOn w:val="DefaultParagraphFont"/>
    <w:rsid w:val="00BB3549"/>
  </w:style>
  <w:style w:type="character" w:styleId="UnresolvedMention">
    <w:name w:val="Unresolved Mention"/>
    <w:basedOn w:val="DefaultParagraphFont"/>
    <w:uiPriority w:val="99"/>
    <w:semiHidden/>
    <w:unhideWhenUsed/>
    <w:rsid w:val="00831317"/>
    <w:rPr>
      <w:color w:val="605E5C"/>
      <w:shd w:val="clear" w:color="auto" w:fill="E1DFDD"/>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qFormat/>
    <w:rsid w:val="006132FE"/>
    <w:rPr>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6132FE"/>
    <w:rPr>
      <w:rFonts w:ascii="Times New Roman" w:eastAsia="Arial Unicode MS" w:hAnsi="Times New Roman" w:cs="Times New Roman"/>
      <w:sz w:val="20"/>
      <w:szCs w:val="20"/>
      <w:bdr w:val="nil"/>
      <w:lang w:val="en-US"/>
    </w:rPr>
  </w:style>
  <w:style w:type="character" w:styleId="FootnoteReference">
    <w:name w:val="footnote reference"/>
    <w:aliases w:val="4_G,Footnotes refss,Footnote number,Footnote,Ref,de nota al pie,opcalrc,callout,NO,4_G Char Char Char Char,Footnotes refss Char Char Char Char,ftref Char Char Char Char,BVI fnr Char Char Char Char,BVI fnr Car Car Char Char Char Char"/>
    <w:basedOn w:val="DefaultParagraphFont"/>
    <w:link w:val="4GCharCharChar"/>
    <w:uiPriority w:val="99"/>
    <w:unhideWhenUsed/>
    <w:rsid w:val="006132FE"/>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417E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asciiTheme="minorHAnsi" w:eastAsiaTheme="minorHAnsi" w:hAnsiTheme="minorHAnsi" w:cstheme="minorBidi"/>
      <w:bdr w:val="none" w:sz="0" w:space="0" w:color="auto"/>
      <w:vertAlign w:val="superscript"/>
      <w:lang w:val="en-AU"/>
    </w:rPr>
  </w:style>
  <w:style w:type="paragraph" w:styleId="NormalWeb">
    <w:name w:val="Normal (Web)"/>
    <w:basedOn w:val="Normal"/>
    <w:uiPriority w:val="99"/>
    <w:semiHidden/>
    <w:unhideWhenUsed/>
    <w:rsid w:val="004040B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eastAsiaTheme="minorHAnsi"/>
      <w:bdr w:val="none" w:sz="0" w:space="0" w:color="auto"/>
      <w:lang w:val="en-AU"/>
    </w:rPr>
  </w:style>
  <w:style w:type="paragraph" w:customStyle="1" w:styleId="PFNumLevel4">
    <w:name w:val="PF (Num) Level 4"/>
    <w:basedOn w:val="Normal"/>
    <w:rsid w:val="00A16939"/>
    <w:pPr>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3697"/>
      </w:tabs>
      <w:spacing w:before="120" w:after="120" w:line="276" w:lineRule="auto"/>
      <w:ind w:left="1702" w:hanging="851"/>
    </w:pPr>
    <w:rPr>
      <w:rFonts w:ascii="Calibri" w:eastAsia="Times New Roman" w:hAnsi="Calibri" w:cs="Calibri"/>
      <w:color w:val="000000"/>
      <w:sz w:val="22"/>
      <w:szCs w:val="20"/>
      <w:bdr w:val="none" w:sz="0" w:space="0" w:color="auto"/>
      <w:lang w:val="en-AU"/>
    </w:rPr>
  </w:style>
  <w:style w:type="paragraph" w:customStyle="1" w:styleId="PFNumLevel1">
    <w:name w:val="PF (Num) Level 1"/>
    <w:basedOn w:val="Normal"/>
    <w:rsid w:val="00A16939"/>
    <w:pPr>
      <w:numPr>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924"/>
        <w:tab w:val="left" w:pos="851"/>
      </w:tabs>
      <w:spacing w:before="240" w:after="120" w:line="276" w:lineRule="auto"/>
      <w:ind w:left="851" w:hanging="851"/>
      <w:outlineLvl w:val="0"/>
    </w:pPr>
    <w:rPr>
      <w:rFonts w:ascii="Calibri" w:eastAsia="Times New Roman" w:hAnsi="Calibri" w:cs="Calibri"/>
      <w:color w:val="000000"/>
      <w:kern w:val="28"/>
      <w:sz w:val="22"/>
      <w:szCs w:val="20"/>
      <w:bdr w:val="none" w:sz="0" w:space="0" w:color="auto"/>
      <w:lang w:val="x-none" w:eastAsia="en-AU"/>
    </w:rPr>
  </w:style>
  <w:style w:type="character" w:styleId="FollowedHyperlink">
    <w:name w:val="FollowedHyperlink"/>
    <w:basedOn w:val="DefaultParagraphFont"/>
    <w:uiPriority w:val="99"/>
    <w:semiHidden/>
    <w:unhideWhenUsed/>
    <w:rsid w:val="009513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humanrights.gov.au/sites/default/files/document/publication/KA%20KB%20KC%20KD%20v%20Commonwealth%202014%20AusHRC%2080_WEB.pdf" TargetMode="External"/><Relationship Id="rId13" Type="http://schemas.openxmlformats.org/officeDocument/2006/relationships/hyperlink" Target="http://static1.squarespace.com/static/580025f66b8f5b2dabbe4291/581699b035a11a8bfc26b877/58169ac135a11a8bfc26d290/1477876417788/Aus-voluntary-commitments.pdf?format=original" TargetMode="External"/><Relationship Id="rId18" Type="http://schemas.openxmlformats.org/officeDocument/2006/relationships/hyperlink" Target="https://undocs.org/en/E/C.12/AUS/CO/5" TargetMode="External"/><Relationship Id="rId3" Type="http://schemas.openxmlformats.org/officeDocument/2006/relationships/hyperlink" Target="https://www.alrc.gov.au/sites/default/files/pdfs/publications/alrc_124_whole_pdf_file.pdf" TargetMode="External"/><Relationship Id="rId7" Type="http://schemas.openxmlformats.org/officeDocument/2006/relationships/hyperlink" Target="https://www.mhdcd.unsw.edu.au/sites/www.mhdcd.unsw.edu.au/files/u18/pdf/a_predictable_and_preventable_path_2nov15.pdf" TargetMode="External"/><Relationship Id="rId12" Type="http://schemas.openxmlformats.org/officeDocument/2006/relationships/hyperlink" Target="https://www.ag.gov.au/RightsAndProtections/HumanRights/United-Nations-Human-Rights-Reporting/Pages/Australias-Universal-Periodic-Review.aspx" TargetMode="External"/><Relationship Id="rId17" Type="http://schemas.openxmlformats.org/officeDocument/2006/relationships/hyperlink" Target="https://undocs.org/en/E/C.12/AUS/5" TargetMode="External"/><Relationship Id="rId2" Type="http://schemas.openxmlformats.org/officeDocument/2006/relationships/hyperlink" Target="https://www.humanrights.gov.au/sites/default/files/AHRC_Submission_on_indefinite_detention2016.pdf" TargetMode="External"/><Relationship Id="rId16" Type="http://schemas.openxmlformats.org/officeDocument/2006/relationships/hyperlink" Target="https://www.homeaffairs.gov.au/help-and-support/how-to-engage-us/committees-and-fora/ministerial-council-police-emergency-management" TargetMode="External"/><Relationship Id="rId1" Type="http://schemas.openxmlformats.org/officeDocument/2006/relationships/hyperlink" Target="https://www.alrc.gov.au/sites/default/files/pdfs/publications/alrc_124_whole_pdf_file.pdf" TargetMode="External"/><Relationship Id="rId6" Type="http://schemas.openxmlformats.org/officeDocument/2006/relationships/hyperlink" Target="http://www.disabilityjustice.edu.au/wp-content/uploads/2016/05/NoEndinSight.pdf" TargetMode="External"/><Relationship Id="rId11" Type="http://schemas.openxmlformats.org/officeDocument/2006/relationships/hyperlink" Target="https://www.aph.gov.au/Parliamentary_Business/Committees/Senate/Community_Affairs/IndefiniteDetention45/Report" TargetMode="External"/><Relationship Id="rId5" Type="http://schemas.openxmlformats.org/officeDocument/2006/relationships/hyperlink" Target="https://www.aph.gov.au/Parliamentary_Business/Committees/Senate/Community_Affairs/IndefiniteDetention45/Report" TargetMode="External"/><Relationship Id="rId15" Type="http://schemas.openxmlformats.org/officeDocument/2006/relationships/hyperlink" Target="https://www.ag.gov.au/About/CommitteesandCouncils/Council-of-Attorneys-General/Pages/default.aspx" TargetMode="External"/><Relationship Id="rId10" Type="http://schemas.openxmlformats.org/officeDocument/2006/relationships/hyperlink" Target="https://www.aph.gov.au/Parliamentary_Business/Committees/Senate/Community_Affairs/IndefiniteDetention45/Report" TargetMode="External"/><Relationship Id="rId4" Type="http://schemas.openxmlformats.org/officeDocument/2006/relationships/hyperlink" Target="http://fpdn.org.au/wp-content/uploads/2016/10/FPDN-Senate-Inquiry-Indefinite-Detention-Submission_Final.pdf" TargetMode="External"/><Relationship Id="rId9" Type="http://schemas.openxmlformats.org/officeDocument/2006/relationships/hyperlink" Target="https://www.abc.net.au/news/2019-06-18/boy-held-completely-naked-in-prison-watch-house-for-days/11207734" TargetMode="External"/><Relationship Id="rId14" Type="http://schemas.openxmlformats.org/officeDocument/2006/relationships/hyperlink" Target="https://www.lawcouncil.asn.au/policy-agenda/human-rights/australias-international-human-rights-oblig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4C432-1A67-3044-9C69-A7ACAA8E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Carolyn Frohmader</cp:lastModifiedBy>
  <cp:revision>2</cp:revision>
  <cp:lastPrinted>2019-08-06T04:23:00Z</cp:lastPrinted>
  <dcterms:created xsi:type="dcterms:W3CDTF">2019-08-14T01:28:00Z</dcterms:created>
  <dcterms:modified xsi:type="dcterms:W3CDTF">2019-08-14T01:28:00Z</dcterms:modified>
</cp:coreProperties>
</file>