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A0A6C" w:rsidRDefault="004638C1">
      <w:pPr>
        <w:pStyle w:val="BodyText"/>
        <w:ind w:left="0"/>
        <w:rPr>
          <w:rFonts w:ascii="Times New Roman"/>
          <w:sz w:val="20"/>
        </w:rPr>
      </w:pPr>
      <w:r>
        <w:pict>
          <v:group id="_x0000_s1040" alt="" style="position:absolute;margin-left:0;margin-top:0;width:595.3pt;height:841.9pt;z-index:-251662848;mso-position-horizontal-relative:page;mso-position-vertical-relative:page" coordsize="11906,16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alt="" style="position:absolute;width:11906;height:16838">
              <v:imagedata r:id="rId8" o:title=""/>
            </v:shape>
            <v:shape id="_x0000_s1042" alt="" style="position:absolute;top:5319;width:11906;height:11519" coordorigin=",5320" coordsize="11906,11519" o:spt="100" adj="0,,0" path="m11906,14683l,14683r,2155l11906,16838r,-2155m11906,5320l,5320r,5026l11906,10346r,-5026e" stroked="f">
              <v:stroke joinstyle="round"/>
              <v:formulas/>
              <v:path arrowok="t" o:connecttype="segments"/>
            </v:shape>
            <w10:wrap anchorx="page" anchory="page"/>
          </v:group>
        </w:pict>
      </w:r>
    </w:p>
    <w:p w:rsidR="007A0A6C" w:rsidRDefault="007A0A6C">
      <w:pPr>
        <w:pStyle w:val="BodyText"/>
        <w:ind w:left="0"/>
        <w:rPr>
          <w:rFonts w:ascii="Times New Roman"/>
          <w:sz w:val="20"/>
        </w:rPr>
      </w:pPr>
    </w:p>
    <w:p w:rsidR="007A0A6C" w:rsidRDefault="007A0A6C">
      <w:pPr>
        <w:pStyle w:val="BodyText"/>
        <w:ind w:left="0"/>
        <w:rPr>
          <w:rFonts w:ascii="Times New Roman"/>
          <w:sz w:val="20"/>
        </w:rPr>
      </w:pPr>
    </w:p>
    <w:p w:rsidR="007A0A6C" w:rsidRDefault="007A0A6C">
      <w:pPr>
        <w:pStyle w:val="BodyText"/>
        <w:ind w:left="0"/>
        <w:rPr>
          <w:rFonts w:ascii="Times New Roman"/>
          <w:sz w:val="20"/>
        </w:rPr>
      </w:pPr>
    </w:p>
    <w:p w:rsidR="007A0A6C" w:rsidRDefault="007A0A6C">
      <w:pPr>
        <w:pStyle w:val="BodyText"/>
        <w:ind w:left="0"/>
        <w:rPr>
          <w:rFonts w:ascii="Times New Roman"/>
          <w:sz w:val="20"/>
        </w:rPr>
      </w:pPr>
    </w:p>
    <w:p w:rsidR="007A0A6C" w:rsidRDefault="007A0A6C">
      <w:pPr>
        <w:pStyle w:val="BodyText"/>
        <w:ind w:left="0"/>
        <w:rPr>
          <w:rFonts w:ascii="Times New Roman"/>
          <w:sz w:val="20"/>
        </w:rPr>
      </w:pPr>
    </w:p>
    <w:p w:rsidR="007A0A6C" w:rsidRDefault="007A0A6C">
      <w:pPr>
        <w:pStyle w:val="BodyText"/>
        <w:ind w:left="0"/>
        <w:rPr>
          <w:rFonts w:ascii="Times New Roman"/>
          <w:sz w:val="20"/>
        </w:rPr>
      </w:pPr>
    </w:p>
    <w:p w:rsidR="007A0A6C" w:rsidRDefault="007A0A6C">
      <w:pPr>
        <w:pStyle w:val="BodyText"/>
        <w:ind w:left="0"/>
        <w:rPr>
          <w:rFonts w:ascii="Times New Roman"/>
          <w:sz w:val="20"/>
        </w:rPr>
      </w:pPr>
    </w:p>
    <w:p w:rsidR="007A0A6C" w:rsidRDefault="007A0A6C">
      <w:pPr>
        <w:pStyle w:val="BodyText"/>
        <w:ind w:left="0"/>
        <w:rPr>
          <w:rFonts w:ascii="Times New Roman"/>
          <w:sz w:val="20"/>
        </w:rPr>
      </w:pPr>
    </w:p>
    <w:p w:rsidR="007A0A6C" w:rsidRDefault="007A0A6C">
      <w:pPr>
        <w:pStyle w:val="BodyText"/>
        <w:ind w:left="0"/>
        <w:rPr>
          <w:rFonts w:ascii="Times New Roman"/>
          <w:sz w:val="20"/>
        </w:rPr>
      </w:pPr>
    </w:p>
    <w:p w:rsidR="007A0A6C" w:rsidRDefault="007A0A6C">
      <w:pPr>
        <w:pStyle w:val="BodyText"/>
        <w:ind w:left="0"/>
        <w:rPr>
          <w:rFonts w:ascii="Times New Roman"/>
          <w:sz w:val="20"/>
        </w:rPr>
      </w:pPr>
    </w:p>
    <w:p w:rsidR="007A0A6C" w:rsidRDefault="007A0A6C">
      <w:pPr>
        <w:pStyle w:val="BodyText"/>
        <w:ind w:left="0"/>
        <w:rPr>
          <w:rFonts w:ascii="Times New Roman"/>
          <w:sz w:val="20"/>
        </w:rPr>
      </w:pPr>
    </w:p>
    <w:p w:rsidR="007A0A6C" w:rsidRDefault="007A0A6C">
      <w:pPr>
        <w:pStyle w:val="BodyText"/>
        <w:ind w:left="0"/>
        <w:rPr>
          <w:rFonts w:ascii="Times New Roman"/>
          <w:sz w:val="20"/>
        </w:rPr>
      </w:pPr>
    </w:p>
    <w:p w:rsidR="007A0A6C" w:rsidRDefault="007A0A6C">
      <w:pPr>
        <w:pStyle w:val="BodyText"/>
        <w:ind w:left="0"/>
        <w:rPr>
          <w:rFonts w:ascii="Times New Roman"/>
          <w:sz w:val="20"/>
        </w:rPr>
      </w:pPr>
    </w:p>
    <w:p w:rsidR="007A0A6C" w:rsidRDefault="007A0A6C">
      <w:pPr>
        <w:pStyle w:val="BodyText"/>
        <w:ind w:left="0"/>
        <w:rPr>
          <w:rFonts w:ascii="Times New Roman"/>
          <w:sz w:val="20"/>
        </w:rPr>
      </w:pPr>
    </w:p>
    <w:p w:rsidR="007A0A6C" w:rsidRDefault="007A0A6C">
      <w:pPr>
        <w:pStyle w:val="BodyText"/>
        <w:ind w:left="0"/>
        <w:rPr>
          <w:rFonts w:ascii="Times New Roman"/>
          <w:sz w:val="20"/>
        </w:rPr>
      </w:pPr>
    </w:p>
    <w:p w:rsidR="007A0A6C" w:rsidRDefault="007A0A6C">
      <w:pPr>
        <w:pStyle w:val="BodyText"/>
        <w:ind w:left="0"/>
        <w:rPr>
          <w:rFonts w:ascii="Times New Roman"/>
          <w:sz w:val="20"/>
        </w:rPr>
      </w:pPr>
    </w:p>
    <w:p w:rsidR="007A0A6C" w:rsidRDefault="00660E26">
      <w:pPr>
        <w:spacing w:before="227"/>
        <w:ind w:left="113"/>
        <w:rPr>
          <w:rFonts w:ascii="Raleway-ExtraBold"/>
          <w:b/>
          <w:sz w:val="82"/>
        </w:rPr>
      </w:pPr>
      <w:r>
        <w:rPr>
          <w:rFonts w:ascii="Raleway-ExtraBold"/>
          <w:b/>
          <w:color w:val="B31D30"/>
          <w:sz w:val="82"/>
        </w:rPr>
        <w:t xml:space="preserve">Disability Rights </w:t>
      </w:r>
      <w:r>
        <w:rPr>
          <w:rFonts w:ascii="Raleway-ExtraBold"/>
          <w:b/>
          <w:color w:val="B31D30"/>
          <w:spacing w:val="-8"/>
          <w:sz w:val="82"/>
        </w:rPr>
        <w:t xml:space="preserve">Now </w:t>
      </w:r>
      <w:r>
        <w:rPr>
          <w:rFonts w:ascii="Raleway-ExtraBold"/>
          <w:b/>
          <w:color w:val="B31D30"/>
          <w:sz w:val="82"/>
        </w:rPr>
        <w:t>2019</w:t>
      </w:r>
    </w:p>
    <w:p w:rsidR="007A0A6C" w:rsidRDefault="00660E26">
      <w:pPr>
        <w:pStyle w:val="Heading2"/>
        <w:spacing w:before="7"/>
        <w:ind w:left="113"/>
        <w:rPr>
          <w:rFonts w:ascii="Raleway-ExtraBold"/>
        </w:rPr>
      </w:pPr>
      <w:r>
        <w:rPr>
          <w:rFonts w:ascii="Raleway-ExtraBold"/>
          <w:color w:val="B31D30"/>
        </w:rPr>
        <w:t>(Derechos de las personas con discapacidad en la actualidad</w:t>
      </w:r>
      <w:r>
        <w:rPr>
          <w:rFonts w:ascii="Raleway-ExtraBold"/>
          <w:color w:val="B31D30"/>
          <w:spacing w:val="-11"/>
        </w:rPr>
        <w:t xml:space="preserve"> </w:t>
      </w:r>
      <w:r>
        <w:rPr>
          <w:rFonts w:ascii="Raleway-ExtraBold"/>
          <w:color w:val="B31D30"/>
        </w:rPr>
        <w:t>2019)</w:t>
      </w:r>
    </w:p>
    <w:p w:rsidR="009759E1" w:rsidRPr="009759E1" w:rsidRDefault="00660E26" w:rsidP="009759E1">
      <w:pPr>
        <w:spacing w:before="131"/>
        <w:ind w:left="124" w:right="247"/>
        <w:rPr>
          <w:rFonts w:ascii="Raleway-SemiBold" w:hAnsi="Raleway-SemiBold"/>
          <w:b/>
          <w:sz w:val="40"/>
          <w:szCs w:val="21"/>
        </w:rPr>
      </w:pPr>
      <w:r w:rsidRPr="009759E1">
        <w:rPr>
          <w:rFonts w:ascii="Raleway-SemiBold" w:hAnsi="Raleway-SemiBold"/>
          <w:b/>
          <w:sz w:val="40"/>
          <w:szCs w:val="21"/>
        </w:rPr>
        <w:t xml:space="preserve">Informe Paralelo de la Sociedad Civil Australiana </w:t>
      </w:r>
      <w:r w:rsidRPr="009759E1">
        <w:rPr>
          <w:rFonts w:ascii="Raleway-SemiBold" w:hAnsi="Raleway-SemiBold"/>
          <w:b/>
          <w:spacing w:val="-3"/>
          <w:sz w:val="40"/>
          <w:szCs w:val="21"/>
        </w:rPr>
        <w:t xml:space="preserve">relativo </w:t>
      </w:r>
      <w:r w:rsidRPr="009759E1">
        <w:rPr>
          <w:rFonts w:ascii="Raleway-SemiBold" w:hAnsi="Raleway-SemiBold"/>
          <w:b/>
          <w:sz w:val="40"/>
          <w:szCs w:val="21"/>
        </w:rPr>
        <w:t xml:space="preserve">a la Convención de las Naciones Unidas </w:t>
      </w:r>
      <w:r w:rsidRPr="009759E1">
        <w:rPr>
          <w:rFonts w:ascii="Raleway-SemiBold" w:hAnsi="Raleway-SemiBold"/>
          <w:b/>
          <w:spacing w:val="-6"/>
          <w:sz w:val="40"/>
          <w:szCs w:val="21"/>
        </w:rPr>
        <w:t xml:space="preserve">sobre </w:t>
      </w:r>
      <w:r w:rsidRPr="009759E1">
        <w:rPr>
          <w:rFonts w:ascii="Raleway-SemiBold" w:hAnsi="Raleway-SemiBold"/>
          <w:b/>
          <w:sz w:val="40"/>
          <w:szCs w:val="21"/>
        </w:rPr>
        <w:t>los Derechos de las Personas con Discapacidad: Revisión de la CRPD de las Naciones Unidas de</w:t>
      </w:r>
      <w:r w:rsidRPr="009759E1">
        <w:rPr>
          <w:rFonts w:ascii="Raleway-SemiBold" w:hAnsi="Raleway-SemiBold"/>
          <w:b/>
          <w:spacing w:val="-12"/>
          <w:sz w:val="40"/>
          <w:szCs w:val="21"/>
        </w:rPr>
        <w:t xml:space="preserve"> </w:t>
      </w:r>
      <w:r w:rsidRPr="009759E1">
        <w:rPr>
          <w:rFonts w:ascii="Raleway-SemiBold" w:hAnsi="Raleway-SemiBold"/>
          <w:b/>
          <w:sz w:val="40"/>
          <w:szCs w:val="21"/>
        </w:rPr>
        <w:t>2019</w:t>
      </w:r>
    </w:p>
    <w:p w:rsidR="007A0A6C" w:rsidRPr="009759E1" w:rsidRDefault="00660E26" w:rsidP="009759E1">
      <w:pPr>
        <w:spacing w:before="131"/>
        <w:ind w:left="124" w:right="247"/>
        <w:rPr>
          <w:rFonts w:ascii="Raleway-SemiBold" w:hAnsi="Raleway-SemiBold"/>
          <w:b/>
          <w:sz w:val="40"/>
          <w:szCs w:val="21"/>
        </w:rPr>
      </w:pPr>
      <w:r w:rsidRPr="009759E1">
        <w:rPr>
          <w:rFonts w:ascii="Raleway-SemiBold" w:hAnsi="Raleway-SemiBold"/>
          <w:b/>
          <w:spacing w:val="-4"/>
          <w:sz w:val="28"/>
          <w:szCs w:val="21"/>
        </w:rPr>
        <w:t xml:space="preserve">En </w:t>
      </w:r>
      <w:r w:rsidRPr="009759E1">
        <w:rPr>
          <w:rFonts w:ascii="Raleway-SemiBold" w:hAnsi="Raleway-SemiBold"/>
          <w:b/>
          <w:spacing w:val="-7"/>
          <w:sz w:val="28"/>
          <w:szCs w:val="21"/>
        </w:rPr>
        <w:t xml:space="preserve">respuesta </w:t>
      </w:r>
      <w:r w:rsidRPr="009759E1">
        <w:rPr>
          <w:rFonts w:ascii="Raleway-SemiBold" w:hAnsi="Raleway-SemiBold"/>
          <w:b/>
          <w:sz w:val="28"/>
          <w:szCs w:val="21"/>
        </w:rPr>
        <w:t xml:space="preserve">a </w:t>
      </w:r>
      <w:r w:rsidRPr="009759E1">
        <w:rPr>
          <w:rFonts w:ascii="Raleway-SemiBold" w:hAnsi="Raleway-SemiBold"/>
          <w:b/>
          <w:spacing w:val="-3"/>
          <w:sz w:val="28"/>
          <w:szCs w:val="21"/>
        </w:rPr>
        <w:t xml:space="preserve">la </w:t>
      </w:r>
      <w:r w:rsidRPr="009759E1">
        <w:rPr>
          <w:rFonts w:ascii="Raleway-SemiBold" w:hAnsi="Raleway-SemiBold"/>
          <w:b/>
          <w:spacing w:val="-5"/>
          <w:sz w:val="28"/>
          <w:szCs w:val="21"/>
        </w:rPr>
        <w:t xml:space="preserve">Lista </w:t>
      </w:r>
      <w:r w:rsidRPr="009759E1">
        <w:rPr>
          <w:rFonts w:ascii="Raleway-SemiBold" w:hAnsi="Raleway-SemiBold"/>
          <w:b/>
          <w:spacing w:val="-3"/>
          <w:sz w:val="28"/>
          <w:szCs w:val="21"/>
        </w:rPr>
        <w:t xml:space="preserve">de </w:t>
      </w:r>
      <w:r w:rsidRPr="009759E1">
        <w:rPr>
          <w:rFonts w:ascii="Raleway-SemiBold" w:hAnsi="Raleway-SemiBold"/>
          <w:b/>
          <w:spacing w:val="-6"/>
          <w:sz w:val="28"/>
          <w:szCs w:val="21"/>
        </w:rPr>
        <w:t xml:space="preserve">temas </w:t>
      </w:r>
      <w:r w:rsidRPr="009759E1">
        <w:rPr>
          <w:rFonts w:ascii="Raleway-SemiBold" w:hAnsi="Raleway-SemiBold"/>
          <w:b/>
          <w:spacing w:val="-8"/>
          <w:sz w:val="28"/>
          <w:szCs w:val="21"/>
        </w:rPr>
        <w:t xml:space="preserve">previa </w:t>
      </w:r>
      <w:r w:rsidRPr="009759E1">
        <w:rPr>
          <w:rFonts w:ascii="Raleway-SemiBold" w:hAnsi="Raleway-SemiBold"/>
          <w:b/>
          <w:sz w:val="28"/>
          <w:szCs w:val="21"/>
        </w:rPr>
        <w:t xml:space="preserve">a </w:t>
      </w:r>
      <w:r w:rsidRPr="009759E1">
        <w:rPr>
          <w:rFonts w:ascii="Raleway-SemiBold" w:hAnsi="Raleway-SemiBold"/>
          <w:b/>
          <w:spacing w:val="-3"/>
          <w:sz w:val="28"/>
          <w:szCs w:val="21"/>
        </w:rPr>
        <w:t xml:space="preserve">la </w:t>
      </w:r>
      <w:r w:rsidRPr="009759E1">
        <w:rPr>
          <w:rFonts w:ascii="Raleway-SemiBold" w:hAnsi="Raleway-SemiBold"/>
          <w:b/>
          <w:spacing w:val="-7"/>
          <w:sz w:val="28"/>
          <w:szCs w:val="21"/>
        </w:rPr>
        <w:t xml:space="preserve">presentación </w:t>
      </w:r>
      <w:r w:rsidRPr="009759E1">
        <w:rPr>
          <w:rFonts w:ascii="Raleway-SemiBold" w:hAnsi="Raleway-SemiBold"/>
          <w:b/>
          <w:spacing w:val="-3"/>
          <w:sz w:val="28"/>
          <w:szCs w:val="21"/>
        </w:rPr>
        <w:t xml:space="preserve">de </w:t>
      </w:r>
      <w:r w:rsidRPr="009759E1">
        <w:rPr>
          <w:rFonts w:ascii="Raleway-SemiBold" w:hAnsi="Raleway-SemiBold"/>
          <w:b/>
          <w:spacing w:val="-4"/>
          <w:sz w:val="28"/>
          <w:szCs w:val="21"/>
        </w:rPr>
        <w:t xml:space="preserve">los </w:t>
      </w:r>
      <w:r w:rsidRPr="009759E1">
        <w:rPr>
          <w:rFonts w:ascii="Raleway-SemiBold" w:hAnsi="Raleway-SemiBold"/>
          <w:b/>
          <w:spacing w:val="-6"/>
          <w:sz w:val="28"/>
          <w:szCs w:val="21"/>
        </w:rPr>
        <w:t xml:space="preserve">segundos </w:t>
      </w:r>
      <w:r w:rsidRPr="009759E1">
        <w:rPr>
          <w:rFonts w:ascii="Raleway-SemiBold" w:hAnsi="Raleway-SemiBold"/>
          <w:b/>
          <w:sz w:val="28"/>
          <w:szCs w:val="21"/>
        </w:rPr>
        <w:t xml:space="preserve">y </w:t>
      </w:r>
      <w:r w:rsidRPr="009759E1">
        <w:rPr>
          <w:rFonts w:ascii="Raleway-SemiBold" w:hAnsi="Raleway-SemiBold"/>
          <w:b/>
          <w:spacing w:val="-8"/>
          <w:sz w:val="28"/>
          <w:szCs w:val="21"/>
        </w:rPr>
        <w:t xml:space="preserve">terceros </w:t>
      </w:r>
      <w:r w:rsidRPr="009759E1">
        <w:rPr>
          <w:rFonts w:ascii="Raleway-SemiBold" w:hAnsi="Raleway-SemiBold"/>
          <w:b/>
          <w:spacing w:val="-7"/>
          <w:sz w:val="28"/>
          <w:szCs w:val="21"/>
        </w:rPr>
        <w:t xml:space="preserve">informes </w:t>
      </w:r>
      <w:r w:rsidRPr="009759E1">
        <w:rPr>
          <w:rFonts w:ascii="Raleway-SemiBold" w:hAnsi="Raleway-SemiBold"/>
          <w:b/>
          <w:spacing w:val="-6"/>
          <w:sz w:val="28"/>
          <w:szCs w:val="21"/>
        </w:rPr>
        <w:t xml:space="preserve">periódicos combinados </w:t>
      </w:r>
      <w:r w:rsidRPr="009759E1">
        <w:rPr>
          <w:rFonts w:ascii="Raleway-SemiBold" w:hAnsi="Raleway-SemiBold"/>
          <w:b/>
          <w:spacing w:val="-3"/>
          <w:sz w:val="28"/>
          <w:szCs w:val="21"/>
        </w:rPr>
        <w:t xml:space="preserve">de </w:t>
      </w:r>
      <w:r w:rsidRPr="009759E1">
        <w:rPr>
          <w:rFonts w:ascii="Raleway-SemiBold" w:hAnsi="Raleway-SemiBold"/>
          <w:b/>
          <w:spacing w:val="-7"/>
          <w:sz w:val="28"/>
          <w:szCs w:val="21"/>
        </w:rPr>
        <w:t xml:space="preserve">Australia </w:t>
      </w:r>
      <w:r w:rsidRPr="009759E1">
        <w:rPr>
          <w:rFonts w:ascii="Raleway-SemiBold" w:hAnsi="Raleway-SemiBold"/>
          <w:b/>
          <w:spacing w:val="-10"/>
          <w:sz w:val="28"/>
          <w:szCs w:val="21"/>
        </w:rPr>
        <w:t>[CRPD/C/AUS/QPR/2-3]</w:t>
      </w:r>
    </w:p>
    <w:p w:rsidR="007A0A6C" w:rsidRDefault="007A0A6C">
      <w:pPr>
        <w:pStyle w:val="BodyText"/>
        <w:ind w:left="0"/>
        <w:rPr>
          <w:rFonts w:ascii="Raleway-SemiBold"/>
          <w:b/>
          <w:sz w:val="20"/>
        </w:rPr>
      </w:pPr>
    </w:p>
    <w:p w:rsidR="007A0A6C" w:rsidRDefault="007A0A6C">
      <w:pPr>
        <w:pStyle w:val="BodyText"/>
        <w:ind w:left="0"/>
        <w:rPr>
          <w:rFonts w:ascii="Raleway-SemiBold"/>
          <w:b/>
          <w:sz w:val="20"/>
        </w:rPr>
      </w:pPr>
    </w:p>
    <w:p w:rsidR="007A0A6C" w:rsidRDefault="007A0A6C">
      <w:pPr>
        <w:pStyle w:val="BodyText"/>
        <w:ind w:left="0"/>
        <w:rPr>
          <w:rFonts w:ascii="Raleway-SemiBold"/>
          <w:b/>
          <w:sz w:val="20"/>
        </w:rPr>
      </w:pPr>
    </w:p>
    <w:p w:rsidR="007A0A6C" w:rsidRDefault="007A0A6C">
      <w:pPr>
        <w:pStyle w:val="BodyText"/>
        <w:ind w:left="0"/>
        <w:rPr>
          <w:rFonts w:ascii="Raleway-SemiBold"/>
          <w:b/>
          <w:sz w:val="20"/>
        </w:rPr>
      </w:pPr>
    </w:p>
    <w:p w:rsidR="007A0A6C" w:rsidRDefault="007A0A6C">
      <w:pPr>
        <w:pStyle w:val="BodyText"/>
        <w:ind w:left="0"/>
        <w:rPr>
          <w:rFonts w:ascii="Raleway-SemiBold"/>
          <w:b/>
          <w:sz w:val="20"/>
        </w:rPr>
      </w:pPr>
    </w:p>
    <w:p w:rsidR="007A0A6C" w:rsidRDefault="007A0A6C">
      <w:pPr>
        <w:pStyle w:val="BodyText"/>
        <w:ind w:left="0"/>
        <w:rPr>
          <w:rFonts w:ascii="Raleway-SemiBold"/>
          <w:b/>
          <w:sz w:val="20"/>
        </w:rPr>
      </w:pPr>
    </w:p>
    <w:p w:rsidR="007A0A6C" w:rsidRDefault="007A0A6C">
      <w:pPr>
        <w:pStyle w:val="BodyText"/>
        <w:ind w:left="0"/>
        <w:rPr>
          <w:rFonts w:ascii="Raleway-SemiBold"/>
          <w:b/>
          <w:sz w:val="20"/>
        </w:rPr>
      </w:pPr>
    </w:p>
    <w:p w:rsidR="007A0A6C" w:rsidRDefault="007A0A6C">
      <w:pPr>
        <w:pStyle w:val="BodyText"/>
        <w:ind w:left="0"/>
        <w:rPr>
          <w:rFonts w:ascii="Raleway-SemiBold"/>
          <w:b/>
          <w:sz w:val="20"/>
        </w:rPr>
      </w:pPr>
    </w:p>
    <w:p w:rsidR="007A0A6C" w:rsidRDefault="007A0A6C">
      <w:pPr>
        <w:pStyle w:val="BodyText"/>
        <w:ind w:left="0"/>
        <w:rPr>
          <w:rFonts w:ascii="Raleway-SemiBold"/>
          <w:b/>
          <w:sz w:val="20"/>
        </w:rPr>
      </w:pPr>
    </w:p>
    <w:p w:rsidR="007A0A6C" w:rsidRDefault="007A0A6C">
      <w:pPr>
        <w:pStyle w:val="BodyText"/>
        <w:ind w:left="0"/>
        <w:rPr>
          <w:rFonts w:ascii="Raleway-SemiBold"/>
          <w:b/>
          <w:sz w:val="20"/>
        </w:rPr>
      </w:pPr>
    </w:p>
    <w:p w:rsidR="007A0A6C" w:rsidRDefault="007A0A6C">
      <w:pPr>
        <w:pStyle w:val="BodyText"/>
        <w:ind w:left="0"/>
        <w:rPr>
          <w:rFonts w:ascii="Raleway-SemiBold"/>
          <w:b/>
          <w:sz w:val="20"/>
        </w:rPr>
      </w:pPr>
    </w:p>
    <w:p w:rsidR="007A0A6C" w:rsidRDefault="007A0A6C">
      <w:pPr>
        <w:pStyle w:val="BodyText"/>
        <w:ind w:left="0"/>
        <w:rPr>
          <w:rFonts w:ascii="Raleway-SemiBold"/>
          <w:b/>
          <w:sz w:val="20"/>
        </w:rPr>
      </w:pPr>
    </w:p>
    <w:p w:rsidR="007A0A6C" w:rsidRDefault="007A0A6C">
      <w:pPr>
        <w:pStyle w:val="BodyText"/>
        <w:ind w:left="0"/>
        <w:rPr>
          <w:rFonts w:ascii="Raleway-SemiBold"/>
          <w:b/>
          <w:sz w:val="20"/>
        </w:rPr>
      </w:pPr>
    </w:p>
    <w:p w:rsidR="007A0A6C" w:rsidRDefault="007A0A6C">
      <w:pPr>
        <w:pStyle w:val="BodyText"/>
        <w:ind w:left="0"/>
        <w:rPr>
          <w:rFonts w:ascii="Raleway-SemiBold"/>
          <w:b/>
          <w:sz w:val="20"/>
        </w:rPr>
      </w:pPr>
    </w:p>
    <w:p w:rsidR="007A0A6C" w:rsidRDefault="007A0A6C">
      <w:pPr>
        <w:pStyle w:val="BodyText"/>
        <w:ind w:left="0"/>
        <w:rPr>
          <w:rFonts w:ascii="Raleway-SemiBold"/>
          <w:b/>
          <w:sz w:val="20"/>
        </w:rPr>
      </w:pPr>
    </w:p>
    <w:p w:rsidR="007A0A6C" w:rsidRDefault="007A0A6C">
      <w:pPr>
        <w:pStyle w:val="BodyText"/>
        <w:ind w:left="0"/>
        <w:rPr>
          <w:rFonts w:ascii="Raleway-SemiBold"/>
          <w:b/>
          <w:sz w:val="20"/>
        </w:rPr>
      </w:pPr>
    </w:p>
    <w:p w:rsidR="007A0A6C" w:rsidRDefault="007A0A6C">
      <w:pPr>
        <w:pStyle w:val="BodyText"/>
        <w:ind w:left="0"/>
        <w:rPr>
          <w:rFonts w:ascii="Raleway-SemiBold"/>
          <w:b/>
          <w:sz w:val="20"/>
        </w:rPr>
      </w:pPr>
    </w:p>
    <w:p w:rsidR="007A0A6C" w:rsidRDefault="007A0A6C">
      <w:pPr>
        <w:pStyle w:val="BodyText"/>
        <w:ind w:left="0"/>
        <w:rPr>
          <w:rFonts w:ascii="Raleway-SemiBold"/>
          <w:b/>
          <w:sz w:val="20"/>
        </w:rPr>
      </w:pPr>
    </w:p>
    <w:p w:rsidR="007A0A6C" w:rsidRDefault="007A0A6C">
      <w:pPr>
        <w:pStyle w:val="BodyText"/>
        <w:ind w:left="0"/>
        <w:rPr>
          <w:rFonts w:ascii="Raleway-SemiBold"/>
          <w:b/>
          <w:sz w:val="20"/>
        </w:rPr>
      </w:pPr>
    </w:p>
    <w:p w:rsidR="007A0A6C" w:rsidRDefault="007A0A6C">
      <w:pPr>
        <w:pStyle w:val="BodyText"/>
        <w:ind w:left="0"/>
        <w:rPr>
          <w:rFonts w:ascii="Raleway-SemiBold"/>
          <w:b/>
          <w:sz w:val="20"/>
        </w:rPr>
      </w:pPr>
    </w:p>
    <w:p w:rsidR="007A0A6C" w:rsidRDefault="007A0A6C">
      <w:pPr>
        <w:pStyle w:val="BodyText"/>
        <w:spacing w:before="3"/>
        <w:ind w:left="0"/>
        <w:rPr>
          <w:rFonts w:ascii="Raleway-SemiBold"/>
          <w:b/>
          <w:sz w:val="25"/>
        </w:rPr>
      </w:pPr>
    </w:p>
    <w:p w:rsidR="007A0A6C" w:rsidRDefault="00660E26" w:rsidP="009759E1">
      <w:pPr>
        <w:spacing w:before="133" w:line="211" w:lineRule="auto"/>
        <w:ind w:left="124" w:right="144"/>
        <w:rPr>
          <w:rFonts w:ascii="Raleway-SemiBold"/>
          <w:b/>
          <w:sz w:val="29"/>
        </w:rPr>
      </w:pPr>
      <w:r>
        <w:rPr>
          <w:rFonts w:ascii="Raleway-SemiBold"/>
          <w:b/>
          <w:spacing w:val="-4"/>
          <w:sz w:val="29"/>
        </w:rPr>
        <w:t xml:space="preserve">Recopilado </w:t>
      </w:r>
      <w:r>
        <w:rPr>
          <w:rFonts w:ascii="Raleway-SemiBold"/>
          <w:b/>
          <w:sz w:val="29"/>
        </w:rPr>
        <w:t xml:space="preserve">por las </w:t>
      </w:r>
      <w:r>
        <w:rPr>
          <w:rFonts w:ascii="Raleway-SemiBold"/>
          <w:b/>
          <w:spacing w:val="-4"/>
          <w:sz w:val="29"/>
        </w:rPr>
        <w:t xml:space="preserve">Organizaciones Australianas </w:t>
      </w:r>
      <w:r>
        <w:rPr>
          <w:rFonts w:ascii="Raleway-SemiBold"/>
          <w:b/>
          <w:spacing w:val="-3"/>
          <w:sz w:val="29"/>
        </w:rPr>
        <w:t xml:space="preserve">para Personas con Discapacidad </w:t>
      </w:r>
      <w:r>
        <w:rPr>
          <w:rFonts w:ascii="Raleway-SemiBold"/>
          <w:b/>
          <w:spacing w:val="-4"/>
          <w:sz w:val="29"/>
        </w:rPr>
        <w:t xml:space="preserve">(DPO), Organizaciones </w:t>
      </w:r>
      <w:r>
        <w:rPr>
          <w:rFonts w:ascii="Raleway-SemiBold"/>
          <w:b/>
          <w:sz w:val="29"/>
        </w:rPr>
        <w:t xml:space="preserve">de </w:t>
      </w:r>
      <w:r>
        <w:rPr>
          <w:rFonts w:ascii="Raleway-SemiBold"/>
          <w:b/>
          <w:spacing w:val="-5"/>
          <w:sz w:val="29"/>
        </w:rPr>
        <w:t xml:space="preserve">Representantes </w:t>
      </w:r>
      <w:r>
        <w:rPr>
          <w:rFonts w:ascii="Raleway-SemiBold"/>
          <w:b/>
          <w:sz w:val="29"/>
        </w:rPr>
        <w:t xml:space="preserve">de </w:t>
      </w:r>
      <w:r>
        <w:rPr>
          <w:rFonts w:ascii="Raleway-SemiBold"/>
          <w:b/>
          <w:spacing w:val="-3"/>
          <w:sz w:val="29"/>
        </w:rPr>
        <w:t xml:space="preserve">Personas con Discapacidad </w:t>
      </w:r>
      <w:r>
        <w:rPr>
          <w:rFonts w:ascii="Raleway-SemiBold"/>
          <w:b/>
          <w:spacing w:val="-4"/>
          <w:sz w:val="29"/>
        </w:rPr>
        <w:t xml:space="preserve">(DRO) </w:t>
      </w:r>
      <w:r>
        <w:rPr>
          <w:rFonts w:ascii="Raleway-SemiBold"/>
          <w:b/>
          <w:sz w:val="29"/>
        </w:rPr>
        <w:t xml:space="preserve">y </w:t>
      </w:r>
      <w:r>
        <w:rPr>
          <w:rFonts w:ascii="Raleway-SemiBold"/>
          <w:b/>
          <w:spacing w:val="-4"/>
          <w:sz w:val="29"/>
        </w:rPr>
        <w:t xml:space="preserve">Organizaciones </w:t>
      </w:r>
      <w:r>
        <w:rPr>
          <w:rFonts w:ascii="Raleway-SemiBold"/>
          <w:b/>
          <w:sz w:val="29"/>
        </w:rPr>
        <w:t xml:space="preserve">de </w:t>
      </w:r>
      <w:r>
        <w:rPr>
          <w:rFonts w:ascii="Raleway-SemiBold"/>
          <w:b/>
          <w:spacing w:val="-4"/>
          <w:sz w:val="29"/>
        </w:rPr>
        <w:t xml:space="preserve">Defensa </w:t>
      </w:r>
      <w:r>
        <w:rPr>
          <w:rFonts w:ascii="Raleway-SemiBold"/>
          <w:b/>
          <w:sz w:val="29"/>
        </w:rPr>
        <w:t xml:space="preserve">de las </w:t>
      </w:r>
      <w:r>
        <w:rPr>
          <w:rFonts w:ascii="Raleway-SemiBold"/>
          <w:b/>
          <w:spacing w:val="-3"/>
          <w:sz w:val="29"/>
        </w:rPr>
        <w:t>Personas con Discapacidad</w:t>
      </w:r>
    </w:p>
    <w:p w:rsidR="007A0A6C" w:rsidRDefault="007A0A6C">
      <w:pPr>
        <w:spacing w:line="211" w:lineRule="auto"/>
        <w:jc w:val="both"/>
        <w:rPr>
          <w:rFonts w:ascii="Raleway-SemiBold"/>
          <w:sz w:val="29"/>
        </w:rPr>
        <w:sectPr w:rsidR="007A0A6C">
          <w:type w:val="continuous"/>
          <w:pgSz w:w="11910" w:h="16840"/>
          <w:pgMar w:top="1580" w:right="440" w:bottom="280" w:left="380" w:header="720" w:footer="720" w:gutter="0"/>
          <w:cols w:space="720"/>
        </w:sectPr>
      </w:pPr>
    </w:p>
    <w:p w:rsidR="007A0A6C" w:rsidRDefault="007A0A6C">
      <w:pPr>
        <w:pStyle w:val="BodyText"/>
        <w:spacing w:before="3"/>
        <w:ind w:left="0"/>
        <w:rPr>
          <w:rFonts w:ascii="Raleway-SemiBold"/>
          <w:b/>
          <w:sz w:val="3"/>
        </w:rPr>
      </w:pPr>
    </w:p>
    <w:p w:rsidR="007A0A6C" w:rsidRDefault="00660E26">
      <w:pPr>
        <w:tabs>
          <w:tab w:val="left" w:pos="4189"/>
          <w:tab w:val="left" w:pos="7653"/>
        </w:tabs>
        <w:ind w:left="725"/>
        <w:rPr>
          <w:rFonts w:ascii="Raleway-SemiBold"/>
          <w:sz w:val="20"/>
        </w:rPr>
      </w:pPr>
      <w:r>
        <w:rPr>
          <w:rFonts w:ascii="Raleway-SemiBold"/>
          <w:noProof/>
          <w:position w:val="12"/>
          <w:sz w:val="20"/>
        </w:rPr>
        <w:drawing>
          <wp:inline distT="0" distB="0" distL="0" distR="0">
            <wp:extent cx="1832596" cy="733425"/>
            <wp:effectExtent l="0" t="0" r="0" b="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9" cstate="print"/>
                    <a:stretch>
                      <a:fillRect/>
                    </a:stretch>
                  </pic:blipFill>
                  <pic:spPr>
                    <a:xfrm>
                      <a:off x="0" y="0"/>
                      <a:ext cx="1832596" cy="733425"/>
                    </a:xfrm>
                    <a:prstGeom prst="rect">
                      <a:avLst/>
                    </a:prstGeom>
                  </pic:spPr>
                </pic:pic>
              </a:graphicData>
            </a:graphic>
          </wp:inline>
        </w:drawing>
      </w:r>
      <w:r>
        <w:rPr>
          <w:rFonts w:ascii="Raleway-SemiBold"/>
          <w:position w:val="12"/>
          <w:sz w:val="20"/>
        </w:rPr>
        <w:tab/>
      </w:r>
      <w:r>
        <w:rPr>
          <w:rFonts w:ascii="Raleway-SemiBold"/>
          <w:noProof/>
          <w:sz w:val="20"/>
        </w:rPr>
        <w:drawing>
          <wp:inline distT="0" distB="0" distL="0" distR="0">
            <wp:extent cx="1838422" cy="880681"/>
            <wp:effectExtent l="0" t="0" r="0" b="0"/>
            <wp:docPr id="3" name="image3.jpeg" descr="Coucil for Intellectual Disability NS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0" cstate="print"/>
                    <a:stretch>
                      <a:fillRect/>
                    </a:stretch>
                  </pic:blipFill>
                  <pic:spPr>
                    <a:xfrm>
                      <a:off x="0" y="0"/>
                      <a:ext cx="1838422" cy="880681"/>
                    </a:xfrm>
                    <a:prstGeom prst="rect">
                      <a:avLst/>
                    </a:prstGeom>
                  </pic:spPr>
                </pic:pic>
              </a:graphicData>
            </a:graphic>
          </wp:inline>
        </w:drawing>
      </w:r>
      <w:r>
        <w:rPr>
          <w:rFonts w:ascii="Raleway-SemiBold"/>
          <w:sz w:val="20"/>
        </w:rPr>
        <w:tab/>
      </w:r>
      <w:r>
        <w:rPr>
          <w:rFonts w:ascii="Raleway-SemiBold"/>
          <w:noProof/>
          <w:position w:val="19"/>
          <w:sz w:val="20"/>
        </w:rPr>
        <w:drawing>
          <wp:inline distT="0" distB="0" distL="0" distR="0">
            <wp:extent cx="1831473" cy="644271"/>
            <wp:effectExtent l="0" t="0" r="0" b="0"/>
            <wp:docPr id="5" name="image4.jpeg" descr="Queensland for Advocacy Incorporat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1" cstate="print"/>
                    <a:stretch>
                      <a:fillRect/>
                    </a:stretch>
                  </pic:blipFill>
                  <pic:spPr>
                    <a:xfrm>
                      <a:off x="0" y="0"/>
                      <a:ext cx="1831473" cy="644271"/>
                    </a:xfrm>
                    <a:prstGeom prst="rect">
                      <a:avLst/>
                    </a:prstGeom>
                  </pic:spPr>
                </pic:pic>
              </a:graphicData>
            </a:graphic>
          </wp:inline>
        </w:drawing>
      </w:r>
    </w:p>
    <w:p w:rsidR="007A0A6C" w:rsidRDefault="007A0A6C">
      <w:pPr>
        <w:pStyle w:val="BodyText"/>
        <w:ind w:left="0"/>
        <w:rPr>
          <w:rFonts w:ascii="Raleway-SemiBold"/>
          <w:b/>
          <w:sz w:val="20"/>
        </w:rPr>
      </w:pPr>
    </w:p>
    <w:p w:rsidR="007A0A6C" w:rsidRDefault="007A0A6C">
      <w:pPr>
        <w:pStyle w:val="BodyText"/>
        <w:ind w:left="0"/>
        <w:rPr>
          <w:rFonts w:ascii="Raleway-SemiBold"/>
          <w:b/>
          <w:sz w:val="20"/>
        </w:rPr>
      </w:pPr>
    </w:p>
    <w:p w:rsidR="007A0A6C" w:rsidRDefault="007A0A6C">
      <w:pPr>
        <w:pStyle w:val="BodyText"/>
        <w:ind w:left="0"/>
        <w:rPr>
          <w:rFonts w:ascii="Raleway-SemiBold"/>
          <w:b/>
          <w:sz w:val="20"/>
        </w:rPr>
      </w:pPr>
    </w:p>
    <w:p w:rsidR="007A0A6C" w:rsidRDefault="007A0A6C">
      <w:pPr>
        <w:pStyle w:val="BodyText"/>
        <w:ind w:left="0"/>
        <w:rPr>
          <w:rFonts w:ascii="Raleway-SemiBold"/>
          <w:b/>
          <w:sz w:val="20"/>
        </w:rPr>
      </w:pPr>
    </w:p>
    <w:p w:rsidR="007A0A6C" w:rsidRDefault="00660E26">
      <w:pPr>
        <w:pStyle w:val="BodyText"/>
        <w:ind w:left="0"/>
        <w:rPr>
          <w:rFonts w:ascii="Raleway-SemiBold"/>
          <w:b/>
          <w:sz w:val="13"/>
        </w:rPr>
      </w:pPr>
      <w:r>
        <w:rPr>
          <w:noProof/>
        </w:rPr>
        <w:drawing>
          <wp:anchor distT="0" distB="0" distL="0" distR="0" simplePos="0" relativeHeight="251652608" behindDoc="0" locked="0" layoutInCell="1" allowOverlap="1">
            <wp:simplePos x="0" y="0"/>
            <wp:positionH relativeFrom="page">
              <wp:posOffset>701999</wp:posOffset>
            </wp:positionH>
            <wp:positionV relativeFrom="paragraph">
              <wp:posOffset>430847</wp:posOffset>
            </wp:positionV>
            <wp:extent cx="1842070" cy="810482"/>
            <wp:effectExtent l="0" t="0" r="0" b="0"/>
            <wp:wrapTopAndBottom/>
            <wp:docPr id="7" name="image5.jpeg" descr="Advocacy for Inclu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2" cstate="print"/>
                    <a:stretch>
                      <a:fillRect/>
                    </a:stretch>
                  </pic:blipFill>
                  <pic:spPr>
                    <a:xfrm>
                      <a:off x="0" y="0"/>
                      <a:ext cx="1842070" cy="810482"/>
                    </a:xfrm>
                    <a:prstGeom prst="rect">
                      <a:avLst/>
                    </a:prstGeom>
                  </pic:spPr>
                </pic:pic>
              </a:graphicData>
            </a:graphic>
          </wp:anchor>
        </w:drawing>
      </w:r>
      <w:r>
        <w:rPr>
          <w:noProof/>
        </w:rPr>
        <w:drawing>
          <wp:anchor distT="0" distB="0" distL="0" distR="0" simplePos="0" relativeHeight="251647488" behindDoc="0" locked="0" layoutInCell="1" allowOverlap="1">
            <wp:simplePos x="0" y="0"/>
            <wp:positionH relativeFrom="page">
              <wp:posOffset>3259670</wp:posOffset>
            </wp:positionH>
            <wp:positionV relativeFrom="paragraph">
              <wp:posOffset>122175</wp:posOffset>
            </wp:positionV>
            <wp:extent cx="1118543" cy="1429511"/>
            <wp:effectExtent l="0" t="0" r="0" b="0"/>
            <wp:wrapTopAndBottom/>
            <wp:docPr id="9" name="image6.jpeg" descr="DANA - Disability Advocacy Net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3" cstate="print"/>
                    <a:stretch>
                      <a:fillRect/>
                    </a:stretch>
                  </pic:blipFill>
                  <pic:spPr>
                    <a:xfrm>
                      <a:off x="0" y="0"/>
                      <a:ext cx="1118543" cy="1429511"/>
                    </a:xfrm>
                    <a:prstGeom prst="rect">
                      <a:avLst/>
                    </a:prstGeom>
                  </pic:spPr>
                </pic:pic>
              </a:graphicData>
            </a:graphic>
          </wp:anchor>
        </w:drawing>
      </w:r>
      <w:r>
        <w:rPr>
          <w:noProof/>
        </w:rPr>
        <w:drawing>
          <wp:anchor distT="0" distB="0" distL="0" distR="0" simplePos="0" relativeHeight="251648512" behindDoc="0" locked="0" layoutInCell="1" allowOverlap="1">
            <wp:simplePos x="0" y="0"/>
            <wp:positionH relativeFrom="page">
              <wp:posOffset>5101168</wp:posOffset>
            </wp:positionH>
            <wp:positionV relativeFrom="paragraph">
              <wp:posOffset>467410</wp:posOffset>
            </wp:positionV>
            <wp:extent cx="1810513" cy="704087"/>
            <wp:effectExtent l="0" t="0" r="0" b="0"/>
            <wp:wrapTopAndBottom/>
            <wp:docPr id="11" name="image7.jpeg" descr="Australian Centre for Disability La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4" cstate="print"/>
                    <a:stretch>
                      <a:fillRect/>
                    </a:stretch>
                  </pic:blipFill>
                  <pic:spPr>
                    <a:xfrm>
                      <a:off x="0" y="0"/>
                      <a:ext cx="1810513" cy="704087"/>
                    </a:xfrm>
                    <a:prstGeom prst="rect">
                      <a:avLst/>
                    </a:prstGeom>
                  </pic:spPr>
                </pic:pic>
              </a:graphicData>
            </a:graphic>
          </wp:anchor>
        </w:drawing>
      </w:r>
    </w:p>
    <w:p w:rsidR="007A0A6C" w:rsidRDefault="007A0A6C">
      <w:pPr>
        <w:pStyle w:val="BodyText"/>
        <w:ind w:left="0"/>
        <w:rPr>
          <w:rFonts w:ascii="Raleway-SemiBold"/>
          <w:b/>
          <w:sz w:val="20"/>
        </w:rPr>
      </w:pPr>
    </w:p>
    <w:p w:rsidR="007A0A6C" w:rsidRDefault="007A0A6C">
      <w:pPr>
        <w:pStyle w:val="BodyText"/>
        <w:ind w:left="0"/>
        <w:rPr>
          <w:rFonts w:ascii="Raleway-SemiBold"/>
          <w:b/>
          <w:sz w:val="20"/>
        </w:rPr>
      </w:pPr>
    </w:p>
    <w:p w:rsidR="007A0A6C" w:rsidRDefault="00660E26">
      <w:pPr>
        <w:pStyle w:val="BodyText"/>
        <w:spacing w:before="6"/>
        <w:ind w:left="0"/>
        <w:rPr>
          <w:rFonts w:ascii="Raleway-SemiBold"/>
          <w:b/>
          <w:sz w:val="13"/>
        </w:rPr>
      </w:pPr>
      <w:r>
        <w:rPr>
          <w:noProof/>
        </w:rPr>
        <w:drawing>
          <wp:anchor distT="0" distB="0" distL="0" distR="0" simplePos="0" relativeHeight="251649536" behindDoc="0" locked="0" layoutInCell="1" allowOverlap="1">
            <wp:simplePos x="0" y="0"/>
            <wp:positionH relativeFrom="page">
              <wp:posOffset>833415</wp:posOffset>
            </wp:positionH>
            <wp:positionV relativeFrom="paragraph">
              <wp:posOffset>125875</wp:posOffset>
            </wp:positionV>
            <wp:extent cx="1429511" cy="1429512"/>
            <wp:effectExtent l="0" t="0" r="0" b="0"/>
            <wp:wrapTopAndBottom/>
            <wp:docPr id="13" name="image8.jpeg" descr="Queensland Voice for Mental Health In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5" cstate="print"/>
                    <a:stretch>
                      <a:fillRect/>
                    </a:stretch>
                  </pic:blipFill>
                  <pic:spPr>
                    <a:xfrm>
                      <a:off x="0" y="0"/>
                      <a:ext cx="1429511" cy="1429512"/>
                    </a:xfrm>
                    <a:prstGeom prst="rect">
                      <a:avLst/>
                    </a:prstGeom>
                  </pic:spPr>
                </pic:pic>
              </a:graphicData>
            </a:graphic>
          </wp:anchor>
        </w:drawing>
      </w:r>
      <w:r>
        <w:rPr>
          <w:noProof/>
        </w:rPr>
        <w:drawing>
          <wp:anchor distT="0" distB="0" distL="0" distR="0" simplePos="0" relativeHeight="251650560" behindDoc="0" locked="0" layoutInCell="1" allowOverlap="1">
            <wp:simplePos x="0" y="0"/>
            <wp:positionH relativeFrom="page">
              <wp:posOffset>2829584</wp:posOffset>
            </wp:positionH>
            <wp:positionV relativeFrom="paragraph">
              <wp:posOffset>548420</wp:posOffset>
            </wp:positionV>
            <wp:extent cx="1840969" cy="580739"/>
            <wp:effectExtent l="0" t="0" r="0" b="0"/>
            <wp:wrapTopAndBottom/>
            <wp:docPr id="15" name="image9.jpeg" descr="CYDA - Children and Young People with Disability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16" cstate="print"/>
                    <a:stretch>
                      <a:fillRect/>
                    </a:stretch>
                  </pic:blipFill>
                  <pic:spPr>
                    <a:xfrm>
                      <a:off x="0" y="0"/>
                      <a:ext cx="1840969" cy="580739"/>
                    </a:xfrm>
                    <a:prstGeom prst="rect">
                      <a:avLst/>
                    </a:prstGeom>
                  </pic:spPr>
                </pic:pic>
              </a:graphicData>
            </a:graphic>
          </wp:anchor>
        </w:drawing>
      </w:r>
      <w:r>
        <w:rPr>
          <w:noProof/>
        </w:rPr>
        <w:drawing>
          <wp:anchor distT="0" distB="0" distL="0" distR="0" simplePos="0" relativeHeight="251651584" behindDoc="0" locked="0" layoutInCell="1" allowOverlap="1">
            <wp:simplePos x="0" y="0"/>
            <wp:positionH relativeFrom="page">
              <wp:posOffset>5029168</wp:posOffset>
            </wp:positionH>
            <wp:positionV relativeFrom="paragraph">
              <wp:posOffset>536234</wp:posOffset>
            </wp:positionV>
            <wp:extent cx="1810197" cy="597217"/>
            <wp:effectExtent l="0" t="0" r="0" b="0"/>
            <wp:wrapTopAndBottom/>
            <wp:docPr id="17" name="image10.jpeg" descr="AFDO - Australian Federation of Disability Organis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17" cstate="print"/>
                    <a:stretch>
                      <a:fillRect/>
                    </a:stretch>
                  </pic:blipFill>
                  <pic:spPr>
                    <a:xfrm>
                      <a:off x="0" y="0"/>
                      <a:ext cx="1810197" cy="597217"/>
                    </a:xfrm>
                    <a:prstGeom prst="rect">
                      <a:avLst/>
                    </a:prstGeom>
                  </pic:spPr>
                </pic:pic>
              </a:graphicData>
            </a:graphic>
          </wp:anchor>
        </w:drawing>
      </w:r>
    </w:p>
    <w:p w:rsidR="007A0A6C" w:rsidRDefault="007A0A6C">
      <w:pPr>
        <w:pStyle w:val="BodyText"/>
        <w:ind w:left="0"/>
        <w:rPr>
          <w:rFonts w:ascii="Raleway-SemiBold"/>
          <w:b/>
          <w:sz w:val="20"/>
        </w:rPr>
      </w:pPr>
    </w:p>
    <w:p w:rsidR="007A0A6C" w:rsidRDefault="007A0A6C">
      <w:pPr>
        <w:pStyle w:val="BodyText"/>
        <w:ind w:left="0"/>
        <w:rPr>
          <w:rFonts w:ascii="Raleway-SemiBold"/>
          <w:b/>
          <w:sz w:val="20"/>
        </w:rPr>
      </w:pPr>
    </w:p>
    <w:p w:rsidR="007A0A6C" w:rsidRDefault="007A0A6C">
      <w:pPr>
        <w:pStyle w:val="BodyText"/>
        <w:spacing w:before="6"/>
        <w:ind w:left="0"/>
        <w:rPr>
          <w:rFonts w:ascii="Raleway-SemiBold"/>
          <w:b/>
          <w:sz w:val="16"/>
        </w:rPr>
      </w:pPr>
    </w:p>
    <w:p w:rsidR="007A0A6C" w:rsidRDefault="00660E26">
      <w:pPr>
        <w:pStyle w:val="Heading1"/>
        <w:tabs>
          <w:tab w:val="left" w:pos="10805"/>
        </w:tabs>
        <w:spacing w:before="100"/>
      </w:pPr>
      <w:bookmarkStart w:id="0" w:name="Publicación_de_la_información"/>
      <w:bookmarkStart w:id="1" w:name="_bookmark0"/>
      <w:bookmarkEnd w:id="0"/>
      <w:bookmarkEnd w:id="1"/>
      <w:r>
        <w:rPr>
          <w:color w:val="FFFFFF"/>
          <w:spacing w:val="-59"/>
          <w:shd w:val="clear" w:color="auto" w:fill="B31D30"/>
        </w:rPr>
        <w:t xml:space="preserve"> </w:t>
      </w:r>
      <w:bookmarkStart w:id="2" w:name="_Toc15026978"/>
      <w:bookmarkStart w:id="3" w:name="_Toc15027118"/>
      <w:r>
        <w:rPr>
          <w:color w:val="FFFFFF"/>
          <w:shd w:val="clear" w:color="auto" w:fill="B31D30"/>
        </w:rPr>
        <w:t>Publicación de la</w:t>
      </w:r>
      <w:r>
        <w:rPr>
          <w:color w:val="FFFFFF"/>
          <w:spacing w:val="-16"/>
          <w:shd w:val="clear" w:color="auto" w:fill="B31D30"/>
        </w:rPr>
        <w:t xml:space="preserve"> </w:t>
      </w:r>
      <w:r>
        <w:rPr>
          <w:color w:val="FFFFFF"/>
          <w:shd w:val="clear" w:color="auto" w:fill="B31D30"/>
        </w:rPr>
        <w:t>información</w:t>
      </w:r>
      <w:bookmarkEnd w:id="2"/>
      <w:bookmarkEnd w:id="3"/>
      <w:r>
        <w:rPr>
          <w:color w:val="FFFFFF"/>
          <w:shd w:val="clear" w:color="auto" w:fill="B31D30"/>
        </w:rPr>
        <w:tab/>
      </w:r>
    </w:p>
    <w:p w:rsidR="007A0A6C" w:rsidRDefault="00660E26">
      <w:pPr>
        <w:pStyle w:val="BodyText"/>
        <w:spacing w:before="161" w:line="247" w:lineRule="auto"/>
        <w:ind w:left="340" w:right="404"/>
      </w:pPr>
      <w:r>
        <w:t>Informe Paralelo de la Sociedad Civil Australiana relativo a la Convención de las Naciones Unidas sobre los Derechos de las Personas con Discapacidad (2019) en respuesta a la Lista de temas previa a la presentación de los segundos y terceros informes periódicos combinados de Australia [CRPD/C/AUS/ QPR/2-3].</w:t>
      </w:r>
      <w:r>
        <w:rPr>
          <w:spacing w:val="-10"/>
        </w:rPr>
        <w:t xml:space="preserve"> </w:t>
      </w:r>
      <w:r>
        <w:t>Recopilado</w:t>
      </w:r>
      <w:r>
        <w:rPr>
          <w:spacing w:val="-9"/>
        </w:rPr>
        <w:t xml:space="preserve"> </w:t>
      </w:r>
      <w:r>
        <w:t>por</w:t>
      </w:r>
      <w:r>
        <w:rPr>
          <w:spacing w:val="-10"/>
        </w:rPr>
        <w:t xml:space="preserve"> </w:t>
      </w:r>
      <w:r>
        <w:t>el</w:t>
      </w:r>
      <w:r>
        <w:rPr>
          <w:spacing w:val="-9"/>
        </w:rPr>
        <w:t xml:space="preserve"> </w:t>
      </w:r>
      <w:r>
        <w:t>Grupo</w:t>
      </w:r>
      <w:r>
        <w:rPr>
          <w:spacing w:val="-9"/>
        </w:rPr>
        <w:t xml:space="preserve"> </w:t>
      </w:r>
      <w:r>
        <w:t>de</w:t>
      </w:r>
      <w:r>
        <w:rPr>
          <w:spacing w:val="-13"/>
        </w:rPr>
        <w:t xml:space="preserve"> </w:t>
      </w:r>
      <w:r>
        <w:t>Trabajo</w:t>
      </w:r>
      <w:r>
        <w:rPr>
          <w:spacing w:val="-9"/>
        </w:rPr>
        <w:t xml:space="preserve"> </w:t>
      </w:r>
      <w:r>
        <w:t>del</w:t>
      </w:r>
      <w:r>
        <w:rPr>
          <w:spacing w:val="-10"/>
        </w:rPr>
        <w:t xml:space="preserve"> </w:t>
      </w:r>
      <w:r>
        <w:t>Informe</w:t>
      </w:r>
      <w:r>
        <w:rPr>
          <w:spacing w:val="-9"/>
        </w:rPr>
        <w:t xml:space="preserve"> </w:t>
      </w:r>
      <w:r>
        <w:t>Paralelo</w:t>
      </w:r>
      <w:r>
        <w:rPr>
          <w:spacing w:val="-10"/>
        </w:rPr>
        <w:t xml:space="preserve"> </w:t>
      </w:r>
      <w:r>
        <w:t>CRPD</w:t>
      </w:r>
      <w:r>
        <w:rPr>
          <w:spacing w:val="-9"/>
        </w:rPr>
        <w:t xml:space="preserve"> </w:t>
      </w:r>
      <w:r>
        <w:t>de</w:t>
      </w:r>
      <w:r>
        <w:rPr>
          <w:spacing w:val="-9"/>
        </w:rPr>
        <w:t xml:space="preserve"> </w:t>
      </w:r>
      <w:r>
        <w:t>la</w:t>
      </w:r>
      <w:r>
        <w:rPr>
          <w:spacing w:val="-10"/>
        </w:rPr>
        <w:t xml:space="preserve"> </w:t>
      </w:r>
      <w:r>
        <w:t>Sociedad</w:t>
      </w:r>
      <w:r>
        <w:rPr>
          <w:spacing w:val="-9"/>
        </w:rPr>
        <w:t xml:space="preserve"> </w:t>
      </w:r>
      <w:r>
        <w:t>Civil</w:t>
      </w:r>
      <w:r>
        <w:rPr>
          <w:spacing w:val="-20"/>
        </w:rPr>
        <w:t xml:space="preserve"> </w:t>
      </w:r>
      <w:r>
        <w:t>Australiana, julio de</w:t>
      </w:r>
      <w:r>
        <w:rPr>
          <w:spacing w:val="-3"/>
        </w:rPr>
        <w:t xml:space="preserve"> </w:t>
      </w:r>
      <w:r>
        <w:t>2019.</w:t>
      </w:r>
    </w:p>
    <w:p w:rsidR="007A0A6C" w:rsidRDefault="00660E26">
      <w:pPr>
        <w:spacing w:before="159"/>
        <w:ind w:left="340"/>
        <w:rPr>
          <w:rFonts w:ascii="Raleway"/>
          <w:b/>
          <w:sz w:val="26"/>
        </w:rPr>
      </w:pPr>
      <w:r>
        <w:rPr>
          <w:rFonts w:ascii="Raleway"/>
          <w:b/>
          <w:sz w:val="26"/>
        </w:rPr>
        <w:t>Descargo de responsabilidad</w:t>
      </w:r>
    </w:p>
    <w:p w:rsidR="007A0A6C" w:rsidRDefault="00660E26">
      <w:pPr>
        <w:pStyle w:val="BodyText"/>
        <w:spacing w:before="93" w:line="247" w:lineRule="auto"/>
        <w:ind w:left="340" w:right="715"/>
      </w:pPr>
      <w:r>
        <w:t>Los puntos de vista y las opiniones expresadas en esta publicación son las del Grupo de Trabajo del Informe Paralelo CRPD de la Sociedad Civil y no necesariamente de nuestros respectivos organismos de financiación. Se han tomado todos los recaudos posibles al preparar la información contenida en este documento. El Grupo de Trabajo del Informe Paralelo CRPD de la Sociedad Civil renuncia a toda responsabilidad</w:t>
      </w:r>
      <w:r>
        <w:rPr>
          <w:spacing w:val="-11"/>
        </w:rPr>
        <w:t xml:space="preserve"> </w:t>
      </w:r>
      <w:r>
        <w:t>por</w:t>
      </w:r>
      <w:r>
        <w:rPr>
          <w:spacing w:val="-10"/>
        </w:rPr>
        <w:t xml:space="preserve"> </w:t>
      </w:r>
      <w:r>
        <w:t>la</w:t>
      </w:r>
      <w:r>
        <w:rPr>
          <w:spacing w:val="-10"/>
        </w:rPr>
        <w:t xml:space="preserve"> </w:t>
      </w:r>
      <w:r>
        <w:t>imprecisión</w:t>
      </w:r>
      <w:r>
        <w:rPr>
          <w:spacing w:val="-10"/>
        </w:rPr>
        <w:t xml:space="preserve"> </w:t>
      </w:r>
      <w:r>
        <w:t>o</w:t>
      </w:r>
      <w:r>
        <w:rPr>
          <w:spacing w:val="-10"/>
        </w:rPr>
        <w:t xml:space="preserve"> </w:t>
      </w:r>
      <w:r>
        <w:t>la</w:t>
      </w:r>
      <w:r>
        <w:rPr>
          <w:spacing w:val="-10"/>
        </w:rPr>
        <w:t xml:space="preserve"> </w:t>
      </w:r>
      <w:r>
        <w:t>insuficiencia</w:t>
      </w:r>
      <w:r>
        <w:rPr>
          <w:spacing w:val="-10"/>
        </w:rPr>
        <w:t xml:space="preserve"> </w:t>
      </w:r>
      <w:r>
        <w:t>de</w:t>
      </w:r>
      <w:r>
        <w:rPr>
          <w:spacing w:val="-10"/>
        </w:rPr>
        <w:t xml:space="preserve"> </w:t>
      </w:r>
      <w:r>
        <w:t>la</w:t>
      </w:r>
      <w:r>
        <w:rPr>
          <w:spacing w:val="-10"/>
        </w:rPr>
        <w:t xml:space="preserve"> </w:t>
      </w:r>
      <w:r>
        <w:t>información,</w:t>
      </w:r>
      <w:r>
        <w:rPr>
          <w:spacing w:val="-10"/>
        </w:rPr>
        <w:t xml:space="preserve"> </w:t>
      </w:r>
      <w:r>
        <w:t>y</w:t>
      </w:r>
      <w:r>
        <w:rPr>
          <w:spacing w:val="-10"/>
        </w:rPr>
        <w:t xml:space="preserve"> </w:t>
      </w:r>
      <w:r>
        <w:t>bajo</w:t>
      </w:r>
      <w:r>
        <w:rPr>
          <w:spacing w:val="-10"/>
        </w:rPr>
        <w:t xml:space="preserve"> </w:t>
      </w:r>
      <w:r>
        <w:t>ninguna</w:t>
      </w:r>
      <w:r>
        <w:rPr>
          <w:spacing w:val="-10"/>
        </w:rPr>
        <w:t xml:space="preserve"> </w:t>
      </w:r>
      <w:r>
        <w:t>circunstancia</w:t>
      </w:r>
      <w:r>
        <w:rPr>
          <w:spacing w:val="-10"/>
        </w:rPr>
        <w:t xml:space="preserve"> </w:t>
      </w:r>
      <w:r>
        <w:t>será responsable de descuido o de cualquier otra situación que surja de la elaboración o del suministro de cualquier información mencionada</w:t>
      </w:r>
      <w:r>
        <w:rPr>
          <w:spacing w:val="-6"/>
        </w:rPr>
        <w:t xml:space="preserve"> </w:t>
      </w:r>
      <w:r>
        <w:t>anteriormente.</w:t>
      </w:r>
    </w:p>
    <w:p w:rsidR="007A0A6C" w:rsidRDefault="00660E26">
      <w:pPr>
        <w:pStyle w:val="BodyText"/>
        <w:spacing w:before="96"/>
        <w:ind w:left="340"/>
      </w:pPr>
      <w:r>
        <w:t>© 2019</w:t>
      </w:r>
    </w:p>
    <w:p w:rsidR="007A0A6C" w:rsidRDefault="00660E26">
      <w:pPr>
        <w:spacing w:before="107"/>
        <w:ind w:left="340"/>
        <w:rPr>
          <w:b/>
        </w:rPr>
      </w:pPr>
      <w:r>
        <w:rPr>
          <w:b/>
        </w:rPr>
        <w:t>Datos de la imagen del trabajo artístico de la portada:</w:t>
      </w:r>
    </w:p>
    <w:p w:rsidR="007A0A6C" w:rsidRDefault="00660E26">
      <w:pPr>
        <w:pStyle w:val="BodyText"/>
        <w:spacing w:before="107" w:line="247" w:lineRule="auto"/>
        <w:ind w:left="340" w:right="713"/>
        <w:jc w:val="both"/>
      </w:pPr>
      <w:r>
        <w:t>©</w:t>
      </w:r>
      <w:r>
        <w:rPr>
          <w:spacing w:val="-8"/>
        </w:rPr>
        <w:t xml:space="preserve"> </w:t>
      </w:r>
      <w:r>
        <w:rPr>
          <w:spacing w:val="-5"/>
        </w:rPr>
        <w:t>“</w:t>
      </w:r>
      <w:r>
        <w:rPr>
          <w:i/>
          <w:spacing w:val="-5"/>
        </w:rPr>
        <w:t>Two</w:t>
      </w:r>
      <w:r>
        <w:rPr>
          <w:i/>
          <w:spacing w:val="-8"/>
        </w:rPr>
        <w:t xml:space="preserve"> </w:t>
      </w:r>
      <w:r>
        <w:rPr>
          <w:i/>
        </w:rPr>
        <w:t>Spirit</w:t>
      </w:r>
      <w:r>
        <w:rPr>
          <w:i/>
          <w:spacing w:val="-12"/>
        </w:rPr>
        <w:t xml:space="preserve"> </w:t>
      </w:r>
      <w:r>
        <w:rPr>
          <w:i/>
          <w:spacing w:val="-3"/>
        </w:rPr>
        <w:t>Yarning</w:t>
      </w:r>
      <w:r>
        <w:rPr>
          <w:spacing w:val="-3"/>
        </w:rPr>
        <w:t>”</w:t>
      </w:r>
      <w:r>
        <w:rPr>
          <w:spacing w:val="-8"/>
        </w:rPr>
        <w:t xml:space="preserve"> </w:t>
      </w:r>
      <w:r>
        <w:t>por</w:t>
      </w:r>
      <w:r>
        <w:rPr>
          <w:spacing w:val="-7"/>
        </w:rPr>
        <w:t xml:space="preserve"> </w:t>
      </w:r>
      <w:r>
        <w:t>Paul</w:t>
      </w:r>
      <w:r>
        <w:rPr>
          <w:spacing w:val="-8"/>
        </w:rPr>
        <w:t xml:space="preserve"> </w:t>
      </w:r>
      <w:r>
        <w:t>Constable</w:t>
      </w:r>
      <w:r>
        <w:rPr>
          <w:spacing w:val="-8"/>
        </w:rPr>
        <w:t xml:space="preserve"> </w:t>
      </w:r>
      <w:r>
        <w:t>Calcott</w:t>
      </w:r>
      <w:r>
        <w:rPr>
          <w:spacing w:val="-8"/>
        </w:rPr>
        <w:t xml:space="preserve"> </w:t>
      </w:r>
      <w:r>
        <w:t>del</w:t>
      </w:r>
      <w:r>
        <w:rPr>
          <w:spacing w:val="-8"/>
        </w:rPr>
        <w:t xml:space="preserve"> </w:t>
      </w:r>
      <w:r>
        <w:t>pueblo</w:t>
      </w:r>
      <w:r>
        <w:rPr>
          <w:spacing w:val="-8"/>
        </w:rPr>
        <w:t xml:space="preserve"> </w:t>
      </w:r>
      <w:r>
        <w:t>Wiradjuri.</w:t>
      </w:r>
      <w:r>
        <w:rPr>
          <w:spacing w:val="-8"/>
        </w:rPr>
        <w:t xml:space="preserve"> </w:t>
      </w:r>
      <w:r>
        <w:t>Paul</w:t>
      </w:r>
      <w:r>
        <w:rPr>
          <w:spacing w:val="-7"/>
        </w:rPr>
        <w:t xml:space="preserve"> </w:t>
      </w:r>
      <w:r>
        <w:t>utiliza</w:t>
      </w:r>
      <w:r>
        <w:rPr>
          <w:spacing w:val="-8"/>
        </w:rPr>
        <w:t xml:space="preserve"> </w:t>
      </w:r>
      <w:r>
        <w:t>el</w:t>
      </w:r>
      <w:r>
        <w:rPr>
          <w:spacing w:val="-8"/>
        </w:rPr>
        <w:t xml:space="preserve"> </w:t>
      </w:r>
      <w:r>
        <w:t>arte</w:t>
      </w:r>
      <w:r>
        <w:rPr>
          <w:spacing w:val="-8"/>
        </w:rPr>
        <w:t xml:space="preserve"> </w:t>
      </w:r>
      <w:r>
        <w:t>y</w:t>
      </w:r>
      <w:r>
        <w:rPr>
          <w:spacing w:val="-8"/>
        </w:rPr>
        <w:t xml:space="preserve"> </w:t>
      </w:r>
      <w:r>
        <w:t>los</w:t>
      </w:r>
      <w:r>
        <w:rPr>
          <w:spacing w:val="-8"/>
        </w:rPr>
        <w:t xml:space="preserve"> </w:t>
      </w:r>
      <w:r>
        <w:t>símbolos tradicionales</w:t>
      </w:r>
      <w:r>
        <w:rPr>
          <w:spacing w:val="-10"/>
        </w:rPr>
        <w:t xml:space="preserve"> </w:t>
      </w:r>
      <w:r>
        <w:t>de</w:t>
      </w:r>
      <w:r>
        <w:rPr>
          <w:spacing w:val="-10"/>
        </w:rPr>
        <w:t xml:space="preserve"> </w:t>
      </w:r>
      <w:r>
        <w:t>sus</w:t>
      </w:r>
      <w:r>
        <w:rPr>
          <w:spacing w:val="-10"/>
        </w:rPr>
        <w:t xml:space="preserve"> </w:t>
      </w:r>
      <w:r>
        <w:t>ancestros</w:t>
      </w:r>
      <w:r>
        <w:rPr>
          <w:spacing w:val="-9"/>
        </w:rPr>
        <w:t xml:space="preserve"> </w:t>
      </w:r>
      <w:r>
        <w:t>para</w:t>
      </w:r>
      <w:r>
        <w:rPr>
          <w:spacing w:val="-10"/>
        </w:rPr>
        <w:t xml:space="preserve"> </w:t>
      </w:r>
      <w:r>
        <w:t>hablar</w:t>
      </w:r>
      <w:r>
        <w:rPr>
          <w:spacing w:val="-10"/>
        </w:rPr>
        <w:t xml:space="preserve"> </w:t>
      </w:r>
      <w:r>
        <w:t>sobre</w:t>
      </w:r>
      <w:r>
        <w:rPr>
          <w:spacing w:val="-9"/>
        </w:rPr>
        <w:t xml:space="preserve"> </w:t>
      </w:r>
      <w:r>
        <w:t>temas</w:t>
      </w:r>
      <w:r>
        <w:rPr>
          <w:spacing w:val="-10"/>
        </w:rPr>
        <w:t xml:space="preserve"> </w:t>
      </w:r>
      <w:r>
        <w:t>relacionados</w:t>
      </w:r>
      <w:r>
        <w:rPr>
          <w:spacing w:val="-10"/>
        </w:rPr>
        <w:t xml:space="preserve"> </w:t>
      </w:r>
      <w:r>
        <w:t>con</w:t>
      </w:r>
      <w:r>
        <w:rPr>
          <w:spacing w:val="-9"/>
        </w:rPr>
        <w:t xml:space="preserve"> </w:t>
      </w:r>
      <w:r>
        <w:t>la</w:t>
      </w:r>
      <w:r>
        <w:rPr>
          <w:spacing w:val="-10"/>
        </w:rPr>
        <w:t xml:space="preserve"> </w:t>
      </w:r>
      <w:r>
        <w:t>comunidad</w:t>
      </w:r>
      <w:r>
        <w:rPr>
          <w:spacing w:val="-10"/>
        </w:rPr>
        <w:t xml:space="preserve"> </w:t>
      </w:r>
      <w:r>
        <w:t>LGBTIQA+</w:t>
      </w:r>
      <w:r>
        <w:rPr>
          <w:spacing w:val="-10"/>
        </w:rPr>
        <w:t xml:space="preserve"> </w:t>
      </w:r>
      <w:r>
        <w:t>(dos espíritus),</w:t>
      </w:r>
      <w:r>
        <w:rPr>
          <w:spacing w:val="-8"/>
        </w:rPr>
        <w:t xml:space="preserve"> </w:t>
      </w:r>
      <w:r>
        <w:t>las</w:t>
      </w:r>
      <w:r>
        <w:rPr>
          <w:spacing w:val="-8"/>
        </w:rPr>
        <w:t xml:space="preserve"> </w:t>
      </w:r>
      <w:r>
        <w:t>personas</w:t>
      </w:r>
      <w:r>
        <w:rPr>
          <w:spacing w:val="-7"/>
        </w:rPr>
        <w:t xml:space="preserve"> </w:t>
      </w:r>
      <w:r>
        <w:t>con</w:t>
      </w:r>
      <w:r>
        <w:rPr>
          <w:spacing w:val="-8"/>
        </w:rPr>
        <w:t xml:space="preserve"> </w:t>
      </w:r>
      <w:r>
        <w:t>discapacidad</w:t>
      </w:r>
      <w:r>
        <w:rPr>
          <w:spacing w:val="-8"/>
        </w:rPr>
        <w:t xml:space="preserve"> </w:t>
      </w:r>
      <w:r>
        <w:t>en</w:t>
      </w:r>
      <w:r>
        <w:rPr>
          <w:spacing w:val="-7"/>
        </w:rPr>
        <w:t xml:space="preserve"> </w:t>
      </w:r>
      <w:r>
        <w:t>las</w:t>
      </w:r>
      <w:r>
        <w:rPr>
          <w:spacing w:val="-8"/>
        </w:rPr>
        <w:t xml:space="preserve"> </w:t>
      </w:r>
      <w:r>
        <w:t>Primeras</w:t>
      </w:r>
      <w:r>
        <w:rPr>
          <w:spacing w:val="-8"/>
        </w:rPr>
        <w:t xml:space="preserve"> </w:t>
      </w:r>
      <w:r>
        <w:t>Naciones</w:t>
      </w:r>
      <w:r>
        <w:rPr>
          <w:spacing w:val="-7"/>
        </w:rPr>
        <w:t xml:space="preserve"> </w:t>
      </w:r>
      <w:r>
        <w:t>de</w:t>
      </w:r>
      <w:r>
        <w:rPr>
          <w:spacing w:val="-8"/>
        </w:rPr>
        <w:t xml:space="preserve"> </w:t>
      </w:r>
      <w:r>
        <w:t>la</w:t>
      </w:r>
      <w:r>
        <w:rPr>
          <w:spacing w:val="-18"/>
        </w:rPr>
        <w:t xml:space="preserve"> </w:t>
      </w:r>
      <w:r>
        <w:t>Australia</w:t>
      </w:r>
      <w:r>
        <w:rPr>
          <w:spacing w:val="-8"/>
        </w:rPr>
        <w:t xml:space="preserve"> </w:t>
      </w:r>
      <w:r>
        <w:t>remota</w:t>
      </w:r>
      <w:r>
        <w:rPr>
          <w:spacing w:val="-8"/>
        </w:rPr>
        <w:t xml:space="preserve"> </w:t>
      </w:r>
      <w:r>
        <w:t>y</w:t>
      </w:r>
      <w:r>
        <w:rPr>
          <w:spacing w:val="-7"/>
        </w:rPr>
        <w:t xml:space="preserve"> </w:t>
      </w:r>
      <w:r>
        <w:t>urbana.</w:t>
      </w:r>
    </w:p>
    <w:p w:rsidR="007A0A6C" w:rsidRDefault="007A0A6C">
      <w:pPr>
        <w:spacing w:line="247" w:lineRule="auto"/>
        <w:jc w:val="both"/>
        <w:sectPr w:rsidR="007A0A6C">
          <w:footerReference w:type="default" r:id="rId18"/>
          <w:pgSz w:w="11910" w:h="16840"/>
          <w:pgMar w:top="1580" w:right="440" w:bottom="540" w:left="380" w:header="0" w:footer="343" w:gutter="0"/>
          <w:pgNumType w:start="2"/>
          <w:cols w:space="720"/>
        </w:sectPr>
      </w:pPr>
    </w:p>
    <w:p w:rsidR="007A0A6C" w:rsidRDefault="00660E26">
      <w:pPr>
        <w:pStyle w:val="Heading1"/>
        <w:tabs>
          <w:tab w:val="left" w:pos="10805"/>
        </w:tabs>
      </w:pPr>
      <w:bookmarkStart w:id="4" w:name="Acerca_de_este_informe"/>
      <w:bookmarkStart w:id="5" w:name="_bookmark1"/>
      <w:bookmarkEnd w:id="4"/>
      <w:bookmarkEnd w:id="5"/>
      <w:r>
        <w:rPr>
          <w:color w:val="FFFFFF"/>
          <w:spacing w:val="-59"/>
          <w:shd w:val="clear" w:color="auto" w:fill="B31D30"/>
        </w:rPr>
        <w:lastRenderedPageBreak/>
        <w:t xml:space="preserve"> </w:t>
      </w:r>
      <w:bookmarkStart w:id="6" w:name="_Toc15026979"/>
      <w:bookmarkStart w:id="7" w:name="_Toc15027119"/>
      <w:r>
        <w:rPr>
          <w:color w:val="FFFFFF"/>
          <w:spacing w:val="-4"/>
          <w:shd w:val="clear" w:color="auto" w:fill="B31D30"/>
        </w:rPr>
        <w:t xml:space="preserve">Acerca </w:t>
      </w:r>
      <w:r>
        <w:rPr>
          <w:color w:val="FFFFFF"/>
          <w:shd w:val="clear" w:color="auto" w:fill="B31D30"/>
        </w:rPr>
        <w:t>de este</w:t>
      </w:r>
      <w:r>
        <w:rPr>
          <w:color w:val="FFFFFF"/>
          <w:spacing w:val="3"/>
          <w:shd w:val="clear" w:color="auto" w:fill="B31D30"/>
        </w:rPr>
        <w:t xml:space="preserve"> </w:t>
      </w:r>
      <w:r>
        <w:rPr>
          <w:color w:val="FFFFFF"/>
          <w:spacing w:val="-3"/>
          <w:shd w:val="clear" w:color="auto" w:fill="B31D30"/>
        </w:rPr>
        <w:t>informe</w:t>
      </w:r>
      <w:bookmarkEnd w:id="6"/>
      <w:bookmarkEnd w:id="7"/>
      <w:r>
        <w:rPr>
          <w:color w:val="FFFFFF"/>
          <w:spacing w:val="-3"/>
          <w:shd w:val="clear" w:color="auto" w:fill="B31D30"/>
        </w:rPr>
        <w:tab/>
      </w:r>
    </w:p>
    <w:p w:rsidR="007A0A6C" w:rsidRDefault="00660E26">
      <w:pPr>
        <w:pStyle w:val="BodyText"/>
        <w:spacing w:before="161" w:line="247" w:lineRule="auto"/>
        <w:ind w:left="340" w:right="384"/>
      </w:pPr>
      <w:r>
        <w:t>El presente Informe Paralelo de la Sociedad Civil relativo a la Convención sobre los Derechos de las Personas con Discapacidad (CRPD) ofrece la perspectiva de las personas con discapacidad con respecto al cumplimiento por parte de Australia de sus obligaciones en virtud de dicha Convención.</w:t>
      </w:r>
    </w:p>
    <w:p w:rsidR="007A0A6C" w:rsidRDefault="00660E26">
      <w:pPr>
        <w:pStyle w:val="BodyText"/>
        <w:spacing w:before="99" w:line="247" w:lineRule="auto"/>
        <w:ind w:left="340" w:right="542"/>
      </w:pPr>
      <w:r>
        <w:t>Este Informe responde a la Lista de temas previa a la presentación de los segundos y terceros informes periódicos combinados de Australia [CRPD/C/AUS/QPR/2-3] del Comité de la CRPD. También brinda información en virtud de los artículos 10, 20 y 23, que no formaban parte de la Lista de temas previa a la información (LOIPR). La numeración del Informe, en cada artículo, corresponde a la LOIPR pertinente.</w:t>
      </w:r>
    </w:p>
    <w:p w:rsidR="007A0A6C" w:rsidRDefault="00660E26">
      <w:pPr>
        <w:pStyle w:val="BodyText"/>
        <w:spacing w:before="97" w:line="247" w:lineRule="auto"/>
        <w:ind w:left="340" w:right="506"/>
      </w:pPr>
      <w:r>
        <w:t>Después de un Taller de Información Paralela de la CRPD llevado a cabo en noviembre de 2017, se estableció un Grupo de Trabajo CRPD de la Sociedad Civil Australiana (el Grupo de Trabajo) para ayudar a preparar la Revisión de Australia de la CRPD de las Naciones Unidas. Al elaborar este Informe Paralelo, el Grupo de Trabajo realizó consultas específicas con las personas con discapacidad y con sus</w:t>
      </w:r>
    </w:p>
    <w:p w:rsidR="007A0A6C" w:rsidRDefault="00660E26">
      <w:pPr>
        <w:pStyle w:val="BodyText"/>
        <w:spacing w:line="247" w:lineRule="auto"/>
        <w:ind w:left="340" w:right="334"/>
      </w:pPr>
      <w:r>
        <w:t>organizaciones de defensa, y analizó las pruebas recabadas de investigaciones iniciadas por el gobierno y la sociedad civil, y de diversos informes y presentaciones.</w:t>
      </w:r>
    </w:p>
    <w:p w:rsidR="007A0A6C" w:rsidRDefault="00660E26">
      <w:pPr>
        <w:pStyle w:val="BodyText"/>
        <w:spacing w:before="97" w:line="247" w:lineRule="auto"/>
        <w:ind w:left="340" w:right="322"/>
      </w:pPr>
      <w:r>
        <w:t>En el primer semestre de 2019, el Grupo de Trabajo realizó una encuesta en línea para las personas con discapacidad con el objeto de tener una posibilidad más para contribuir a la elaboración de este Informe. Más de 1000 personas con discapacidad respondieron a esta encuesta y los hallazgos se han incorporado al Informe.</w:t>
      </w:r>
    </w:p>
    <w:p w:rsidR="007A0A6C" w:rsidRDefault="00660E26">
      <w:pPr>
        <w:pStyle w:val="BodyText"/>
        <w:spacing w:before="98" w:line="247" w:lineRule="auto"/>
        <w:ind w:left="340" w:right="994"/>
      </w:pPr>
      <w:r>
        <w:t>El Grupo de Trabajo está compuesto por los representantes de las DPO, las organizaciones de representantes de personas con discapacidad y las organizaciones de defensa de las personas con discapacidad:</w:t>
      </w:r>
    </w:p>
    <w:p w:rsidR="007A0A6C" w:rsidRDefault="004638C1">
      <w:pPr>
        <w:pStyle w:val="ListParagraph"/>
        <w:numPr>
          <w:ilvl w:val="0"/>
          <w:numId w:val="17"/>
        </w:numPr>
        <w:tabs>
          <w:tab w:val="left" w:pos="1085"/>
        </w:tabs>
        <w:spacing w:before="79" w:line="242" w:lineRule="auto"/>
        <w:ind w:right="916" w:hanging="180"/>
        <w:rPr>
          <w:sz w:val="13"/>
        </w:rPr>
      </w:pPr>
      <w:hyperlink r:id="rId19">
        <w:r w:rsidR="00660E26">
          <w:rPr>
            <w:color w:val="215E9E"/>
            <w:u w:val="single" w:color="215E9E"/>
          </w:rPr>
          <w:t>Disabled</w:t>
        </w:r>
        <w:r w:rsidR="00660E26">
          <w:rPr>
            <w:color w:val="215E9E"/>
            <w:spacing w:val="-3"/>
            <w:u w:val="single" w:color="215E9E"/>
          </w:rPr>
          <w:t xml:space="preserve"> </w:t>
        </w:r>
        <w:r w:rsidR="00660E26">
          <w:rPr>
            <w:color w:val="215E9E"/>
            <w:u w:val="single" w:color="215E9E"/>
          </w:rPr>
          <w:t>People’s</w:t>
        </w:r>
        <w:r w:rsidR="00660E26">
          <w:rPr>
            <w:color w:val="215E9E"/>
            <w:spacing w:val="-2"/>
            <w:u w:val="single" w:color="215E9E"/>
          </w:rPr>
          <w:t xml:space="preserve"> </w:t>
        </w:r>
        <w:r w:rsidR="00660E26">
          <w:rPr>
            <w:color w:val="215E9E"/>
            <w:u w:val="single" w:color="215E9E"/>
          </w:rPr>
          <w:t>Organisations</w:t>
        </w:r>
        <w:r w:rsidR="00660E26">
          <w:rPr>
            <w:color w:val="215E9E"/>
            <w:spacing w:val="-14"/>
            <w:u w:val="single" w:color="215E9E"/>
          </w:rPr>
          <w:t xml:space="preserve"> </w:t>
        </w:r>
        <w:r w:rsidR="00660E26">
          <w:rPr>
            <w:color w:val="215E9E"/>
            <w:u w:val="single" w:color="215E9E"/>
          </w:rPr>
          <w:t>Australia</w:t>
        </w:r>
        <w:r w:rsidR="00660E26">
          <w:rPr>
            <w:color w:val="215E9E"/>
            <w:spacing w:val="-2"/>
            <w:u w:val="single" w:color="215E9E"/>
          </w:rPr>
          <w:t xml:space="preserve"> </w:t>
        </w:r>
        <w:r w:rsidR="00660E26">
          <w:rPr>
            <w:color w:val="215E9E"/>
            <w:u w:val="single" w:color="215E9E"/>
          </w:rPr>
          <w:t>(DPO</w:t>
        </w:r>
        <w:r w:rsidR="00660E26">
          <w:rPr>
            <w:color w:val="215E9E"/>
            <w:spacing w:val="-14"/>
            <w:u w:val="single" w:color="215E9E"/>
          </w:rPr>
          <w:t xml:space="preserve"> </w:t>
        </w:r>
        <w:r w:rsidR="00660E26">
          <w:rPr>
            <w:color w:val="215E9E"/>
            <w:u w:val="single" w:color="215E9E"/>
          </w:rPr>
          <w:t>Australia):</w:t>
        </w:r>
        <w:r w:rsidR="00660E26">
          <w:rPr>
            <w:color w:val="215E9E"/>
            <w:spacing w:val="-4"/>
          </w:rPr>
          <w:t xml:space="preserve"> </w:t>
        </w:r>
        <w:r w:rsidR="00660E26">
          <w:t>Organizaciones</w:t>
        </w:r>
        <w:r w:rsidR="00660E26">
          <w:rPr>
            <w:spacing w:val="-14"/>
          </w:rPr>
          <w:t xml:space="preserve"> </w:t>
        </w:r>
        <w:r w:rsidR="00660E26">
          <w:t>Australianas</w:t>
        </w:r>
        <w:r w:rsidR="00660E26">
          <w:rPr>
            <w:spacing w:val="-2"/>
          </w:rPr>
          <w:t xml:space="preserve"> </w:t>
        </w:r>
        <w:r w:rsidR="00660E26">
          <w:t>para</w:t>
        </w:r>
      </w:hyperlink>
      <w:hyperlink r:id="rId20">
        <w:r w:rsidR="00660E26">
          <w:t xml:space="preserve"> Personas con</w:t>
        </w:r>
        <w:r w:rsidR="00660E26">
          <w:rPr>
            <w:spacing w:val="-1"/>
          </w:rPr>
          <w:t xml:space="preserve"> </w:t>
        </w:r>
        <w:r w:rsidR="00660E26">
          <w:t>Discapacidad</w:t>
        </w:r>
      </w:hyperlink>
      <w:r w:rsidR="00660E26">
        <w:rPr>
          <w:position w:val="7"/>
          <w:sz w:val="13"/>
        </w:rPr>
        <w:t>1</w:t>
      </w:r>
    </w:p>
    <w:p w:rsidR="007A0A6C" w:rsidRDefault="004638C1">
      <w:pPr>
        <w:pStyle w:val="ListParagraph"/>
        <w:numPr>
          <w:ilvl w:val="0"/>
          <w:numId w:val="17"/>
        </w:numPr>
        <w:tabs>
          <w:tab w:val="left" w:pos="1085"/>
        </w:tabs>
        <w:spacing w:before="126" w:line="242" w:lineRule="auto"/>
        <w:ind w:right="1174" w:hanging="180"/>
      </w:pPr>
      <w:hyperlink r:id="rId21">
        <w:r w:rsidR="00660E26">
          <w:rPr>
            <w:color w:val="215E9E"/>
            <w:u w:val="single" w:color="215E9E"/>
          </w:rPr>
          <w:t>Council for Intellectual Disability NSW (CID):</w:t>
        </w:r>
        <w:r w:rsidR="00660E26">
          <w:rPr>
            <w:color w:val="215E9E"/>
          </w:rPr>
          <w:t xml:space="preserve"> </w:t>
        </w:r>
        <w:r w:rsidR="00660E26">
          <w:t>Consejo para las Personas con Discapacidad</w:t>
        </w:r>
      </w:hyperlink>
      <w:hyperlink r:id="rId22">
        <w:r w:rsidR="00660E26">
          <w:t xml:space="preserve"> Intelectual de</w:t>
        </w:r>
        <w:r w:rsidR="00660E26">
          <w:rPr>
            <w:spacing w:val="-2"/>
          </w:rPr>
          <w:t xml:space="preserve"> </w:t>
        </w:r>
        <w:r w:rsidR="00660E26">
          <w:t>NSW</w:t>
        </w:r>
      </w:hyperlink>
    </w:p>
    <w:p w:rsidR="007A0A6C" w:rsidRDefault="004638C1">
      <w:pPr>
        <w:pStyle w:val="ListParagraph"/>
        <w:numPr>
          <w:ilvl w:val="0"/>
          <w:numId w:val="17"/>
        </w:numPr>
        <w:tabs>
          <w:tab w:val="left" w:pos="1085"/>
        </w:tabs>
        <w:spacing w:before="126" w:line="242" w:lineRule="auto"/>
        <w:ind w:right="951" w:hanging="180"/>
      </w:pPr>
      <w:hyperlink r:id="rId23">
        <w:r w:rsidR="00660E26">
          <w:rPr>
            <w:color w:val="215E9E"/>
            <w:u w:val="single" w:color="215E9E"/>
          </w:rPr>
          <w:t>Queensland</w:t>
        </w:r>
        <w:r w:rsidR="00660E26">
          <w:rPr>
            <w:color w:val="215E9E"/>
            <w:spacing w:val="-15"/>
            <w:u w:val="single" w:color="215E9E"/>
          </w:rPr>
          <w:t xml:space="preserve"> </w:t>
        </w:r>
        <w:r w:rsidR="00660E26">
          <w:rPr>
            <w:color w:val="215E9E"/>
            <w:u w:val="single" w:color="215E9E"/>
          </w:rPr>
          <w:t>Advocacy</w:t>
        </w:r>
        <w:r w:rsidR="00660E26">
          <w:rPr>
            <w:color w:val="215E9E"/>
            <w:spacing w:val="-2"/>
            <w:u w:val="single" w:color="215E9E"/>
          </w:rPr>
          <w:t xml:space="preserve"> </w:t>
        </w:r>
        <w:r w:rsidR="00660E26">
          <w:rPr>
            <w:color w:val="215E9E"/>
            <w:u w:val="single" w:color="215E9E"/>
          </w:rPr>
          <w:t>Incorporated</w:t>
        </w:r>
        <w:r w:rsidR="00660E26">
          <w:rPr>
            <w:color w:val="215E9E"/>
            <w:spacing w:val="-3"/>
            <w:u w:val="single" w:color="215E9E"/>
          </w:rPr>
          <w:t xml:space="preserve"> </w:t>
        </w:r>
        <w:r w:rsidR="00660E26">
          <w:rPr>
            <w:color w:val="215E9E"/>
            <w:u w:val="single" w:color="215E9E"/>
          </w:rPr>
          <w:t>(QAI):</w:t>
        </w:r>
        <w:r w:rsidR="00660E26">
          <w:rPr>
            <w:color w:val="215E9E"/>
            <w:spacing w:val="-5"/>
          </w:rPr>
          <w:t xml:space="preserve"> </w:t>
        </w:r>
        <w:r w:rsidR="00660E26">
          <w:t>organización</w:t>
        </w:r>
        <w:r w:rsidR="00660E26">
          <w:rPr>
            <w:spacing w:val="-3"/>
          </w:rPr>
          <w:t xml:space="preserve"> </w:t>
        </w:r>
        <w:r w:rsidR="00660E26">
          <w:t>para</w:t>
        </w:r>
        <w:r w:rsidR="00660E26">
          <w:rPr>
            <w:spacing w:val="-4"/>
          </w:rPr>
          <w:t xml:space="preserve"> </w:t>
        </w:r>
        <w:r w:rsidR="00660E26">
          <w:t>la</w:t>
        </w:r>
        <w:r w:rsidR="00660E26">
          <w:rPr>
            <w:spacing w:val="-4"/>
          </w:rPr>
          <w:t xml:space="preserve"> </w:t>
        </w:r>
        <w:r w:rsidR="00660E26">
          <w:t>defensa</w:t>
        </w:r>
        <w:r w:rsidR="00660E26">
          <w:rPr>
            <w:spacing w:val="-3"/>
          </w:rPr>
          <w:t xml:space="preserve"> </w:t>
        </w:r>
        <w:r w:rsidR="00660E26">
          <w:t>de</w:t>
        </w:r>
        <w:r w:rsidR="00660E26">
          <w:rPr>
            <w:spacing w:val="-4"/>
          </w:rPr>
          <w:t xml:space="preserve"> </w:t>
        </w:r>
        <w:r w:rsidR="00660E26">
          <w:t>las</w:t>
        </w:r>
        <w:r w:rsidR="00660E26">
          <w:rPr>
            <w:spacing w:val="-4"/>
          </w:rPr>
          <w:t xml:space="preserve"> </w:t>
        </w:r>
        <w:r w:rsidR="00660E26">
          <w:t>personas</w:t>
        </w:r>
        <w:r w:rsidR="00660E26">
          <w:rPr>
            <w:spacing w:val="-3"/>
          </w:rPr>
          <w:t xml:space="preserve"> </w:t>
        </w:r>
        <w:r w:rsidR="00660E26">
          <w:t>con</w:t>
        </w:r>
      </w:hyperlink>
      <w:hyperlink r:id="rId24">
        <w:r w:rsidR="00660E26">
          <w:t xml:space="preserve"> discapacidad de</w:t>
        </w:r>
        <w:r w:rsidR="00660E26">
          <w:rPr>
            <w:spacing w:val="-3"/>
          </w:rPr>
          <w:t xml:space="preserve"> </w:t>
        </w:r>
        <w:r w:rsidR="00660E26">
          <w:t>Queensland</w:t>
        </w:r>
      </w:hyperlink>
    </w:p>
    <w:p w:rsidR="007A0A6C" w:rsidRDefault="004638C1">
      <w:pPr>
        <w:pStyle w:val="ListParagraph"/>
        <w:numPr>
          <w:ilvl w:val="0"/>
          <w:numId w:val="17"/>
        </w:numPr>
        <w:tabs>
          <w:tab w:val="left" w:pos="1085"/>
        </w:tabs>
        <w:spacing w:before="125"/>
        <w:ind w:left="1084" w:hanging="204"/>
      </w:pPr>
      <w:hyperlink r:id="rId25">
        <w:r w:rsidR="00660E26">
          <w:rPr>
            <w:color w:val="215E9E"/>
            <w:u w:val="single" w:color="215E9E"/>
          </w:rPr>
          <w:t>Advocacy for Inclusion (AFI):</w:t>
        </w:r>
        <w:r w:rsidR="00660E26">
          <w:rPr>
            <w:color w:val="215E9E"/>
          </w:rPr>
          <w:t xml:space="preserve"> </w:t>
        </w:r>
        <w:r w:rsidR="00660E26">
          <w:t>defensa para la</w:t>
        </w:r>
        <w:r w:rsidR="00660E26">
          <w:rPr>
            <w:spacing w:val="-6"/>
          </w:rPr>
          <w:t xml:space="preserve"> </w:t>
        </w:r>
        <w:r w:rsidR="00660E26">
          <w:t>inclusión</w:t>
        </w:r>
      </w:hyperlink>
    </w:p>
    <w:p w:rsidR="007A0A6C" w:rsidRDefault="004638C1">
      <w:pPr>
        <w:pStyle w:val="ListParagraph"/>
        <w:numPr>
          <w:ilvl w:val="0"/>
          <w:numId w:val="17"/>
        </w:numPr>
        <w:tabs>
          <w:tab w:val="left" w:pos="1085"/>
        </w:tabs>
        <w:spacing w:before="124" w:line="242" w:lineRule="auto"/>
        <w:ind w:right="1392" w:hanging="180"/>
      </w:pPr>
      <w:hyperlink r:id="rId26">
        <w:r w:rsidR="00660E26">
          <w:rPr>
            <w:color w:val="215E9E"/>
            <w:u w:val="single" w:color="215E9E"/>
          </w:rPr>
          <w:t>Disability</w:t>
        </w:r>
        <w:r w:rsidR="00660E26">
          <w:rPr>
            <w:color w:val="215E9E"/>
            <w:spacing w:val="-15"/>
            <w:u w:val="single" w:color="215E9E"/>
          </w:rPr>
          <w:t xml:space="preserve"> </w:t>
        </w:r>
        <w:r w:rsidR="00660E26">
          <w:rPr>
            <w:color w:val="215E9E"/>
            <w:u w:val="single" w:color="215E9E"/>
          </w:rPr>
          <w:t>Advocacy</w:t>
        </w:r>
        <w:r w:rsidR="00660E26">
          <w:rPr>
            <w:color w:val="215E9E"/>
            <w:spacing w:val="-3"/>
            <w:u w:val="single" w:color="215E9E"/>
          </w:rPr>
          <w:t xml:space="preserve"> </w:t>
        </w:r>
        <w:r w:rsidR="00660E26">
          <w:rPr>
            <w:color w:val="215E9E"/>
            <w:u w:val="single" w:color="215E9E"/>
          </w:rPr>
          <w:t>Network</w:t>
        </w:r>
        <w:r w:rsidR="00660E26">
          <w:rPr>
            <w:color w:val="215E9E"/>
            <w:spacing w:val="-15"/>
            <w:u w:val="single" w:color="215E9E"/>
          </w:rPr>
          <w:t xml:space="preserve"> </w:t>
        </w:r>
        <w:r w:rsidR="00660E26">
          <w:rPr>
            <w:color w:val="215E9E"/>
            <w:u w:val="single" w:color="215E9E"/>
          </w:rPr>
          <w:t>Australia</w:t>
        </w:r>
        <w:r w:rsidR="00660E26">
          <w:rPr>
            <w:color w:val="215E9E"/>
            <w:spacing w:val="-3"/>
            <w:u w:val="single" w:color="215E9E"/>
          </w:rPr>
          <w:t xml:space="preserve"> </w:t>
        </w:r>
        <w:r w:rsidR="00660E26">
          <w:rPr>
            <w:color w:val="215E9E"/>
            <w:u w:val="single" w:color="215E9E"/>
          </w:rPr>
          <w:t>(DANA):</w:t>
        </w:r>
        <w:r w:rsidR="00660E26">
          <w:rPr>
            <w:color w:val="215E9E"/>
            <w:spacing w:val="-3"/>
          </w:rPr>
          <w:t xml:space="preserve"> </w:t>
        </w:r>
        <w:r w:rsidR="00660E26">
          <w:t>Red</w:t>
        </w:r>
        <w:r w:rsidR="00660E26">
          <w:rPr>
            <w:spacing w:val="-4"/>
          </w:rPr>
          <w:t xml:space="preserve"> </w:t>
        </w:r>
        <w:r w:rsidR="00660E26">
          <w:t>para</w:t>
        </w:r>
        <w:r w:rsidR="00660E26">
          <w:rPr>
            <w:spacing w:val="-4"/>
          </w:rPr>
          <w:t xml:space="preserve"> </w:t>
        </w:r>
        <w:r w:rsidR="00660E26">
          <w:t>la</w:t>
        </w:r>
        <w:r w:rsidR="00660E26">
          <w:rPr>
            <w:spacing w:val="-4"/>
          </w:rPr>
          <w:t xml:space="preserve"> </w:t>
        </w:r>
        <w:r w:rsidR="00660E26">
          <w:t>defensa</w:t>
        </w:r>
        <w:r w:rsidR="00660E26">
          <w:rPr>
            <w:spacing w:val="-4"/>
          </w:rPr>
          <w:t xml:space="preserve"> </w:t>
        </w:r>
        <w:r w:rsidR="00660E26">
          <w:t>de</w:t>
        </w:r>
        <w:r w:rsidR="00660E26">
          <w:rPr>
            <w:spacing w:val="-4"/>
          </w:rPr>
          <w:t xml:space="preserve"> </w:t>
        </w:r>
        <w:r w:rsidR="00660E26">
          <w:t>las</w:t>
        </w:r>
        <w:r w:rsidR="00660E26">
          <w:rPr>
            <w:spacing w:val="-4"/>
          </w:rPr>
          <w:t xml:space="preserve"> </w:t>
        </w:r>
        <w:r w:rsidR="00660E26">
          <w:t>personas</w:t>
        </w:r>
        <w:r w:rsidR="00660E26">
          <w:rPr>
            <w:spacing w:val="-4"/>
          </w:rPr>
          <w:t xml:space="preserve"> </w:t>
        </w:r>
        <w:r w:rsidR="00660E26">
          <w:t>con</w:t>
        </w:r>
      </w:hyperlink>
      <w:hyperlink r:id="rId27">
        <w:r w:rsidR="00660E26">
          <w:t xml:space="preserve"> discapacidad</w:t>
        </w:r>
      </w:hyperlink>
    </w:p>
    <w:p w:rsidR="007A0A6C" w:rsidRDefault="004638C1">
      <w:pPr>
        <w:pStyle w:val="ListParagraph"/>
        <w:numPr>
          <w:ilvl w:val="0"/>
          <w:numId w:val="17"/>
        </w:numPr>
        <w:tabs>
          <w:tab w:val="left" w:pos="1085"/>
        </w:tabs>
        <w:spacing w:before="126" w:line="242" w:lineRule="auto"/>
        <w:ind w:right="1245" w:hanging="180"/>
      </w:pPr>
      <w:hyperlink r:id="rId28">
        <w:r w:rsidR="00660E26">
          <w:rPr>
            <w:color w:val="215E9E"/>
            <w:u w:val="single" w:color="215E9E"/>
          </w:rPr>
          <w:t>Australian Centre for Disability Law (ACDL):</w:t>
        </w:r>
        <w:r w:rsidR="00660E26">
          <w:rPr>
            <w:color w:val="215E9E"/>
          </w:rPr>
          <w:t xml:space="preserve"> </w:t>
        </w:r>
        <w:r w:rsidR="00660E26">
          <w:t>Centro</w:t>
        </w:r>
        <w:r w:rsidR="00660E26">
          <w:rPr>
            <w:spacing w:val="-48"/>
          </w:rPr>
          <w:t xml:space="preserve"> </w:t>
        </w:r>
        <w:r w:rsidR="00660E26">
          <w:t>Australiano de Derecho en materia de</w:t>
        </w:r>
      </w:hyperlink>
      <w:hyperlink r:id="rId29">
        <w:r w:rsidR="00660E26">
          <w:t xml:space="preserve"> Discapacidad</w:t>
        </w:r>
      </w:hyperlink>
    </w:p>
    <w:p w:rsidR="007A0A6C" w:rsidRDefault="004638C1">
      <w:pPr>
        <w:pStyle w:val="ListParagraph"/>
        <w:numPr>
          <w:ilvl w:val="0"/>
          <w:numId w:val="17"/>
        </w:numPr>
        <w:tabs>
          <w:tab w:val="left" w:pos="1085"/>
        </w:tabs>
        <w:spacing w:before="126"/>
        <w:ind w:left="1084" w:hanging="204"/>
      </w:pPr>
      <w:hyperlink r:id="rId30">
        <w:r w:rsidR="00660E26">
          <w:rPr>
            <w:color w:val="215E9E"/>
            <w:u w:val="single" w:color="215E9E"/>
          </w:rPr>
          <w:t xml:space="preserve">Queensland </w:t>
        </w:r>
        <w:r w:rsidR="00660E26">
          <w:rPr>
            <w:color w:val="215E9E"/>
            <w:spacing w:val="-3"/>
            <w:u w:val="single" w:color="215E9E"/>
          </w:rPr>
          <w:t xml:space="preserve">Voice </w:t>
        </w:r>
        <w:r w:rsidR="00660E26">
          <w:rPr>
            <w:color w:val="215E9E"/>
            <w:u w:val="single" w:color="215E9E"/>
          </w:rPr>
          <w:t>for Mental Health (QVMH):</w:t>
        </w:r>
        <w:r w:rsidR="00660E26">
          <w:rPr>
            <w:color w:val="215E9E"/>
          </w:rPr>
          <w:t xml:space="preserve"> </w:t>
        </w:r>
        <w:r w:rsidR="00660E26">
          <w:t>voz para la salud mental de</w:t>
        </w:r>
        <w:r w:rsidR="00660E26">
          <w:rPr>
            <w:spacing w:val="-7"/>
          </w:rPr>
          <w:t xml:space="preserve"> </w:t>
        </w:r>
        <w:r w:rsidR="00660E26">
          <w:t>Queensland</w:t>
        </w:r>
      </w:hyperlink>
    </w:p>
    <w:p w:rsidR="007A0A6C" w:rsidRDefault="004638C1">
      <w:pPr>
        <w:pStyle w:val="ListParagraph"/>
        <w:numPr>
          <w:ilvl w:val="0"/>
          <w:numId w:val="17"/>
        </w:numPr>
        <w:tabs>
          <w:tab w:val="left" w:pos="1085"/>
        </w:tabs>
        <w:spacing w:before="124" w:line="242" w:lineRule="auto"/>
        <w:ind w:right="474" w:hanging="180"/>
      </w:pPr>
      <w:hyperlink r:id="rId31">
        <w:r w:rsidR="00660E26">
          <w:rPr>
            <w:color w:val="215E9E"/>
            <w:u w:val="single" w:color="215E9E"/>
          </w:rPr>
          <w:t>Children</w:t>
        </w:r>
        <w:r w:rsidR="00660E26">
          <w:rPr>
            <w:color w:val="215E9E"/>
            <w:spacing w:val="-5"/>
            <w:u w:val="single" w:color="215E9E"/>
          </w:rPr>
          <w:t xml:space="preserve"> </w:t>
        </w:r>
        <w:r w:rsidR="00660E26">
          <w:rPr>
            <w:color w:val="215E9E"/>
            <w:u w:val="single" w:color="215E9E"/>
          </w:rPr>
          <w:t>and</w:t>
        </w:r>
        <w:r w:rsidR="00660E26">
          <w:rPr>
            <w:color w:val="215E9E"/>
            <w:spacing w:val="-7"/>
            <w:u w:val="single" w:color="215E9E"/>
          </w:rPr>
          <w:t xml:space="preserve"> </w:t>
        </w:r>
        <w:r w:rsidR="00660E26">
          <w:rPr>
            <w:color w:val="215E9E"/>
            <w:spacing w:val="-5"/>
            <w:u w:val="single" w:color="215E9E"/>
          </w:rPr>
          <w:t>Young</w:t>
        </w:r>
        <w:r w:rsidR="00660E26">
          <w:rPr>
            <w:color w:val="215E9E"/>
            <w:spacing w:val="-4"/>
            <w:u w:val="single" w:color="215E9E"/>
          </w:rPr>
          <w:t xml:space="preserve"> </w:t>
        </w:r>
        <w:r w:rsidR="00660E26">
          <w:rPr>
            <w:color w:val="215E9E"/>
            <w:u w:val="single" w:color="215E9E"/>
          </w:rPr>
          <w:t>People</w:t>
        </w:r>
        <w:r w:rsidR="00660E26">
          <w:rPr>
            <w:color w:val="215E9E"/>
            <w:spacing w:val="-3"/>
            <w:u w:val="single" w:color="215E9E"/>
          </w:rPr>
          <w:t xml:space="preserve"> </w:t>
        </w:r>
        <w:r w:rsidR="00660E26">
          <w:rPr>
            <w:color w:val="215E9E"/>
            <w:u w:val="single" w:color="215E9E"/>
          </w:rPr>
          <w:t>with</w:t>
        </w:r>
        <w:r w:rsidR="00660E26">
          <w:rPr>
            <w:color w:val="215E9E"/>
            <w:spacing w:val="-4"/>
            <w:u w:val="single" w:color="215E9E"/>
          </w:rPr>
          <w:t xml:space="preserve"> </w:t>
        </w:r>
        <w:r w:rsidR="00660E26">
          <w:rPr>
            <w:color w:val="215E9E"/>
            <w:u w:val="single" w:color="215E9E"/>
          </w:rPr>
          <w:t>Disability</w:t>
        </w:r>
        <w:r w:rsidR="00660E26">
          <w:rPr>
            <w:color w:val="215E9E"/>
            <w:spacing w:val="-14"/>
            <w:u w:val="single" w:color="215E9E"/>
          </w:rPr>
          <w:t xml:space="preserve"> </w:t>
        </w:r>
        <w:r w:rsidR="00660E26">
          <w:rPr>
            <w:color w:val="215E9E"/>
            <w:u w:val="single" w:color="215E9E"/>
          </w:rPr>
          <w:t>Australia</w:t>
        </w:r>
        <w:r w:rsidR="00660E26">
          <w:rPr>
            <w:color w:val="215E9E"/>
            <w:spacing w:val="-4"/>
            <w:u w:val="single" w:color="215E9E"/>
          </w:rPr>
          <w:t xml:space="preserve"> </w:t>
        </w:r>
        <w:r w:rsidR="00660E26">
          <w:rPr>
            <w:color w:val="215E9E"/>
            <w:u w:val="single" w:color="215E9E"/>
          </w:rPr>
          <w:t>(CYDA):</w:t>
        </w:r>
        <w:r w:rsidR="00660E26">
          <w:rPr>
            <w:color w:val="215E9E"/>
            <w:spacing w:val="-2"/>
          </w:rPr>
          <w:t xml:space="preserve"> </w:t>
        </w:r>
        <w:r w:rsidR="00660E26">
          <w:t>Niños</w:t>
        </w:r>
        <w:r w:rsidR="00660E26">
          <w:rPr>
            <w:spacing w:val="-4"/>
          </w:rPr>
          <w:t xml:space="preserve"> </w:t>
        </w:r>
        <w:r w:rsidR="00660E26">
          <w:t>y</w:t>
        </w:r>
        <w:r w:rsidR="00660E26">
          <w:rPr>
            <w:spacing w:val="-3"/>
          </w:rPr>
          <w:t xml:space="preserve"> </w:t>
        </w:r>
        <w:r w:rsidR="00660E26">
          <w:t>jóvenes</w:t>
        </w:r>
        <w:r w:rsidR="00660E26">
          <w:rPr>
            <w:spacing w:val="-4"/>
          </w:rPr>
          <w:t xml:space="preserve"> </w:t>
        </w:r>
        <w:r w:rsidR="00660E26">
          <w:t>con</w:t>
        </w:r>
        <w:r w:rsidR="00660E26">
          <w:rPr>
            <w:spacing w:val="-3"/>
          </w:rPr>
          <w:t xml:space="preserve"> </w:t>
        </w:r>
        <w:r w:rsidR="00660E26">
          <w:t>discapacidad</w:t>
        </w:r>
        <w:r w:rsidR="00660E26">
          <w:rPr>
            <w:spacing w:val="-4"/>
          </w:rPr>
          <w:t xml:space="preserve"> </w:t>
        </w:r>
        <w:r w:rsidR="00660E26">
          <w:t>de</w:t>
        </w:r>
      </w:hyperlink>
      <w:hyperlink r:id="rId32">
        <w:r w:rsidR="00660E26">
          <w:t xml:space="preserve"> Australia</w:t>
        </w:r>
      </w:hyperlink>
    </w:p>
    <w:p w:rsidR="007A0A6C" w:rsidRDefault="004638C1">
      <w:pPr>
        <w:pStyle w:val="ListParagraph"/>
        <w:numPr>
          <w:ilvl w:val="0"/>
          <w:numId w:val="17"/>
        </w:numPr>
        <w:tabs>
          <w:tab w:val="left" w:pos="1085"/>
        </w:tabs>
        <w:spacing w:before="126" w:line="242" w:lineRule="auto"/>
        <w:ind w:right="1805" w:hanging="180"/>
      </w:pPr>
      <w:hyperlink r:id="rId33">
        <w:r w:rsidR="00660E26">
          <w:rPr>
            <w:color w:val="215E9E"/>
            <w:u w:val="single" w:color="215E9E"/>
          </w:rPr>
          <w:t>Australian Federation of Disability Organisations (AFDO):</w:t>
        </w:r>
        <w:r w:rsidR="00660E26">
          <w:rPr>
            <w:color w:val="215E9E"/>
          </w:rPr>
          <w:t xml:space="preserve"> </w:t>
        </w:r>
        <w:r w:rsidR="00660E26">
          <w:t>Federación Australiana</w:t>
        </w:r>
        <w:r w:rsidR="00660E26">
          <w:rPr>
            <w:spacing w:val="-27"/>
          </w:rPr>
          <w:t xml:space="preserve"> </w:t>
        </w:r>
        <w:r w:rsidR="00660E26">
          <w:t>de</w:t>
        </w:r>
      </w:hyperlink>
      <w:hyperlink r:id="rId34">
        <w:r w:rsidR="00660E26">
          <w:t xml:space="preserve"> Organizaciones para Personas con</w:t>
        </w:r>
        <w:r w:rsidR="00660E26">
          <w:rPr>
            <w:spacing w:val="-2"/>
          </w:rPr>
          <w:t xml:space="preserve"> </w:t>
        </w:r>
        <w:r w:rsidR="00660E26">
          <w:t>Discapacidad</w:t>
        </w:r>
      </w:hyperlink>
    </w:p>
    <w:p w:rsidR="007A0A6C" w:rsidRDefault="007A0A6C">
      <w:pPr>
        <w:pStyle w:val="BodyText"/>
        <w:ind w:left="0"/>
        <w:rPr>
          <w:sz w:val="24"/>
        </w:rPr>
      </w:pPr>
    </w:p>
    <w:p w:rsidR="007A0A6C" w:rsidRDefault="007A0A6C">
      <w:pPr>
        <w:pStyle w:val="BodyText"/>
        <w:spacing w:before="1"/>
        <w:ind w:left="0"/>
        <w:rPr>
          <w:sz w:val="19"/>
        </w:rPr>
      </w:pPr>
    </w:p>
    <w:p w:rsidR="007A0A6C" w:rsidRDefault="00660E26">
      <w:pPr>
        <w:ind w:left="340"/>
        <w:rPr>
          <w:b/>
        </w:rPr>
      </w:pPr>
      <w:r>
        <w:rPr>
          <w:b/>
          <w:sz w:val="24"/>
        </w:rPr>
        <w:t>Ca</w:t>
      </w:r>
      <w:r>
        <w:rPr>
          <w:b/>
        </w:rPr>
        <w:t>ntidad de palabras de este Informe:</w:t>
      </w:r>
    </w:p>
    <w:p w:rsidR="007A0A6C" w:rsidRDefault="00660E26">
      <w:pPr>
        <w:pStyle w:val="BodyText"/>
        <w:spacing w:before="103" w:line="247" w:lineRule="auto"/>
        <w:ind w:left="340" w:right="746"/>
        <w:jc w:val="both"/>
      </w:pPr>
      <w:r>
        <w:t xml:space="preserve">Conforme a las Directrices sobre la participación de las organizaciones de personas con discapacidad (DPO) y a las organizaciones de la sociedad civil en los trabajos del Comité [UN Doc </w:t>
      </w:r>
      <w:r>
        <w:rPr>
          <w:spacing w:val="-3"/>
        </w:rPr>
        <w:t xml:space="preserve">CRPD/C/11/2], </w:t>
      </w:r>
      <w:r>
        <w:t>la cantidad de palabras de este informe es de 9850.</w:t>
      </w:r>
    </w:p>
    <w:p w:rsidR="007A0A6C" w:rsidRDefault="007A0A6C">
      <w:pPr>
        <w:pStyle w:val="BodyText"/>
        <w:ind w:left="0"/>
        <w:rPr>
          <w:sz w:val="20"/>
        </w:rPr>
      </w:pPr>
    </w:p>
    <w:p w:rsidR="007A0A6C" w:rsidRDefault="004638C1">
      <w:pPr>
        <w:pStyle w:val="BodyText"/>
        <w:spacing w:before="8"/>
        <w:ind w:left="0"/>
        <w:rPr>
          <w:sz w:val="29"/>
        </w:rPr>
      </w:pPr>
      <w:r>
        <w:pict>
          <v:line id="_x0000_s1039" alt="" style="position:absolute;z-index:-251661824;mso-wrap-edited:f;mso-width-percent:0;mso-height-percent:0;mso-wrap-distance-left:0;mso-wrap-distance-right:0;mso-position-horizontal-relative:page;mso-width-percent:0;mso-height-percent:0" from="36pt,19.55pt" to="108pt,19.55pt" strokeweight="1pt">
            <w10:wrap type="topAndBottom" anchorx="page"/>
          </v:line>
        </w:pict>
      </w:r>
    </w:p>
    <w:p w:rsidR="007A0A6C" w:rsidRPr="009759E1" w:rsidRDefault="004638C1" w:rsidP="009759E1">
      <w:pPr>
        <w:pStyle w:val="ListParagraph"/>
        <w:numPr>
          <w:ilvl w:val="0"/>
          <w:numId w:val="16"/>
        </w:numPr>
        <w:tabs>
          <w:tab w:val="left" w:pos="589"/>
        </w:tabs>
        <w:spacing w:before="11" w:line="261" w:lineRule="auto"/>
        <w:ind w:right="546" w:firstLine="0"/>
        <w:rPr>
          <w:sz w:val="16"/>
        </w:rPr>
        <w:sectPr w:rsidR="007A0A6C" w:rsidRPr="009759E1">
          <w:pgSz w:w="11910" w:h="16840"/>
          <w:pgMar w:top="640" w:right="440" w:bottom="540" w:left="380" w:header="0" w:footer="343" w:gutter="0"/>
          <w:cols w:space="720"/>
        </w:sectPr>
      </w:pPr>
      <w:hyperlink r:id="rId35">
        <w:r w:rsidR="00660E26">
          <w:rPr>
            <w:color w:val="215E9E"/>
            <w:sz w:val="16"/>
            <w:u w:val="single" w:color="215E9E"/>
          </w:rPr>
          <w:t>Las</w:t>
        </w:r>
        <w:r w:rsidR="00660E26">
          <w:rPr>
            <w:color w:val="215E9E"/>
            <w:spacing w:val="-4"/>
            <w:sz w:val="16"/>
            <w:u w:val="single" w:color="215E9E"/>
          </w:rPr>
          <w:t xml:space="preserve"> </w:t>
        </w:r>
        <w:r w:rsidR="00660E26">
          <w:rPr>
            <w:color w:val="215E9E"/>
            <w:sz w:val="16"/>
            <w:u w:val="single" w:color="215E9E"/>
          </w:rPr>
          <w:t>Organizaciones</w:t>
        </w:r>
        <w:r w:rsidR="00660E26">
          <w:rPr>
            <w:color w:val="215E9E"/>
            <w:spacing w:val="-12"/>
            <w:sz w:val="16"/>
            <w:u w:val="single" w:color="215E9E"/>
          </w:rPr>
          <w:t xml:space="preserve"> </w:t>
        </w:r>
        <w:r w:rsidR="00660E26">
          <w:rPr>
            <w:color w:val="215E9E"/>
            <w:sz w:val="16"/>
            <w:u w:val="single" w:color="215E9E"/>
          </w:rPr>
          <w:t>Australianas</w:t>
        </w:r>
        <w:r w:rsidR="00660E26">
          <w:rPr>
            <w:color w:val="215E9E"/>
            <w:spacing w:val="-2"/>
            <w:sz w:val="16"/>
            <w:u w:val="single" w:color="215E9E"/>
          </w:rPr>
          <w:t xml:space="preserve"> </w:t>
        </w:r>
        <w:r w:rsidR="00660E26">
          <w:rPr>
            <w:color w:val="215E9E"/>
            <w:sz w:val="16"/>
            <w:u w:val="single" w:color="215E9E"/>
          </w:rPr>
          <w:t>para</w:t>
        </w:r>
        <w:r w:rsidR="00660E26">
          <w:rPr>
            <w:color w:val="215E9E"/>
            <w:spacing w:val="-4"/>
            <w:sz w:val="16"/>
            <w:u w:val="single" w:color="215E9E"/>
          </w:rPr>
          <w:t xml:space="preserve"> </w:t>
        </w:r>
        <w:r w:rsidR="00660E26">
          <w:rPr>
            <w:color w:val="215E9E"/>
            <w:sz w:val="16"/>
            <w:u w:val="single" w:color="215E9E"/>
          </w:rPr>
          <w:t>Personas</w:t>
        </w:r>
        <w:r w:rsidR="00660E26">
          <w:rPr>
            <w:color w:val="215E9E"/>
            <w:spacing w:val="-3"/>
            <w:sz w:val="16"/>
            <w:u w:val="single" w:color="215E9E"/>
          </w:rPr>
          <w:t xml:space="preserve"> </w:t>
        </w:r>
        <w:r w:rsidR="00660E26">
          <w:rPr>
            <w:color w:val="215E9E"/>
            <w:sz w:val="16"/>
            <w:u w:val="single" w:color="215E9E"/>
          </w:rPr>
          <w:t>con</w:t>
        </w:r>
        <w:r w:rsidR="00660E26">
          <w:rPr>
            <w:color w:val="215E9E"/>
            <w:spacing w:val="-3"/>
            <w:sz w:val="16"/>
            <w:u w:val="single" w:color="215E9E"/>
          </w:rPr>
          <w:t xml:space="preserve"> </w:t>
        </w:r>
        <w:r w:rsidR="00660E26">
          <w:rPr>
            <w:color w:val="215E9E"/>
            <w:sz w:val="16"/>
            <w:u w:val="single" w:color="215E9E"/>
          </w:rPr>
          <w:t>Discapacidad</w:t>
        </w:r>
        <w:r w:rsidR="00660E26">
          <w:rPr>
            <w:color w:val="215E9E"/>
            <w:spacing w:val="-4"/>
            <w:sz w:val="16"/>
            <w:u w:val="single" w:color="215E9E"/>
          </w:rPr>
          <w:t xml:space="preserve"> </w:t>
        </w:r>
        <w:r w:rsidR="00660E26">
          <w:rPr>
            <w:color w:val="215E9E"/>
            <w:sz w:val="16"/>
            <w:u w:val="single" w:color="215E9E"/>
          </w:rPr>
          <w:t>(DPO</w:t>
        </w:r>
        <w:r w:rsidR="00660E26">
          <w:rPr>
            <w:color w:val="215E9E"/>
            <w:spacing w:val="-11"/>
            <w:sz w:val="16"/>
            <w:u w:val="single" w:color="215E9E"/>
          </w:rPr>
          <w:t xml:space="preserve"> </w:t>
        </w:r>
        <w:r w:rsidR="00660E26">
          <w:rPr>
            <w:color w:val="215E9E"/>
            <w:sz w:val="16"/>
            <w:u w:val="single" w:color="215E9E"/>
          </w:rPr>
          <w:t>Australia)</w:t>
        </w:r>
        <w:r w:rsidR="00660E26">
          <w:rPr>
            <w:color w:val="215E9E"/>
            <w:spacing w:val="-4"/>
            <w:sz w:val="16"/>
          </w:rPr>
          <w:t xml:space="preserve"> </w:t>
        </w:r>
      </w:hyperlink>
      <w:r w:rsidR="00660E26">
        <w:rPr>
          <w:sz w:val="16"/>
        </w:rPr>
        <w:t>son</w:t>
      </w:r>
      <w:r w:rsidR="00660E26">
        <w:rPr>
          <w:spacing w:val="-3"/>
          <w:sz w:val="16"/>
        </w:rPr>
        <w:t xml:space="preserve"> </w:t>
      </w:r>
      <w:r w:rsidR="00660E26">
        <w:rPr>
          <w:sz w:val="16"/>
        </w:rPr>
        <w:t>una</w:t>
      </w:r>
      <w:r w:rsidR="00660E26">
        <w:rPr>
          <w:spacing w:val="-4"/>
          <w:sz w:val="16"/>
        </w:rPr>
        <w:t xml:space="preserve"> </w:t>
      </w:r>
      <w:r w:rsidR="00660E26">
        <w:rPr>
          <w:sz w:val="16"/>
        </w:rPr>
        <w:t>alianza</w:t>
      </w:r>
      <w:r w:rsidR="00660E26">
        <w:rPr>
          <w:spacing w:val="-4"/>
          <w:sz w:val="16"/>
        </w:rPr>
        <w:t xml:space="preserve"> </w:t>
      </w:r>
      <w:r w:rsidR="00660E26">
        <w:rPr>
          <w:sz w:val="16"/>
        </w:rPr>
        <w:t>de</w:t>
      </w:r>
      <w:r w:rsidR="00660E26">
        <w:rPr>
          <w:spacing w:val="-3"/>
          <w:sz w:val="16"/>
        </w:rPr>
        <w:t xml:space="preserve"> </w:t>
      </w:r>
      <w:r w:rsidR="00660E26">
        <w:rPr>
          <w:sz w:val="16"/>
        </w:rPr>
        <w:t>cuatro</w:t>
      </w:r>
      <w:r w:rsidR="00660E26">
        <w:rPr>
          <w:spacing w:val="-3"/>
          <w:sz w:val="16"/>
        </w:rPr>
        <w:t xml:space="preserve"> </w:t>
      </w:r>
      <w:r w:rsidR="00660E26">
        <w:rPr>
          <w:sz w:val="16"/>
        </w:rPr>
        <w:t>organizaciones</w:t>
      </w:r>
      <w:r w:rsidR="00660E26">
        <w:rPr>
          <w:spacing w:val="-4"/>
          <w:sz w:val="16"/>
        </w:rPr>
        <w:t xml:space="preserve"> </w:t>
      </w:r>
      <w:r w:rsidR="00660E26">
        <w:rPr>
          <w:sz w:val="16"/>
        </w:rPr>
        <w:t>para</w:t>
      </w:r>
      <w:r w:rsidR="00660E26">
        <w:rPr>
          <w:spacing w:val="-4"/>
          <w:sz w:val="16"/>
        </w:rPr>
        <w:t xml:space="preserve"> </w:t>
      </w:r>
      <w:r w:rsidR="00660E26">
        <w:rPr>
          <w:sz w:val="16"/>
        </w:rPr>
        <w:t>personas con discapacidad, con discapacidad cruzada, específicas para la población, que se desempeñan a nivel nacional en Australia. DPO Australia fue fundada y está compuesta por:</w:t>
      </w:r>
      <w:hyperlink r:id="rId36">
        <w:r w:rsidR="00660E26">
          <w:rPr>
            <w:color w:val="215E9E"/>
            <w:sz w:val="16"/>
          </w:rPr>
          <w:t xml:space="preserve"> </w:t>
        </w:r>
        <w:r w:rsidR="00660E26">
          <w:rPr>
            <w:color w:val="215E9E"/>
            <w:sz w:val="16"/>
            <w:u w:val="single" w:color="215E9E"/>
          </w:rPr>
          <w:t>Women With Disabilities Australia (WWDA)</w:t>
        </w:r>
        <w:r w:rsidR="00660E26">
          <w:rPr>
            <w:color w:val="215E9E"/>
            <w:sz w:val="16"/>
          </w:rPr>
          <w:t xml:space="preserve"> </w:t>
        </w:r>
      </w:hyperlink>
      <w:r w:rsidR="00660E26">
        <w:rPr>
          <w:sz w:val="16"/>
        </w:rPr>
        <w:t>(Mujeres con discapacidad de Australia);</w:t>
      </w:r>
      <w:hyperlink r:id="rId37">
        <w:r w:rsidR="00660E26">
          <w:rPr>
            <w:color w:val="215E9E"/>
            <w:sz w:val="16"/>
          </w:rPr>
          <w:t xml:space="preserve"> </w:t>
        </w:r>
        <w:r w:rsidR="00660E26">
          <w:rPr>
            <w:color w:val="215E9E"/>
            <w:sz w:val="16"/>
            <w:u w:val="single" w:color="215E9E"/>
          </w:rPr>
          <w:t>First Peoples Disability</w:t>
        </w:r>
      </w:hyperlink>
      <w:hyperlink r:id="rId38">
        <w:r w:rsidR="00660E26">
          <w:rPr>
            <w:color w:val="215E9E"/>
            <w:sz w:val="16"/>
            <w:u w:val="single" w:color="215E9E"/>
          </w:rPr>
          <w:t xml:space="preserve"> Network Australia (FPDNA)</w:t>
        </w:r>
        <w:r w:rsidR="00660E26">
          <w:rPr>
            <w:color w:val="215E9E"/>
            <w:sz w:val="16"/>
          </w:rPr>
          <w:t xml:space="preserve"> </w:t>
        </w:r>
      </w:hyperlink>
      <w:r w:rsidR="00660E26">
        <w:rPr>
          <w:sz w:val="16"/>
        </w:rPr>
        <w:t>(Primera red de personas con discapacidad de Australia);</w:t>
      </w:r>
      <w:hyperlink r:id="rId39">
        <w:r w:rsidR="00660E26">
          <w:rPr>
            <w:color w:val="215E9E"/>
            <w:sz w:val="16"/>
          </w:rPr>
          <w:t xml:space="preserve"> </w:t>
        </w:r>
        <w:r w:rsidR="00660E26">
          <w:rPr>
            <w:color w:val="215E9E"/>
            <w:sz w:val="16"/>
            <w:u w:val="single" w:color="215E9E"/>
          </w:rPr>
          <w:t>People with Disability Australia (PWDA)</w:t>
        </w:r>
        <w:r w:rsidR="00660E26">
          <w:rPr>
            <w:color w:val="215E9E"/>
            <w:sz w:val="16"/>
          </w:rPr>
          <w:t xml:space="preserve"> </w:t>
        </w:r>
      </w:hyperlink>
      <w:r w:rsidR="00660E26">
        <w:rPr>
          <w:sz w:val="16"/>
        </w:rPr>
        <w:t>(Personas con discapacidad de Australia); y</w:t>
      </w:r>
      <w:hyperlink r:id="rId40">
        <w:r w:rsidR="00660E26">
          <w:rPr>
            <w:color w:val="215E9E"/>
            <w:sz w:val="16"/>
          </w:rPr>
          <w:t xml:space="preserve"> </w:t>
        </w:r>
        <w:r w:rsidR="00660E26">
          <w:rPr>
            <w:color w:val="215E9E"/>
            <w:sz w:val="16"/>
            <w:u w:val="single" w:color="215E9E"/>
          </w:rPr>
          <w:t>National Ethnic Disability Alliance (NEDA)</w:t>
        </w:r>
        <w:r w:rsidR="00660E26">
          <w:rPr>
            <w:color w:val="215E9E"/>
            <w:sz w:val="16"/>
          </w:rPr>
          <w:t xml:space="preserve"> </w:t>
        </w:r>
      </w:hyperlink>
      <w:r w:rsidR="00660E26">
        <w:rPr>
          <w:sz w:val="16"/>
        </w:rPr>
        <w:t>(Alianza nacional para las personas étnicas con discapacidad. Como DPO, estas cuatro organizaciones nacionales son organizaciones autodeterminadas conducidas, controladas y constituidas por personas con discapacidad.</w:t>
      </w:r>
    </w:p>
    <w:p w:rsidR="007A0A6C" w:rsidRDefault="00660E26">
      <w:pPr>
        <w:pStyle w:val="Heading1"/>
        <w:tabs>
          <w:tab w:val="left" w:pos="10805"/>
        </w:tabs>
      </w:pPr>
      <w:bookmarkStart w:id="8" w:name="_Toc15026981"/>
      <w:bookmarkStart w:id="9" w:name="_Toc15027121"/>
      <w:r>
        <w:rPr>
          <w:color w:val="FFFFFF"/>
          <w:shd w:val="clear" w:color="auto" w:fill="B31D30"/>
        </w:rPr>
        <w:lastRenderedPageBreak/>
        <w:t>Agradecimientos</w:t>
      </w:r>
      <w:bookmarkEnd w:id="8"/>
      <w:bookmarkEnd w:id="9"/>
      <w:r>
        <w:rPr>
          <w:color w:val="FFFFFF"/>
          <w:shd w:val="clear" w:color="auto" w:fill="B31D30"/>
        </w:rPr>
        <w:tab/>
      </w:r>
    </w:p>
    <w:p w:rsidR="007A0A6C" w:rsidRDefault="00660E26">
      <w:pPr>
        <w:pStyle w:val="BodyText"/>
        <w:spacing w:before="200" w:line="264" w:lineRule="auto"/>
        <w:ind w:left="340" w:right="404"/>
      </w:pPr>
      <w:r>
        <w:t>El Grupo de Trabajo del Informe Paralelo CRPD de la Sociedad Civil Australiana agradece a los dueños tradicionales de las tierras sobre las cuales se elabora esta publicación. Reconocemos la profunda conexión espiritual con esta tierra del pueblo aborigen y del Estrecho de Torres. Extendemos nuestro respeto a los miembros de la comunidad y a los ancianos del pasado, del presente y del futuro.</w:t>
      </w:r>
    </w:p>
    <w:p w:rsidR="007A0A6C" w:rsidRDefault="00660E26">
      <w:pPr>
        <w:pStyle w:val="BodyText"/>
        <w:spacing w:before="101" w:line="264" w:lineRule="auto"/>
        <w:ind w:left="340" w:right="715"/>
      </w:pPr>
      <w:r>
        <w:t>El Grupo de Trabajo del Informe Paralelo CRPD de la Sociedad Civil Australiana reconoce y agradece a Carolyn Frohmader, que elaboró el proyecto del presente Informe para y en nombre del Grupo de</w:t>
      </w:r>
    </w:p>
    <w:p w:rsidR="007A0A6C" w:rsidRDefault="00660E26">
      <w:pPr>
        <w:pStyle w:val="BodyText"/>
        <w:spacing w:before="1" w:line="264" w:lineRule="auto"/>
        <w:ind w:left="340" w:right="247"/>
      </w:pPr>
      <w:r>
        <w:t>Trabajo del Informe Paralelo CRPD de la Sociedad Civil, y a Therese Sands por editarlo y corregirlo, y por coordinar los preparativos de la sociedad civil para la revisión de Australia de la CRPD de las Naciones Unidas y del Grupo de Trabajo del Informe Paralelo CRPD de la Sociedad Civil.</w:t>
      </w:r>
    </w:p>
    <w:p w:rsidR="007A0A6C" w:rsidRDefault="00660E26">
      <w:pPr>
        <w:pStyle w:val="BodyText"/>
        <w:spacing w:before="101" w:line="264" w:lineRule="auto"/>
        <w:ind w:left="340" w:right="334"/>
      </w:pPr>
      <w:r>
        <w:t>El Grupo de Trabajo también agradece al Gobierno de Australia, al Departamento de la Fiscalía General y a PwC Australia por su apoyo para elaborar este Informe.</w:t>
      </w:r>
    </w:p>
    <w:p w:rsidR="007A0A6C" w:rsidRDefault="00660E26">
      <w:pPr>
        <w:pStyle w:val="BodyText"/>
        <w:spacing w:before="101" w:line="264" w:lineRule="auto"/>
        <w:ind w:left="340" w:right="383"/>
      </w:pPr>
      <w:r>
        <w:t>El Grupo de Trabajo del Informe Paralelo CRPD de la Sociedad Civil Australiana también reconoce y agradece a las personas con discapacidad que completaron la Encuesta Nacional de la CRPD (2019) que ayudó a elaborar este Informe.</w:t>
      </w:r>
    </w:p>
    <w:p w:rsidR="007A0A6C" w:rsidRDefault="007A0A6C">
      <w:pPr>
        <w:spacing w:line="264" w:lineRule="auto"/>
        <w:sectPr w:rsidR="007A0A6C">
          <w:footerReference w:type="default" r:id="rId41"/>
          <w:pgSz w:w="11910" w:h="16840"/>
          <w:pgMar w:top="620" w:right="440" w:bottom="540" w:left="380" w:header="0" w:footer="343" w:gutter="0"/>
          <w:pgNumType w:start="6"/>
          <w:cols w:space="720"/>
        </w:sectPr>
      </w:pPr>
    </w:p>
    <w:p w:rsidR="007A0A6C" w:rsidRDefault="00660E26">
      <w:pPr>
        <w:pStyle w:val="Heading1"/>
        <w:tabs>
          <w:tab w:val="left" w:pos="10805"/>
        </w:tabs>
      </w:pPr>
      <w:bookmarkStart w:id="10" w:name="Adhesiones"/>
      <w:bookmarkStart w:id="11" w:name="_bookmark3"/>
      <w:bookmarkEnd w:id="10"/>
      <w:bookmarkEnd w:id="11"/>
      <w:r>
        <w:rPr>
          <w:color w:val="FFFFFF"/>
          <w:spacing w:val="-59"/>
          <w:shd w:val="clear" w:color="auto" w:fill="B31D30"/>
        </w:rPr>
        <w:lastRenderedPageBreak/>
        <w:t xml:space="preserve"> </w:t>
      </w:r>
      <w:bookmarkStart w:id="12" w:name="_Toc15026982"/>
      <w:bookmarkStart w:id="13" w:name="_Toc15027122"/>
      <w:r>
        <w:rPr>
          <w:color w:val="FFFFFF"/>
          <w:shd w:val="clear" w:color="auto" w:fill="B31D30"/>
        </w:rPr>
        <w:t>Adhesiones</w:t>
      </w:r>
      <w:bookmarkEnd w:id="12"/>
      <w:bookmarkEnd w:id="13"/>
      <w:r>
        <w:rPr>
          <w:color w:val="FFFFFF"/>
          <w:shd w:val="clear" w:color="auto" w:fill="B31D30"/>
        </w:rPr>
        <w:tab/>
      </w:r>
    </w:p>
    <w:p w:rsidR="007A0A6C" w:rsidRDefault="00660E26">
      <w:pPr>
        <w:spacing w:before="162"/>
        <w:ind w:left="340"/>
        <w:rPr>
          <w:sz w:val="24"/>
        </w:rPr>
      </w:pPr>
      <w:r>
        <w:rPr>
          <w:sz w:val="24"/>
        </w:rPr>
        <w:t>The following organisations and individuals have endorsed this report in whole or in part.</w:t>
      </w:r>
    </w:p>
    <w:p w:rsidR="007A0A6C" w:rsidRDefault="00660E26">
      <w:pPr>
        <w:spacing w:before="9"/>
        <w:ind w:left="340"/>
        <w:rPr>
          <w:rFonts w:ascii="Raleway-SemiBold"/>
          <w:b/>
          <w:sz w:val="32"/>
        </w:rPr>
      </w:pPr>
      <w:r>
        <w:rPr>
          <w:rFonts w:ascii="Raleway-SemiBold"/>
          <w:b/>
          <w:sz w:val="32"/>
        </w:rPr>
        <w:t>Organisations</w:t>
      </w:r>
    </w:p>
    <w:p w:rsidR="007A0A6C" w:rsidRDefault="00660E26">
      <w:pPr>
        <w:spacing w:before="80" w:line="331" w:lineRule="auto"/>
        <w:ind w:left="340" w:right="6142"/>
        <w:rPr>
          <w:sz w:val="24"/>
        </w:rPr>
      </w:pPr>
      <w:r>
        <w:rPr>
          <w:sz w:val="24"/>
        </w:rPr>
        <w:t>ACT Council of Social Service (ACTCOSS) Advocacy for Inclusion</w:t>
      </w:r>
    </w:p>
    <w:p w:rsidR="007A0A6C" w:rsidRDefault="00660E26">
      <w:pPr>
        <w:spacing w:line="274" w:lineRule="exact"/>
        <w:ind w:left="340"/>
        <w:rPr>
          <w:sz w:val="24"/>
        </w:rPr>
      </w:pPr>
      <w:r>
        <w:rPr>
          <w:sz w:val="24"/>
        </w:rPr>
        <w:t>All Means All</w:t>
      </w:r>
    </w:p>
    <w:p w:rsidR="007A0A6C" w:rsidRDefault="00660E26">
      <w:pPr>
        <w:spacing w:before="104" w:line="331" w:lineRule="auto"/>
        <w:ind w:left="340" w:right="5888"/>
        <w:rPr>
          <w:sz w:val="24"/>
        </w:rPr>
      </w:pPr>
      <w:r>
        <w:rPr>
          <w:sz w:val="24"/>
        </w:rPr>
        <w:t>Australian Centre for Disability Law Australian Council of Social Service</w:t>
      </w:r>
      <w:r>
        <w:rPr>
          <w:spacing w:val="-9"/>
          <w:sz w:val="24"/>
        </w:rPr>
        <w:t xml:space="preserve"> </w:t>
      </w:r>
      <w:r>
        <w:rPr>
          <w:sz w:val="24"/>
        </w:rPr>
        <w:t>(ACOSS)</w:t>
      </w:r>
    </w:p>
    <w:p w:rsidR="007A0A6C" w:rsidRDefault="00660E26">
      <w:pPr>
        <w:spacing w:line="331" w:lineRule="auto"/>
        <w:ind w:left="340" w:right="5541"/>
        <w:rPr>
          <w:sz w:val="24"/>
        </w:rPr>
      </w:pPr>
      <w:r>
        <w:rPr>
          <w:sz w:val="24"/>
        </w:rPr>
        <w:t>Australian Disability + Development Consortium Australian Federation of Disability Organisations Australian Network for Universal Housing Design Australian Women Against Violence Alliance Blind Citizens Australia</w:t>
      </w:r>
    </w:p>
    <w:p w:rsidR="007A0A6C" w:rsidRDefault="00660E26">
      <w:pPr>
        <w:spacing w:line="331" w:lineRule="auto"/>
        <w:ind w:left="340" w:right="7942"/>
        <w:rPr>
          <w:sz w:val="24"/>
        </w:rPr>
      </w:pPr>
      <w:r>
        <w:rPr>
          <w:sz w:val="24"/>
        </w:rPr>
        <w:t>Brain Injury Matters Canberra Community Law</w:t>
      </w:r>
    </w:p>
    <w:p w:rsidR="007A0A6C" w:rsidRDefault="00660E26">
      <w:pPr>
        <w:spacing w:line="331" w:lineRule="auto"/>
        <w:ind w:left="340" w:right="3967"/>
        <w:rPr>
          <w:sz w:val="24"/>
        </w:rPr>
      </w:pPr>
      <w:r>
        <w:rPr>
          <w:sz w:val="24"/>
        </w:rPr>
        <w:t>Centre for Disability Research and Policy, University of Sydney Children and Young People with Disability Australia</w:t>
      </w:r>
    </w:p>
    <w:p w:rsidR="007A0A6C" w:rsidRDefault="00660E26">
      <w:pPr>
        <w:spacing w:line="331" w:lineRule="auto"/>
        <w:ind w:left="340" w:right="7181"/>
        <w:rPr>
          <w:sz w:val="24"/>
        </w:rPr>
      </w:pPr>
      <w:r>
        <w:rPr>
          <w:sz w:val="24"/>
        </w:rPr>
        <w:t>Children by Choice Communication Rights Australia Community Legal Centres NSW</w:t>
      </w:r>
    </w:p>
    <w:p w:rsidR="007A0A6C" w:rsidRDefault="00660E26">
      <w:pPr>
        <w:spacing w:line="331" w:lineRule="auto"/>
        <w:ind w:left="340" w:right="6729"/>
        <w:rPr>
          <w:sz w:val="24"/>
        </w:rPr>
      </w:pPr>
      <w:r>
        <w:rPr>
          <w:sz w:val="24"/>
        </w:rPr>
        <w:t>Council for Intellectual Disability NSW Deafblind Association (NSW) Inc Deafness Forum of Australia Disability Advocacy Network Australia Disability Advocacy</w:t>
      </w:r>
      <w:r>
        <w:rPr>
          <w:spacing w:val="-15"/>
          <w:sz w:val="24"/>
        </w:rPr>
        <w:t xml:space="preserve"> </w:t>
      </w:r>
      <w:r>
        <w:rPr>
          <w:sz w:val="24"/>
        </w:rPr>
        <w:t>NSW</w:t>
      </w:r>
    </w:p>
    <w:p w:rsidR="007A0A6C" w:rsidRDefault="00660E26">
      <w:pPr>
        <w:spacing w:line="331" w:lineRule="auto"/>
        <w:ind w:left="340" w:right="6142"/>
        <w:rPr>
          <w:sz w:val="24"/>
        </w:rPr>
      </w:pPr>
      <w:r>
        <w:rPr>
          <w:sz w:val="24"/>
        </w:rPr>
        <w:t>Disability Discrimination Legal Service Disabled People’s Organisations Australia Disability Resource Centre</w:t>
      </w:r>
    </w:p>
    <w:p w:rsidR="007A0A6C" w:rsidRDefault="00660E26">
      <w:pPr>
        <w:spacing w:line="331" w:lineRule="auto"/>
        <w:ind w:left="340" w:right="7542"/>
        <w:rPr>
          <w:sz w:val="24"/>
        </w:rPr>
      </w:pPr>
      <w:r>
        <w:rPr>
          <w:sz w:val="24"/>
        </w:rPr>
        <w:t>Domestic Violence NSW Down Syndrome Australia</w:t>
      </w:r>
    </w:p>
    <w:p w:rsidR="007A0A6C" w:rsidRDefault="00660E26">
      <w:pPr>
        <w:spacing w:line="331" w:lineRule="auto"/>
        <w:ind w:left="340" w:right="6407"/>
        <w:rPr>
          <w:sz w:val="24"/>
        </w:rPr>
      </w:pPr>
      <w:r>
        <w:rPr>
          <w:sz w:val="24"/>
        </w:rPr>
        <w:t>Elizabeth Evatt Community Legal Centre Engender Equality</w:t>
      </w:r>
    </w:p>
    <w:p w:rsidR="007A0A6C" w:rsidRDefault="00660E26">
      <w:pPr>
        <w:spacing w:line="331" w:lineRule="auto"/>
        <w:ind w:left="340" w:right="8395"/>
        <w:rPr>
          <w:sz w:val="24"/>
        </w:rPr>
      </w:pPr>
      <w:r>
        <w:rPr>
          <w:sz w:val="24"/>
        </w:rPr>
        <w:t>Equality Lawyers Family Planning NSW</w:t>
      </w:r>
    </w:p>
    <w:p w:rsidR="007A0A6C" w:rsidRDefault="00660E26">
      <w:pPr>
        <w:spacing w:line="274" w:lineRule="exact"/>
        <w:ind w:left="340"/>
        <w:rPr>
          <w:sz w:val="24"/>
        </w:rPr>
      </w:pPr>
      <w:r>
        <w:rPr>
          <w:sz w:val="24"/>
        </w:rPr>
        <w:t>First Peoples Disability Network</w:t>
      </w:r>
    </w:p>
    <w:p w:rsidR="007A0A6C" w:rsidRDefault="00660E26">
      <w:pPr>
        <w:spacing w:before="82" w:line="331" w:lineRule="auto"/>
        <w:ind w:left="340" w:right="5474"/>
        <w:rPr>
          <w:sz w:val="24"/>
        </w:rPr>
      </w:pPr>
      <w:r>
        <w:rPr>
          <w:sz w:val="24"/>
        </w:rPr>
        <w:t>Gold Coast Domestic Violence Prevention Centre Immigration Advice and Rights Centre</w:t>
      </w:r>
    </w:p>
    <w:p w:rsidR="007A0A6C" w:rsidRDefault="00660E26">
      <w:pPr>
        <w:spacing w:line="331" w:lineRule="auto"/>
        <w:ind w:left="340" w:right="6941"/>
        <w:rPr>
          <w:sz w:val="24"/>
        </w:rPr>
      </w:pPr>
      <w:r>
        <w:rPr>
          <w:sz w:val="24"/>
        </w:rPr>
        <w:t>Intellectual Disability Rights Service Intersex Human Rights Australia JFA Purple Orange</w:t>
      </w:r>
    </w:p>
    <w:p w:rsidR="007A0A6C" w:rsidRDefault="007A0A6C">
      <w:pPr>
        <w:spacing w:line="331" w:lineRule="auto"/>
        <w:rPr>
          <w:sz w:val="24"/>
        </w:rPr>
        <w:sectPr w:rsidR="007A0A6C">
          <w:pgSz w:w="11910" w:h="16840"/>
          <w:pgMar w:top="640" w:right="440" w:bottom="540" w:left="380" w:header="0" w:footer="343" w:gutter="0"/>
          <w:cols w:space="720"/>
        </w:sectPr>
      </w:pPr>
    </w:p>
    <w:p w:rsidR="007A0A6C" w:rsidRDefault="00660E26">
      <w:pPr>
        <w:spacing w:before="72"/>
        <w:ind w:left="340"/>
        <w:rPr>
          <w:sz w:val="24"/>
        </w:rPr>
      </w:pPr>
      <w:r>
        <w:rPr>
          <w:sz w:val="24"/>
        </w:rPr>
        <w:lastRenderedPageBreak/>
        <w:t>Kingsford Legal Centre</w:t>
      </w:r>
    </w:p>
    <w:p w:rsidR="007A0A6C" w:rsidRDefault="00660E26">
      <w:pPr>
        <w:spacing w:before="104" w:line="331" w:lineRule="auto"/>
        <w:ind w:left="340" w:right="5541"/>
        <w:rPr>
          <w:sz w:val="24"/>
        </w:rPr>
      </w:pPr>
      <w:r>
        <w:rPr>
          <w:sz w:val="24"/>
        </w:rPr>
        <w:t>Macleod Accommodation Support Service Inc Marie Stopes Australia</w:t>
      </w:r>
    </w:p>
    <w:p w:rsidR="007A0A6C" w:rsidRDefault="00660E26">
      <w:pPr>
        <w:spacing w:line="331" w:lineRule="auto"/>
        <w:ind w:left="340" w:right="5327"/>
        <w:rPr>
          <w:sz w:val="24"/>
        </w:rPr>
      </w:pPr>
      <w:r>
        <w:rPr>
          <w:sz w:val="24"/>
        </w:rPr>
        <w:t>National Association of Community Legal Centres National Council of Single Mothers &amp; their Children National Ethnic Disability Alliance</w:t>
      </w:r>
    </w:p>
    <w:p w:rsidR="007A0A6C" w:rsidRDefault="00660E26">
      <w:pPr>
        <w:spacing w:line="331" w:lineRule="auto"/>
        <w:ind w:left="340" w:right="3967"/>
        <w:rPr>
          <w:sz w:val="24"/>
        </w:rPr>
      </w:pPr>
      <w:r>
        <w:rPr>
          <w:sz w:val="24"/>
        </w:rPr>
        <w:t>National Mental Health Consumer and Carer Forum (NMHCCF) National Rural Women’s Coalition Ltd</w:t>
      </w:r>
    </w:p>
    <w:p w:rsidR="007A0A6C" w:rsidRDefault="00660E26">
      <w:pPr>
        <w:spacing w:line="331" w:lineRule="auto"/>
        <w:ind w:left="340" w:right="6368"/>
        <w:rPr>
          <w:sz w:val="24"/>
        </w:rPr>
      </w:pPr>
      <w:r>
        <w:rPr>
          <w:sz w:val="24"/>
        </w:rPr>
        <w:t>NSW Council of Social Service (NCOSS) People with Disabilities ACT (PwDACT) People with Disabilities WA</w:t>
      </w:r>
    </w:p>
    <w:p w:rsidR="007A0A6C" w:rsidRDefault="00660E26">
      <w:pPr>
        <w:spacing w:line="331" w:lineRule="auto"/>
        <w:ind w:left="340" w:right="6937"/>
        <w:rPr>
          <w:sz w:val="24"/>
        </w:rPr>
      </w:pPr>
      <w:r>
        <w:rPr>
          <w:sz w:val="24"/>
        </w:rPr>
        <w:t>People with Disability Australia Physical Disability Australia Physical Disability Council of NSW Public Interest Advocacy Centre</w:t>
      </w:r>
      <w:r>
        <w:rPr>
          <w:spacing w:val="-23"/>
          <w:sz w:val="24"/>
        </w:rPr>
        <w:t xml:space="preserve"> </w:t>
      </w:r>
      <w:r>
        <w:rPr>
          <w:sz w:val="24"/>
        </w:rPr>
        <w:t>Ltd Queensland Advocacy</w:t>
      </w:r>
      <w:r>
        <w:rPr>
          <w:spacing w:val="-6"/>
          <w:sz w:val="24"/>
        </w:rPr>
        <w:t xml:space="preserve"> </w:t>
      </w:r>
      <w:r>
        <w:rPr>
          <w:spacing w:val="-2"/>
          <w:sz w:val="24"/>
        </w:rPr>
        <w:t>Incorporated</w:t>
      </w:r>
    </w:p>
    <w:p w:rsidR="007A0A6C" w:rsidRDefault="00660E26">
      <w:pPr>
        <w:spacing w:line="331" w:lineRule="auto"/>
        <w:ind w:left="340" w:right="5847"/>
        <w:rPr>
          <w:sz w:val="24"/>
        </w:rPr>
      </w:pPr>
      <w:r>
        <w:rPr>
          <w:sz w:val="24"/>
        </w:rPr>
        <w:t>Queensland Collective for Inclusive Education Queensland Voice for Mental Health Queenslanders with Disability Network Ltd Rape &amp; Domestic Violence Services Australia Rights and Inclusion Australia</w:t>
      </w:r>
    </w:p>
    <w:p w:rsidR="007A0A6C" w:rsidRDefault="00660E26">
      <w:pPr>
        <w:spacing w:line="272" w:lineRule="exact"/>
        <w:ind w:left="340"/>
        <w:rPr>
          <w:sz w:val="24"/>
        </w:rPr>
      </w:pPr>
      <w:r>
        <w:rPr>
          <w:sz w:val="24"/>
        </w:rPr>
        <w:t>Rights in Action</w:t>
      </w:r>
    </w:p>
    <w:p w:rsidR="007A0A6C" w:rsidRDefault="00660E26">
      <w:pPr>
        <w:spacing w:before="91" w:line="331" w:lineRule="auto"/>
        <w:ind w:left="340" w:right="7181"/>
        <w:rPr>
          <w:sz w:val="24"/>
        </w:rPr>
      </w:pPr>
      <w:r>
        <w:rPr>
          <w:sz w:val="24"/>
        </w:rPr>
        <w:t>Save the Children Australia Sisters Inside</w:t>
      </w:r>
    </w:p>
    <w:p w:rsidR="007A0A6C" w:rsidRDefault="00660E26">
      <w:pPr>
        <w:spacing w:line="331" w:lineRule="auto"/>
        <w:ind w:left="340" w:right="7181"/>
        <w:rPr>
          <w:sz w:val="24"/>
        </w:rPr>
      </w:pPr>
      <w:r>
        <w:rPr>
          <w:sz w:val="24"/>
        </w:rPr>
        <w:t>South West Sydney Legal Centre Speak Out Advocacy</w:t>
      </w:r>
    </w:p>
    <w:p w:rsidR="007A0A6C" w:rsidRDefault="00660E26">
      <w:pPr>
        <w:spacing w:line="331" w:lineRule="auto"/>
        <w:ind w:left="340" w:right="6421"/>
        <w:rPr>
          <w:sz w:val="24"/>
        </w:rPr>
      </w:pPr>
      <w:r>
        <w:rPr>
          <w:sz w:val="24"/>
        </w:rPr>
        <w:t>Speaking Up For You inc. (SUFY) Sussex Street Community Law Service Sydney Queer and Disability Community</w:t>
      </w:r>
    </w:p>
    <w:p w:rsidR="007A0A6C" w:rsidRDefault="00660E26">
      <w:pPr>
        <w:spacing w:line="331" w:lineRule="auto"/>
        <w:ind w:left="340" w:right="5514"/>
        <w:rPr>
          <w:sz w:val="24"/>
        </w:rPr>
      </w:pPr>
      <w:r>
        <w:rPr>
          <w:sz w:val="24"/>
        </w:rPr>
        <w:t>Tasmanian Council of Social Service (TasCOSS) Tenants Union of NSW</w:t>
      </w:r>
    </w:p>
    <w:p w:rsidR="007A0A6C" w:rsidRDefault="00660E26">
      <w:pPr>
        <w:spacing w:line="331" w:lineRule="auto"/>
        <w:ind w:left="340" w:right="3245"/>
        <w:rPr>
          <w:sz w:val="24"/>
        </w:rPr>
      </w:pPr>
      <w:r>
        <w:rPr>
          <w:sz w:val="24"/>
        </w:rPr>
        <w:t>The Foundation for Independence Recreation &amp; Social Training Inc The Institute for Advocacy and Leadership Development</w:t>
      </w:r>
    </w:p>
    <w:p w:rsidR="007A0A6C" w:rsidRDefault="00660E26">
      <w:pPr>
        <w:spacing w:line="331" w:lineRule="auto"/>
        <w:ind w:left="340" w:right="3245"/>
        <w:rPr>
          <w:sz w:val="24"/>
        </w:rPr>
      </w:pPr>
      <w:r>
        <w:rPr>
          <w:sz w:val="24"/>
        </w:rPr>
        <w:t>University of Sydney’s Disability Action Plan Consultative Committee Victorian Mental Illness Awareness Council</w:t>
      </w:r>
    </w:p>
    <w:p w:rsidR="007A0A6C" w:rsidRDefault="00660E26">
      <w:pPr>
        <w:spacing w:line="331" w:lineRule="auto"/>
        <w:ind w:left="340" w:right="5861"/>
        <w:rPr>
          <w:sz w:val="24"/>
        </w:rPr>
      </w:pPr>
      <w:r>
        <w:rPr>
          <w:sz w:val="24"/>
        </w:rPr>
        <w:t>Villamanta Disability Rights Legal Service Inc. WA Council of Social Service (WACOSS) Wagga Women’s Health Centre</w:t>
      </w:r>
    </w:p>
    <w:p w:rsidR="007A0A6C" w:rsidRDefault="00660E26">
      <w:pPr>
        <w:spacing w:line="331" w:lineRule="auto"/>
        <w:ind w:left="340" w:right="8369"/>
        <w:rPr>
          <w:sz w:val="24"/>
        </w:rPr>
      </w:pPr>
      <w:r>
        <w:rPr>
          <w:sz w:val="24"/>
        </w:rPr>
        <w:t>Welfare Rights Centre WESNET</w:t>
      </w:r>
    </w:p>
    <w:p w:rsidR="007A0A6C" w:rsidRDefault="00660E26">
      <w:pPr>
        <w:spacing w:line="274" w:lineRule="exact"/>
        <w:ind w:left="340"/>
        <w:rPr>
          <w:sz w:val="24"/>
        </w:rPr>
      </w:pPr>
      <w:r>
        <w:rPr>
          <w:sz w:val="24"/>
        </w:rPr>
        <w:t>Women with Disabilities Australia</w:t>
      </w:r>
    </w:p>
    <w:p w:rsidR="007A0A6C" w:rsidRDefault="007A0A6C">
      <w:pPr>
        <w:spacing w:line="274" w:lineRule="exact"/>
        <w:rPr>
          <w:sz w:val="24"/>
        </w:rPr>
        <w:sectPr w:rsidR="007A0A6C">
          <w:pgSz w:w="11910" w:h="16840"/>
          <w:pgMar w:top="580" w:right="440" w:bottom="540" w:left="380" w:header="0" w:footer="343" w:gutter="0"/>
          <w:cols w:space="720"/>
        </w:sectPr>
      </w:pPr>
    </w:p>
    <w:p w:rsidR="007A0A6C" w:rsidRDefault="00660E26">
      <w:pPr>
        <w:spacing w:before="72" w:line="331" w:lineRule="auto"/>
        <w:ind w:left="340" w:right="6941"/>
        <w:rPr>
          <w:sz w:val="24"/>
        </w:rPr>
      </w:pPr>
      <w:r>
        <w:rPr>
          <w:sz w:val="24"/>
        </w:rPr>
        <w:lastRenderedPageBreak/>
        <w:t>Women With Disabilities ACT Women with Disabilities Victoria Women’s Legal Service NSW Women’s Legal Services Australia</w:t>
      </w:r>
    </w:p>
    <w:p w:rsidR="007A0A6C" w:rsidRDefault="00660E26">
      <w:pPr>
        <w:spacing w:line="273" w:lineRule="exact"/>
        <w:ind w:left="340"/>
        <w:rPr>
          <w:sz w:val="24"/>
        </w:rPr>
      </w:pPr>
      <w:r>
        <w:rPr>
          <w:sz w:val="24"/>
        </w:rPr>
        <w:t>Women’s Safety NSW</w:t>
      </w:r>
    </w:p>
    <w:p w:rsidR="007A0A6C" w:rsidRDefault="00660E26">
      <w:pPr>
        <w:spacing w:before="8"/>
        <w:ind w:left="340"/>
        <w:rPr>
          <w:rFonts w:ascii="Raleway-SemiBold"/>
          <w:b/>
          <w:sz w:val="32"/>
        </w:rPr>
      </w:pPr>
      <w:r>
        <w:rPr>
          <w:rFonts w:ascii="Raleway-SemiBold"/>
          <w:b/>
          <w:sz w:val="32"/>
        </w:rPr>
        <w:t>Individuals</w:t>
      </w:r>
    </w:p>
    <w:p w:rsidR="007A0A6C" w:rsidRDefault="00660E26">
      <w:pPr>
        <w:spacing w:before="80" w:line="331" w:lineRule="auto"/>
        <w:ind w:left="340" w:right="8882"/>
        <w:rPr>
          <w:sz w:val="24"/>
        </w:rPr>
      </w:pPr>
      <w:r>
        <w:rPr>
          <w:sz w:val="24"/>
        </w:rPr>
        <w:t>Heidi La Paglia Dr Joseph Naimo</w:t>
      </w:r>
    </w:p>
    <w:p w:rsidR="007A0A6C" w:rsidRDefault="00660E26">
      <w:pPr>
        <w:spacing w:line="274" w:lineRule="exact"/>
        <w:ind w:left="340"/>
        <w:rPr>
          <w:sz w:val="24"/>
        </w:rPr>
      </w:pPr>
      <w:r>
        <w:rPr>
          <w:sz w:val="24"/>
        </w:rPr>
        <w:t>Dr James M. Cregan</w:t>
      </w:r>
    </w:p>
    <w:p w:rsidR="007A0A6C" w:rsidRDefault="00660E26">
      <w:pPr>
        <w:spacing w:before="104"/>
        <w:ind w:left="340"/>
        <w:rPr>
          <w:sz w:val="24"/>
        </w:rPr>
      </w:pPr>
      <w:r>
        <w:rPr>
          <w:sz w:val="24"/>
        </w:rPr>
        <w:t>Dr Joan Beckwith (PhD)</w:t>
      </w:r>
    </w:p>
    <w:p w:rsidR="007A0A6C" w:rsidRDefault="00660E26">
      <w:pPr>
        <w:spacing w:before="104" w:line="331" w:lineRule="auto"/>
        <w:ind w:left="340" w:right="1619"/>
        <w:rPr>
          <w:sz w:val="24"/>
        </w:rPr>
      </w:pPr>
      <w:r>
        <w:rPr>
          <w:sz w:val="24"/>
        </w:rPr>
        <w:t>Ken Steele OAM, Chair Consumer and Carer Mental Health Advisory Council Emeritus Professor Odwyn Jones AO</w:t>
      </w:r>
    </w:p>
    <w:p w:rsidR="007A0A6C" w:rsidRDefault="00660E26">
      <w:pPr>
        <w:spacing w:line="274" w:lineRule="exact"/>
        <w:ind w:left="340"/>
        <w:rPr>
          <w:sz w:val="24"/>
        </w:rPr>
      </w:pPr>
      <w:r>
        <w:rPr>
          <w:sz w:val="24"/>
        </w:rPr>
        <w:t>Lyn Mahboub</w:t>
      </w:r>
    </w:p>
    <w:p w:rsidR="007A0A6C" w:rsidRDefault="00660E26">
      <w:pPr>
        <w:spacing w:before="104" w:line="331" w:lineRule="auto"/>
        <w:ind w:left="340" w:right="542"/>
        <w:rPr>
          <w:sz w:val="24"/>
        </w:rPr>
      </w:pPr>
      <w:r>
        <w:rPr>
          <w:sz w:val="24"/>
        </w:rPr>
        <w:t>Sue Boyce, former Chair of the Senate Standing Committee for Community Affairs (2013-2014) Dr Suzanne Covich (PhD)</w:t>
      </w:r>
    </w:p>
    <w:p w:rsidR="007A0A6C" w:rsidRDefault="00660E26">
      <w:pPr>
        <w:spacing w:line="274" w:lineRule="exact"/>
        <w:ind w:left="340"/>
        <w:rPr>
          <w:sz w:val="24"/>
        </w:rPr>
      </w:pPr>
      <w:r>
        <w:rPr>
          <w:sz w:val="24"/>
        </w:rPr>
        <w:t>Greg Lynn</w:t>
      </w:r>
    </w:p>
    <w:p w:rsidR="007A0A6C" w:rsidRDefault="00660E26">
      <w:pPr>
        <w:spacing w:before="104" w:line="242" w:lineRule="auto"/>
        <w:ind w:left="340"/>
        <w:rPr>
          <w:sz w:val="24"/>
        </w:rPr>
      </w:pPr>
      <w:r>
        <w:rPr>
          <w:sz w:val="24"/>
        </w:rPr>
        <w:t>Professor Jaya Dantas, President of Australian Graduate Women and Graduate Women Western Australia</w:t>
      </w:r>
    </w:p>
    <w:p w:rsidR="007A0A6C" w:rsidRDefault="00660E26">
      <w:pPr>
        <w:spacing w:before="102" w:line="331" w:lineRule="auto"/>
        <w:ind w:left="340" w:right="4915"/>
        <w:rPr>
          <w:sz w:val="24"/>
        </w:rPr>
      </w:pPr>
      <w:r>
        <w:rPr>
          <w:sz w:val="24"/>
        </w:rPr>
        <w:t>Dr Raelene West, RMIT University Social Researcher Dr Christina David, RMIT University Social Researcher</w:t>
      </w:r>
    </w:p>
    <w:p w:rsidR="007A0A6C" w:rsidRDefault="00660E26">
      <w:pPr>
        <w:spacing w:line="242" w:lineRule="auto"/>
        <w:ind w:left="340"/>
        <w:rPr>
          <w:sz w:val="24"/>
        </w:rPr>
      </w:pPr>
      <w:r>
        <w:rPr>
          <w:sz w:val="24"/>
        </w:rPr>
        <w:t>Dr Sue Olney, UNSW Canberra, School of Business - Research Fellow, Public Service Research Group</w:t>
      </w:r>
    </w:p>
    <w:p w:rsidR="007A0A6C" w:rsidRDefault="00660E26">
      <w:pPr>
        <w:spacing w:before="101" w:line="331" w:lineRule="auto"/>
        <w:ind w:left="340" w:right="5327"/>
        <w:rPr>
          <w:sz w:val="24"/>
        </w:rPr>
      </w:pPr>
      <w:r>
        <w:rPr>
          <w:sz w:val="24"/>
        </w:rPr>
        <w:t>Jenny Malone, RMIT University PhD candidate Monica O’Dwyer, RMIT University PhD candidate Stephanie Gotlib</w:t>
      </w:r>
    </w:p>
    <w:p w:rsidR="007A0A6C" w:rsidRDefault="00660E26">
      <w:pPr>
        <w:spacing w:line="331" w:lineRule="auto"/>
        <w:ind w:left="340" w:right="5180"/>
        <w:rPr>
          <w:sz w:val="24"/>
        </w:rPr>
      </w:pPr>
      <w:r>
        <w:rPr>
          <w:sz w:val="24"/>
        </w:rPr>
        <w:t>Wendy Taylor, RMIT University Industry fellow Elizabeth Hudson, RMIT University PhD candidate Wendy Taylor - RMIT University Industry fellow Elizabeth Hudson – RMIT University PhD Candidate</w:t>
      </w:r>
    </w:p>
    <w:p w:rsidR="007A0A6C" w:rsidRDefault="007A0A6C">
      <w:pPr>
        <w:spacing w:line="331" w:lineRule="auto"/>
        <w:rPr>
          <w:sz w:val="24"/>
        </w:rPr>
        <w:sectPr w:rsidR="007A0A6C">
          <w:pgSz w:w="11910" w:h="16840"/>
          <w:pgMar w:top="580" w:right="440" w:bottom="540" w:left="380" w:header="0" w:footer="343" w:gutter="0"/>
          <w:cols w:space="720"/>
        </w:sectPr>
      </w:pPr>
    </w:p>
    <w:p w:rsidR="007A0A6C" w:rsidRDefault="00660E26">
      <w:pPr>
        <w:tabs>
          <w:tab w:val="left" w:pos="10805"/>
        </w:tabs>
        <w:spacing w:before="82"/>
        <w:ind w:left="340"/>
        <w:rPr>
          <w:rFonts w:ascii="Raleway-SemiBold"/>
          <w:b/>
          <w:sz w:val="48"/>
        </w:rPr>
      </w:pPr>
      <w:bookmarkStart w:id="14" w:name="Resumen"/>
      <w:bookmarkStart w:id="15" w:name="_bookmark4"/>
      <w:bookmarkEnd w:id="14"/>
      <w:bookmarkEnd w:id="15"/>
      <w:r>
        <w:rPr>
          <w:rFonts w:ascii="Raleway-SemiBold"/>
          <w:b/>
          <w:color w:val="FFFFFF"/>
          <w:spacing w:val="-59"/>
          <w:sz w:val="48"/>
          <w:shd w:val="clear" w:color="auto" w:fill="B31D30"/>
        </w:rPr>
        <w:lastRenderedPageBreak/>
        <w:t xml:space="preserve"> </w:t>
      </w:r>
      <w:r>
        <w:rPr>
          <w:rFonts w:ascii="Raleway-SemiBold"/>
          <w:b/>
          <w:color w:val="FFFFFF"/>
          <w:sz w:val="48"/>
          <w:shd w:val="clear" w:color="auto" w:fill="B31D30"/>
        </w:rPr>
        <w:t>Resumen</w:t>
      </w:r>
      <w:r>
        <w:rPr>
          <w:rFonts w:ascii="Raleway-SemiBold"/>
          <w:b/>
          <w:color w:val="FFFFFF"/>
          <w:sz w:val="48"/>
          <w:shd w:val="clear" w:color="auto" w:fill="B31D30"/>
        </w:rPr>
        <w:tab/>
      </w:r>
    </w:p>
    <w:p w:rsidR="007A0A6C" w:rsidRDefault="00660E26">
      <w:pPr>
        <w:pStyle w:val="BodyText"/>
        <w:spacing w:before="161" w:line="247" w:lineRule="auto"/>
        <w:ind w:left="340" w:right="322"/>
      </w:pPr>
      <w:r>
        <w:t>El Grupo de Trabajo del Informe Paralelo CRPD de la Sociedad Civil Australiana (el Grupo de Trabajo) preparó este Informe Paralelo para brindar los puntos de vista de las personas con discapacidad al Comité de la CRPD.</w:t>
      </w:r>
    </w:p>
    <w:p w:rsidR="007A0A6C" w:rsidRDefault="00660E26">
      <w:pPr>
        <w:pStyle w:val="BodyText"/>
        <w:spacing w:before="99" w:line="247" w:lineRule="auto"/>
        <w:ind w:left="340" w:right="359"/>
      </w:pPr>
      <w:r>
        <w:t>Australia es un país rico y muchos australianos gozan de derechos humanos y de alto nivel de vida. Por lo tanto, Australia debería atenerse a los más altos estándares con respecto a sus obligaciones para con la CRPD.</w:t>
      </w:r>
    </w:p>
    <w:p w:rsidR="007A0A6C" w:rsidRDefault="00660E26">
      <w:pPr>
        <w:pStyle w:val="BodyText"/>
        <w:spacing w:before="98" w:line="247" w:lineRule="auto"/>
        <w:ind w:left="340" w:right="470"/>
      </w:pPr>
      <w:r>
        <w:t>El Grupo de Trabajo reconoce las reformas positivas que Australia inició desde su primera revisión en 2013, en particular, con la implementación del Programa Nacional de Seguro por Discapacidad (NDIS) y el establecimiento de una Comisión Real respecto de la Explotación, Violencia y Abuso de Personas con Discapacidad.</w:t>
      </w:r>
    </w:p>
    <w:p w:rsidR="007A0A6C" w:rsidRDefault="00660E26">
      <w:pPr>
        <w:pStyle w:val="BodyText"/>
        <w:spacing w:before="98" w:line="247" w:lineRule="auto"/>
        <w:ind w:left="340" w:right="285"/>
      </w:pPr>
      <w:r>
        <w:t>Sin embargo, las personas con discapacidad aún sufren pobreza, desventajas y violaciones a los derechos humanos; y esto es especialmente grave para las personas</w:t>
      </w:r>
      <w:r>
        <w:rPr>
          <w:position w:val="7"/>
          <w:sz w:val="13"/>
        </w:rPr>
        <w:t xml:space="preserve">2 </w:t>
      </w:r>
      <w:r>
        <w:t>y comunidades indígenas. En particular, este Informe llama la atención a las cuestiones críticas que necesitan que Australia:</w:t>
      </w:r>
    </w:p>
    <w:p w:rsidR="007A0A6C" w:rsidRDefault="00660E26">
      <w:pPr>
        <w:pStyle w:val="ListParagraph"/>
        <w:numPr>
          <w:ilvl w:val="1"/>
          <w:numId w:val="16"/>
        </w:numPr>
        <w:tabs>
          <w:tab w:val="left" w:pos="1085"/>
        </w:tabs>
        <w:spacing w:before="79" w:line="244" w:lineRule="auto"/>
        <w:ind w:right="365" w:hanging="180"/>
      </w:pPr>
      <w:r>
        <w:t>retire sus Declaraciones Interpretativas relativas a los artículos 12, 17 y 18, que impiden la reforma y permiten las violaciones a los derechos humanos que incluyen la denegación de la capacidad jurídica, los tratamientos forzosos y la discriminación contra las personas no australianas con discapacidad que tratan de ingresar o permanecer en</w:t>
      </w:r>
      <w:r>
        <w:rPr>
          <w:spacing w:val="-22"/>
        </w:rPr>
        <w:t xml:space="preserve"> </w:t>
      </w:r>
      <w:r>
        <w:t>Australia;</w:t>
      </w:r>
    </w:p>
    <w:p w:rsidR="007A0A6C" w:rsidRDefault="00660E26">
      <w:pPr>
        <w:pStyle w:val="ListParagraph"/>
        <w:numPr>
          <w:ilvl w:val="1"/>
          <w:numId w:val="16"/>
        </w:numPr>
        <w:tabs>
          <w:tab w:val="left" w:pos="1085"/>
        </w:tabs>
        <w:spacing w:before="124" w:line="244" w:lineRule="auto"/>
        <w:ind w:right="304" w:hanging="180"/>
      </w:pPr>
      <w:r>
        <w:t>fortalezca las leyes contra la discriminación para abordar la lucha contra la discriminación interseccional; permita realizar las quejas por medio de sus representantes; permita realizar quejas con respecto a los delitos de difamación por razones de discapacidad; y garantice que las personas con discapacidad puedan realizar quejas de manera eficaz sobre la denegación de un alojamiento razonable;</w:t>
      </w:r>
    </w:p>
    <w:p w:rsidR="007A0A6C" w:rsidRDefault="00660E26">
      <w:pPr>
        <w:pStyle w:val="ListParagraph"/>
        <w:numPr>
          <w:ilvl w:val="1"/>
          <w:numId w:val="16"/>
        </w:numPr>
        <w:tabs>
          <w:tab w:val="left" w:pos="1085"/>
        </w:tabs>
        <w:spacing w:before="127" w:line="242" w:lineRule="auto"/>
        <w:ind w:right="842" w:hanging="180"/>
      </w:pPr>
      <w:r>
        <w:t>elabore y promulgue legislación nacional sobre la prevención de todas las formas de violencia basadas en el</w:t>
      </w:r>
      <w:r>
        <w:rPr>
          <w:spacing w:val="-4"/>
        </w:rPr>
        <w:t xml:space="preserve"> </w:t>
      </w:r>
      <w:r>
        <w:t>género;</w:t>
      </w:r>
    </w:p>
    <w:p w:rsidR="007A0A6C" w:rsidRDefault="00660E26">
      <w:pPr>
        <w:pStyle w:val="ListParagraph"/>
        <w:numPr>
          <w:ilvl w:val="1"/>
          <w:numId w:val="16"/>
        </w:numPr>
        <w:tabs>
          <w:tab w:val="left" w:pos="1085"/>
        </w:tabs>
        <w:spacing w:before="126" w:line="244" w:lineRule="auto"/>
        <w:ind w:right="622" w:hanging="180"/>
      </w:pPr>
      <w:r>
        <w:t>incorpore los derechos de la CRPD a la legislación, la política y los programas que se aplican a los niños y a los jóvenes; y desarrolle mecanismos para garantizar que los niños y jóvenes con discapacidad puedan participar de consultas, procesos de tomas de decisiones y elaboración de políticas que afectan su</w:t>
      </w:r>
      <w:r>
        <w:rPr>
          <w:spacing w:val="-4"/>
        </w:rPr>
        <w:t xml:space="preserve"> </w:t>
      </w:r>
      <w:r>
        <w:t>vida;</w:t>
      </w:r>
    </w:p>
    <w:p w:rsidR="007A0A6C" w:rsidRDefault="00660E26">
      <w:pPr>
        <w:pStyle w:val="ListParagraph"/>
        <w:numPr>
          <w:ilvl w:val="1"/>
          <w:numId w:val="16"/>
        </w:numPr>
        <w:tabs>
          <w:tab w:val="left" w:pos="1085"/>
        </w:tabs>
        <w:spacing w:before="124" w:line="244" w:lineRule="auto"/>
        <w:ind w:right="452" w:hanging="180"/>
      </w:pPr>
      <w:r>
        <w:t>establezca un marco nacional para el cumplimiento obligatorio de las Normas sobre discapacidad para tener acceso al transporte público; las Normas sobre discapacidad (acceso a predios: edificios); y las Normas nacionales sobre los servicios de discapacidad; y que modifique el Código Nacional de Construcción para exigir las condiciones de acceso mínimo a todas las viviendas nuevas y a las sustancialmente</w:t>
      </w:r>
      <w:r>
        <w:rPr>
          <w:spacing w:val="-4"/>
        </w:rPr>
        <w:t xml:space="preserve"> </w:t>
      </w:r>
      <w:r>
        <w:t>modificadas;</w:t>
      </w:r>
    </w:p>
    <w:p w:rsidR="007A0A6C" w:rsidRDefault="00660E26">
      <w:pPr>
        <w:pStyle w:val="ListParagraph"/>
        <w:numPr>
          <w:ilvl w:val="1"/>
          <w:numId w:val="16"/>
        </w:numPr>
        <w:tabs>
          <w:tab w:val="left" w:pos="1085"/>
        </w:tabs>
        <w:spacing w:before="126" w:line="244" w:lineRule="auto"/>
        <w:ind w:right="365" w:hanging="180"/>
      </w:pPr>
      <w:r>
        <w:t>que aborde de manera urgente la representación desproporcionada de personas con discapacidad en el sistema de justicia penal y termine con el uso indebido de prisiones para el tratamiento de personas con discapacidad no</w:t>
      </w:r>
      <w:r>
        <w:rPr>
          <w:spacing w:val="-4"/>
        </w:rPr>
        <w:t xml:space="preserve"> </w:t>
      </w:r>
      <w:r>
        <w:t>condenadas;</w:t>
      </w:r>
    </w:p>
    <w:p w:rsidR="007A0A6C" w:rsidRDefault="00660E26">
      <w:pPr>
        <w:pStyle w:val="ListParagraph"/>
        <w:numPr>
          <w:ilvl w:val="1"/>
          <w:numId w:val="16"/>
        </w:numPr>
        <w:tabs>
          <w:tab w:val="left" w:pos="1085"/>
        </w:tabs>
        <w:spacing w:before="123" w:line="244" w:lineRule="auto"/>
        <w:ind w:right="365" w:hanging="180"/>
        <w:jc w:val="both"/>
      </w:pPr>
      <w:r>
        <w:t>actúe</w:t>
      </w:r>
      <w:r>
        <w:rPr>
          <w:spacing w:val="-5"/>
        </w:rPr>
        <w:t xml:space="preserve"> </w:t>
      </w:r>
      <w:r>
        <w:t>para</w:t>
      </w:r>
      <w:r>
        <w:rPr>
          <w:spacing w:val="-4"/>
        </w:rPr>
        <w:t xml:space="preserve"> </w:t>
      </w:r>
      <w:r>
        <w:t>garantizar</w:t>
      </w:r>
      <w:r>
        <w:rPr>
          <w:spacing w:val="-4"/>
        </w:rPr>
        <w:t xml:space="preserve"> </w:t>
      </w:r>
      <w:r>
        <w:t>que</w:t>
      </w:r>
      <w:r>
        <w:rPr>
          <w:spacing w:val="-4"/>
        </w:rPr>
        <w:t xml:space="preserve"> </w:t>
      </w:r>
      <w:r>
        <w:t>la</w:t>
      </w:r>
      <w:r>
        <w:rPr>
          <w:spacing w:val="-14"/>
        </w:rPr>
        <w:t xml:space="preserve"> </w:t>
      </w:r>
      <w:r>
        <w:t>Auslan</w:t>
      </w:r>
      <w:r>
        <w:rPr>
          <w:spacing w:val="-3"/>
        </w:rPr>
        <w:t xml:space="preserve"> </w:t>
      </w:r>
      <w:r>
        <w:t>sea</w:t>
      </w:r>
      <w:r>
        <w:rPr>
          <w:spacing w:val="-3"/>
        </w:rPr>
        <w:t xml:space="preserve"> </w:t>
      </w:r>
      <w:r>
        <w:t>reconocida</w:t>
      </w:r>
      <w:r>
        <w:rPr>
          <w:spacing w:val="-3"/>
        </w:rPr>
        <w:t xml:space="preserve"> </w:t>
      </w:r>
      <w:r>
        <w:t>como</w:t>
      </w:r>
      <w:r>
        <w:rPr>
          <w:spacing w:val="-3"/>
        </w:rPr>
        <w:t xml:space="preserve"> </w:t>
      </w:r>
      <w:r>
        <w:t>lengua</w:t>
      </w:r>
      <w:r>
        <w:rPr>
          <w:spacing w:val="-4"/>
        </w:rPr>
        <w:t xml:space="preserve"> </w:t>
      </w:r>
      <w:r>
        <w:t>nacional</w:t>
      </w:r>
      <w:r>
        <w:rPr>
          <w:spacing w:val="-4"/>
        </w:rPr>
        <w:t xml:space="preserve"> </w:t>
      </w:r>
      <w:r>
        <w:t>y</w:t>
      </w:r>
      <w:r>
        <w:rPr>
          <w:spacing w:val="-3"/>
        </w:rPr>
        <w:t xml:space="preserve"> </w:t>
      </w:r>
      <w:r>
        <w:t>unifique</w:t>
      </w:r>
      <w:r>
        <w:rPr>
          <w:spacing w:val="-4"/>
        </w:rPr>
        <w:t xml:space="preserve"> </w:t>
      </w:r>
      <w:r>
        <w:t>las</w:t>
      </w:r>
      <w:r>
        <w:rPr>
          <w:spacing w:val="-4"/>
        </w:rPr>
        <w:t xml:space="preserve"> </w:t>
      </w:r>
      <w:r>
        <w:t>leyes</w:t>
      </w:r>
      <w:r>
        <w:rPr>
          <w:spacing w:val="-4"/>
        </w:rPr>
        <w:t xml:space="preserve"> </w:t>
      </w:r>
      <w:r>
        <w:t>para garantizar que las personas con discapacidad, que incluyen a las personas sordas, puedan formar parte de un</w:t>
      </w:r>
      <w:r>
        <w:rPr>
          <w:spacing w:val="-4"/>
        </w:rPr>
        <w:t xml:space="preserve"> </w:t>
      </w:r>
      <w:r>
        <w:t>jurado;</w:t>
      </w:r>
    </w:p>
    <w:p w:rsidR="007A0A6C" w:rsidRDefault="00660E26">
      <w:pPr>
        <w:pStyle w:val="ListParagraph"/>
        <w:numPr>
          <w:ilvl w:val="1"/>
          <w:numId w:val="16"/>
        </w:numPr>
        <w:tabs>
          <w:tab w:val="left" w:pos="1085"/>
        </w:tabs>
        <w:spacing w:before="122" w:line="244" w:lineRule="auto"/>
        <w:ind w:right="402" w:hanging="180"/>
      </w:pPr>
      <w:r>
        <w:t>establezca un marco nacional coherente para la protección de personas con discapacidad, desde la modificación de la conducta hasta la eliminación de prácticas represivas en una amplia gama de establecimientos;</w:t>
      </w:r>
    </w:p>
    <w:p w:rsidR="007A0A6C" w:rsidRDefault="00660E26">
      <w:pPr>
        <w:pStyle w:val="ListParagraph"/>
        <w:numPr>
          <w:ilvl w:val="1"/>
          <w:numId w:val="16"/>
        </w:numPr>
        <w:tabs>
          <w:tab w:val="left" w:pos="1085"/>
        </w:tabs>
        <w:spacing w:before="123" w:line="244" w:lineRule="auto"/>
        <w:ind w:right="354" w:hanging="180"/>
      </w:pPr>
      <w:r>
        <w:t>promulgue una legislación nacional uniforme y exigible que prohíba la esterilización y las intervenciones médicamente innecesarias de las personas con discapacidad y de las personas con variaciones intersexuales sin su consentimiento previo libre y completamente</w:t>
      </w:r>
      <w:r>
        <w:rPr>
          <w:spacing w:val="-14"/>
        </w:rPr>
        <w:t xml:space="preserve"> </w:t>
      </w:r>
      <w:r>
        <w:t>informado;</w:t>
      </w:r>
    </w:p>
    <w:p w:rsidR="007A0A6C" w:rsidRDefault="007A0A6C">
      <w:pPr>
        <w:pStyle w:val="BodyText"/>
        <w:ind w:left="0"/>
        <w:rPr>
          <w:sz w:val="20"/>
        </w:rPr>
      </w:pPr>
    </w:p>
    <w:p w:rsidR="007A0A6C" w:rsidRDefault="007A0A6C">
      <w:pPr>
        <w:pStyle w:val="BodyText"/>
        <w:ind w:left="0"/>
        <w:rPr>
          <w:sz w:val="20"/>
        </w:rPr>
      </w:pPr>
    </w:p>
    <w:p w:rsidR="007A0A6C" w:rsidRDefault="004638C1">
      <w:pPr>
        <w:pStyle w:val="BodyText"/>
        <w:spacing w:before="10"/>
        <w:ind w:left="0"/>
        <w:rPr>
          <w:sz w:val="10"/>
        </w:rPr>
      </w:pPr>
      <w:r>
        <w:pict>
          <v:line id="_x0000_s1038" alt="" style="position:absolute;z-index:-251660800;mso-wrap-edited:f;mso-width-percent:0;mso-height-percent:0;mso-wrap-distance-left:0;mso-wrap-distance-right:0;mso-position-horizontal-relative:page;mso-width-percent:0;mso-height-percent:0" from="36pt,8.7pt" to="108pt,8.7pt" strokeweight="1pt">
            <w10:wrap type="topAndBottom" anchorx="page"/>
          </v:line>
        </w:pict>
      </w:r>
    </w:p>
    <w:p w:rsidR="007A0A6C" w:rsidRDefault="00660E26">
      <w:pPr>
        <w:pStyle w:val="ListParagraph"/>
        <w:numPr>
          <w:ilvl w:val="0"/>
          <w:numId w:val="16"/>
        </w:numPr>
        <w:tabs>
          <w:tab w:val="left" w:pos="589"/>
        </w:tabs>
        <w:spacing w:before="11" w:line="261" w:lineRule="auto"/>
        <w:ind w:right="279" w:firstLine="0"/>
        <w:rPr>
          <w:sz w:val="16"/>
        </w:rPr>
      </w:pPr>
      <w:r>
        <w:rPr>
          <w:sz w:val="16"/>
        </w:rPr>
        <w:t>En</w:t>
      </w:r>
      <w:r>
        <w:rPr>
          <w:spacing w:val="-4"/>
          <w:sz w:val="16"/>
        </w:rPr>
        <w:t xml:space="preserve"> </w:t>
      </w:r>
      <w:r>
        <w:rPr>
          <w:sz w:val="16"/>
        </w:rPr>
        <w:t>el</w:t>
      </w:r>
      <w:r>
        <w:rPr>
          <w:spacing w:val="-4"/>
          <w:sz w:val="16"/>
        </w:rPr>
        <w:t xml:space="preserve"> </w:t>
      </w:r>
      <w:r>
        <w:rPr>
          <w:sz w:val="16"/>
        </w:rPr>
        <w:t>contexto</w:t>
      </w:r>
      <w:r>
        <w:rPr>
          <w:spacing w:val="-4"/>
          <w:sz w:val="16"/>
        </w:rPr>
        <w:t xml:space="preserve"> </w:t>
      </w:r>
      <w:r>
        <w:rPr>
          <w:sz w:val="16"/>
        </w:rPr>
        <w:t>australiano,</w:t>
      </w:r>
      <w:r>
        <w:rPr>
          <w:spacing w:val="-4"/>
          <w:sz w:val="16"/>
        </w:rPr>
        <w:t xml:space="preserve"> </w:t>
      </w:r>
      <w:r>
        <w:rPr>
          <w:sz w:val="16"/>
        </w:rPr>
        <w:t>el</w:t>
      </w:r>
      <w:r>
        <w:rPr>
          <w:spacing w:val="-4"/>
          <w:sz w:val="16"/>
        </w:rPr>
        <w:t xml:space="preserve"> </w:t>
      </w:r>
      <w:r>
        <w:rPr>
          <w:sz w:val="16"/>
        </w:rPr>
        <w:t>término</w:t>
      </w:r>
      <w:r>
        <w:rPr>
          <w:spacing w:val="-4"/>
          <w:sz w:val="16"/>
        </w:rPr>
        <w:t xml:space="preserve"> </w:t>
      </w:r>
      <w:r>
        <w:rPr>
          <w:sz w:val="16"/>
        </w:rPr>
        <w:t>‘personas</w:t>
      </w:r>
      <w:r>
        <w:rPr>
          <w:spacing w:val="-3"/>
          <w:sz w:val="16"/>
        </w:rPr>
        <w:t xml:space="preserve"> </w:t>
      </w:r>
      <w:r>
        <w:rPr>
          <w:sz w:val="16"/>
        </w:rPr>
        <w:t>aborígenes</w:t>
      </w:r>
      <w:r>
        <w:rPr>
          <w:spacing w:val="-4"/>
          <w:sz w:val="16"/>
        </w:rPr>
        <w:t xml:space="preserve"> </w:t>
      </w:r>
      <w:r>
        <w:rPr>
          <w:sz w:val="16"/>
        </w:rPr>
        <w:t>e</w:t>
      </w:r>
      <w:r>
        <w:rPr>
          <w:spacing w:val="-4"/>
          <w:sz w:val="16"/>
        </w:rPr>
        <w:t xml:space="preserve"> </w:t>
      </w:r>
      <w:r>
        <w:rPr>
          <w:sz w:val="16"/>
        </w:rPr>
        <w:t>isleños</w:t>
      </w:r>
      <w:r>
        <w:rPr>
          <w:spacing w:val="-4"/>
          <w:sz w:val="16"/>
        </w:rPr>
        <w:t xml:space="preserve"> </w:t>
      </w:r>
      <w:r>
        <w:rPr>
          <w:sz w:val="16"/>
        </w:rPr>
        <w:t>del</w:t>
      </w:r>
      <w:r>
        <w:rPr>
          <w:spacing w:val="-4"/>
          <w:sz w:val="16"/>
        </w:rPr>
        <w:t xml:space="preserve"> </w:t>
      </w:r>
      <w:r>
        <w:rPr>
          <w:sz w:val="16"/>
        </w:rPr>
        <w:t>Estrecho</w:t>
      </w:r>
      <w:r>
        <w:rPr>
          <w:spacing w:val="-4"/>
          <w:sz w:val="16"/>
        </w:rPr>
        <w:t xml:space="preserve"> </w:t>
      </w:r>
      <w:r>
        <w:rPr>
          <w:sz w:val="16"/>
        </w:rPr>
        <w:t>de</w:t>
      </w:r>
      <w:r>
        <w:rPr>
          <w:spacing w:val="-6"/>
          <w:sz w:val="16"/>
        </w:rPr>
        <w:t xml:space="preserve"> </w:t>
      </w:r>
      <w:r>
        <w:rPr>
          <w:spacing w:val="-4"/>
          <w:sz w:val="16"/>
        </w:rPr>
        <w:t>Torres’</w:t>
      </w:r>
      <w:r>
        <w:rPr>
          <w:spacing w:val="-10"/>
          <w:sz w:val="16"/>
        </w:rPr>
        <w:t xml:space="preserve"> </w:t>
      </w:r>
      <w:r>
        <w:rPr>
          <w:sz w:val="16"/>
        </w:rPr>
        <w:t>o</w:t>
      </w:r>
      <w:r>
        <w:rPr>
          <w:spacing w:val="-4"/>
          <w:sz w:val="16"/>
        </w:rPr>
        <w:t xml:space="preserve"> </w:t>
      </w:r>
      <w:r>
        <w:rPr>
          <w:sz w:val="16"/>
        </w:rPr>
        <w:t>‘primeros</w:t>
      </w:r>
      <w:r>
        <w:rPr>
          <w:spacing w:val="-3"/>
          <w:sz w:val="16"/>
        </w:rPr>
        <w:t xml:space="preserve"> </w:t>
      </w:r>
      <w:r>
        <w:rPr>
          <w:sz w:val="16"/>
        </w:rPr>
        <w:t>habitantes’</w:t>
      </w:r>
      <w:r>
        <w:rPr>
          <w:spacing w:val="-10"/>
          <w:sz w:val="16"/>
        </w:rPr>
        <w:t xml:space="preserve"> </w:t>
      </w:r>
      <w:r>
        <w:rPr>
          <w:sz w:val="16"/>
        </w:rPr>
        <w:t>es</w:t>
      </w:r>
      <w:r>
        <w:rPr>
          <w:spacing w:val="-4"/>
          <w:sz w:val="16"/>
        </w:rPr>
        <w:t xml:space="preserve"> </w:t>
      </w:r>
      <w:r>
        <w:rPr>
          <w:sz w:val="16"/>
        </w:rPr>
        <w:t>la</w:t>
      </w:r>
      <w:r>
        <w:rPr>
          <w:spacing w:val="-4"/>
          <w:sz w:val="16"/>
        </w:rPr>
        <w:t xml:space="preserve"> </w:t>
      </w:r>
      <w:r>
        <w:rPr>
          <w:sz w:val="16"/>
        </w:rPr>
        <w:t>terminología</w:t>
      </w:r>
      <w:r>
        <w:rPr>
          <w:spacing w:val="-3"/>
          <w:sz w:val="16"/>
        </w:rPr>
        <w:t xml:space="preserve"> </w:t>
      </w:r>
      <w:r>
        <w:rPr>
          <w:sz w:val="16"/>
        </w:rPr>
        <w:t>aceptada para referirse a las personas indígenas. En consonancia con la terminología reconocida a nivel internacional, este Informe utiliza deliberadamente el término ‘personas indígenas’, si bien reconoce que en el contexto australiano, la terminología preferida es ‘personas aborígenes e isleños del Estrecho de</w:t>
      </w:r>
      <w:r>
        <w:rPr>
          <w:spacing w:val="-3"/>
          <w:sz w:val="16"/>
        </w:rPr>
        <w:t xml:space="preserve"> </w:t>
      </w:r>
      <w:r>
        <w:rPr>
          <w:spacing w:val="-4"/>
          <w:sz w:val="16"/>
        </w:rPr>
        <w:t>Torres’.</w:t>
      </w:r>
    </w:p>
    <w:p w:rsidR="007A0A6C" w:rsidRDefault="007A0A6C">
      <w:pPr>
        <w:spacing w:line="261" w:lineRule="auto"/>
        <w:rPr>
          <w:sz w:val="16"/>
        </w:rPr>
        <w:sectPr w:rsidR="007A0A6C">
          <w:pgSz w:w="11910" w:h="16840"/>
          <w:pgMar w:top="640" w:right="440" w:bottom="540" w:left="380" w:header="0" w:footer="343" w:gutter="0"/>
          <w:cols w:space="720"/>
        </w:sectPr>
      </w:pPr>
    </w:p>
    <w:p w:rsidR="007A0A6C" w:rsidRDefault="00660E26">
      <w:pPr>
        <w:pStyle w:val="ListParagraph"/>
        <w:numPr>
          <w:ilvl w:val="1"/>
          <w:numId w:val="16"/>
        </w:numPr>
        <w:tabs>
          <w:tab w:val="left" w:pos="1085"/>
        </w:tabs>
        <w:spacing w:before="77" w:line="242" w:lineRule="auto"/>
        <w:ind w:right="939" w:hanging="180"/>
      </w:pPr>
      <w:r>
        <w:lastRenderedPageBreak/>
        <w:t>elabore un plan nacional para el cierre de entornos institucionales residenciales, y desarrolle opciones</w:t>
      </w:r>
      <w:r>
        <w:rPr>
          <w:spacing w:val="-5"/>
        </w:rPr>
        <w:t xml:space="preserve"> </w:t>
      </w:r>
      <w:r>
        <w:t>de</w:t>
      </w:r>
      <w:r>
        <w:rPr>
          <w:spacing w:val="-4"/>
        </w:rPr>
        <w:t xml:space="preserve"> </w:t>
      </w:r>
      <w:r>
        <w:t>apoyo</w:t>
      </w:r>
      <w:r>
        <w:rPr>
          <w:spacing w:val="-5"/>
        </w:rPr>
        <w:t xml:space="preserve"> </w:t>
      </w:r>
      <w:r>
        <w:t>y</w:t>
      </w:r>
      <w:r>
        <w:rPr>
          <w:spacing w:val="-3"/>
        </w:rPr>
        <w:t xml:space="preserve"> </w:t>
      </w:r>
      <w:r>
        <w:t>vivienda</w:t>
      </w:r>
      <w:r>
        <w:rPr>
          <w:spacing w:val="-4"/>
        </w:rPr>
        <w:t xml:space="preserve"> </w:t>
      </w:r>
      <w:r>
        <w:t>basadas</w:t>
      </w:r>
      <w:r>
        <w:rPr>
          <w:spacing w:val="-4"/>
        </w:rPr>
        <w:t xml:space="preserve"> </w:t>
      </w:r>
      <w:r>
        <w:t>en</w:t>
      </w:r>
      <w:r>
        <w:rPr>
          <w:spacing w:val="-5"/>
        </w:rPr>
        <w:t xml:space="preserve"> </w:t>
      </w:r>
      <w:r>
        <w:t>la</w:t>
      </w:r>
      <w:r>
        <w:rPr>
          <w:spacing w:val="-4"/>
        </w:rPr>
        <w:t xml:space="preserve"> </w:t>
      </w:r>
      <w:r>
        <w:t>comunidad</w:t>
      </w:r>
      <w:r>
        <w:rPr>
          <w:spacing w:val="-4"/>
        </w:rPr>
        <w:t xml:space="preserve"> </w:t>
      </w:r>
      <w:r>
        <w:t>para</w:t>
      </w:r>
      <w:r>
        <w:rPr>
          <w:spacing w:val="-4"/>
        </w:rPr>
        <w:t xml:space="preserve"> </w:t>
      </w:r>
      <w:r>
        <w:t>las</w:t>
      </w:r>
      <w:r>
        <w:rPr>
          <w:spacing w:val="-5"/>
        </w:rPr>
        <w:t xml:space="preserve"> </w:t>
      </w:r>
      <w:r>
        <w:t>personas</w:t>
      </w:r>
      <w:r>
        <w:rPr>
          <w:spacing w:val="-4"/>
        </w:rPr>
        <w:t xml:space="preserve"> </w:t>
      </w:r>
      <w:r>
        <w:t>con</w:t>
      </w:r>
      <w:r>
        <w:rPr>
          <w:spacing w:val="-3"/>
        </w:rPr>
        <w:t xml:space="preserve"> </w:t>
      </w:r>
      <w:r>
        <w:t>discapacidad;</w:t>
      </w:r>
    </w:p>
    <w:p w:rsidR="007A0A6C" w:rsidRDefault="00660E26">
      <w:pPr>
        <w:pStyle w:val="ListParagraph"/>
        <w:numPr>
          <w:ilvl w:val="1"/>
          <w:numId w:val="16"/>
        </w:numPr>
        <w:tabs>
          <w:tab w:val="left" w:pos="1085"/>
        </w:tabs>
        <w:spacing w:before="126" w:line="242" w:lineRule="auto"/>
        <w:ind w:right="513" w:hanging="180"/>
      </w:pPr>
      <w:r>
        <w:t>tome medidas urgentes sobre la discriminación contra padres con discapacidad, específicamente para abordar la alta tasa de niños que son separados de padres con</w:t>
      </w:r>
      <w:r>
        <w:rPr>
          <w:spacing w:val="-23"/>
        </w:rPr>
        <w:t xml:space="preserve"> </w:t>
      </w:r>
      <w:r>
        <w:t>discapacidad;</w:t>
      </w:r>
    </w:p>
    <w:p w:rsidR="007A0A6C" w:rsidRDefault="00660E26">
      <w:pPr>
        <w:pStyle w:val="ListParagraph"/>
        <w:numPr>
          <w:ilvl w:val="1"/>
          <w:numId w:val="16"/>
        </w:numPr>
        <w:tabs>
          <w:tab w:val="left" w:pos="1085"/>
        </w:tabs>
        <w:spacing w:before="125" w:line="242" w:lineRule="auto"/>
        <w:ind w:right="974" w:hanging="180"/>
      </w:pPr>
      <w:r>
        <w:t>formule un Plan de</w:t>
      </w:r>
      <w:r>
        <w:rPr>
          <w:spacing w:val="-46"/>
        </w:rPr>
        <w:t xml:space="preserve"> </w:t>
      </w:r>
      <w:r>
        <w:t>Acción para la Educación Inclusiva a nivel nacional que incluya un marco legislativo</w:t>
      </w:r>
      <w:r>
        <w:rPr>
          <w:spacing w:val="-4"/>
        </w:rPr>
        <w:t xml:space="preserve"> </w:t>
      </w:r>
      <w:r>
        <w:t>y</w:t>
      </w:r>
      <w:r>
        <w:rPr>
          <w:spacing w:val="-4"/>
        </w:rPr>
        <w:t xml:space="preserve"> </w:t>
      </w:r>
      <w:r>
        <w:t>político</w:t>
      </w:r>
      <w:r>
        <w:rPr>
          <w:spacing w:val="-3"/>
        </w:rPr>
        <w:t xml:space="preserve"> </w:t>
      </w:r>
      <w:r>
        <w:t>que</w:t>
      </w:r>
      <w:r>
        <w:rPr>
          <w:spacing w:val="-4"/>
        </w:rPr>
        <w:t xml:space="preserve"> </w:t>
      </w:r>
      <w:r>
        <w:t>cumpla</w:t>
      </w:r>
      <w:r>
        <w:rPr>
          <w:spacing w:val="-3"/>
        </w:rPr>
        <w:t xml:space="preserve"> </w:t>
      </w:r>
      <w:r>
        <w:t>absolutamente</w:t>
      </w:r>
      <w:r>
        <w:rPr>
          <w:spacing w:val="-4"/>
        </w:rPr>
        <w:t xml:space="preserve"> </w:t>
      </w:r>
      <w:r>
        <w:t>con</w:t>
      </w:r>
      <w:r>
        <w:rPr>
          <w:spacing w:val="-4"/>
        </w:rPr>
        <w:t xml:space="preserve"> </w:t>
      </w:r>
      <w:r>
        <w:t>el</w:t>
      </w:r>
      <w:r>
        <w:rPr>
          <w:spacing w:val="-14"/>
        </w:rPr>
        <w:t xml:space="preserve"> </w:t>
      </w:r>
      <w:r>
        <w:t>Artículo</w:t>
      </w:r>
      <w:r>
        <w:rPr>
          <w:spacing w:val="-3"/>
        </w:rPr>
        <w:t xml:space="preserve"> </w:t>
      </w:r>
      <w:r>
        <w:t>24</w:t>
      </w:r>
      <w:r>
        <w:rPr>
          <w:spacing w:val="-4"/>
        </w:rPr>
        <w:t xml:space="preserve"> </w:t>
      </w:r>
      <w:r>
        <w:t>y</w:t>
      </w:r>
      <w:r>
        <w:rPr>
          <w:spacing w:val="-3"/>
        </w:rPr>
        <w:t xml:space="preserve"> </w:t>
      </w:r>
      <w:r>
        <w:t>el</w:t>
      </w:r>
      <w:r>
        <w:rPr>
          <w:spacing w:val="-4"/>
        </w:rPr>
        <w:t xml:space="preserve"> </w:t>
      </w:r>
      <w:r>
        <w:t>Comentario</w:t>
      </w:r>
      <w:r>
        <w:rPr>
          <w:spacing w:val="-4"/>
        </w:rPr>
        <w:t xml:space="preserve"> </w:t>
      </w:r>
      <w:r>
        <w:t>General</w:t>
      </w:r>
      <w:r>
        <w:rPr>
          <w:spacing w:val="-3"/>
        </w:rPr>
        <w:t xml:space="preserve"> </w:t>
      </w:r>
      <w:r>
        <w:t>4;</w:t>
      </w:r>
    </w:p>
    <w:p w:rsidR="007A0A6C" w:rsidRDefault="00660E26">
      <w:pPr>
        <w:pStyle w:val="ListParagraph"/>
        <w:numPr>
          <w:ilvl w:val="1"/>
          <w:numId w:val="16"/>
        </w:numPr>
        <w:tabs>
          <w:tab w:val="left" w:pos="1085"/>
        </w:tabs>
        <w:spacing w:before="126" w:line="244" w:lineRule="auto"/>
        <w:ind w:right="412" w:hanging="180"/>
      </w:pPr>
      <w:r>
        <w:t>desarrolle una estrategia de empleo nacional para personas con discapacidad que contenga medidas concretas en materia de género para incrementar la participación de la fuerza laboral de las personas con discapacidad y para que las personas hagan una transición desde los empleos segregados hacia los empleos más comunes, y tengan una remuneración equitativa por el</w:t>
      </w:r>
      <w:r>
        <w:rPr>
          <w:spacing w:val="-32"/>
        </w:rPr>
        <w:t xml:space="preserve"> </w:t>
      </w:r>
      <w:r>
        <w:t>trabajo;</w:t>
      </w:r>
    </w:p>
    <w:p w:rsidR="007A0A6C" w:rsidRDefault="00660E26">
      <w:pPr>
        <w:pStyle w:val="ListParagraph"/>
        <w:numPr>
          <w:ilvl w:val="1"/>
          <w:numId w:val="16"/>
        </w:numPr>
        <w:tabs>
          <w:tab w:val="left" w:pos="1085"/>
        </w:tabs>
        <w:spacing w:before="125" w:line="244" w:lineRule="auto"/>
        <w:ind w:right="304" w:hanging="180"/>
      </w:pPr>
      <w:r>
        <w:t>termine con las restricciones permanentes de elegibilidad para obtener la pensión por discapacidad (DSP) e incremente la tasa de asignación para complementar el salario (Newstart) para garantizar el acceso a un nivel de vida</w:t>
      </w:r>
      <w:r>
        <w:rPr>
          <w:spacing w:val="-8"/>
        </w:rPr>
        <w:t xml:space="preserve"> </w:t>
      </w:r>
      <w:r>
        <w:t>adecuado;</w:t>
      </w:r>
    </w:p>
    <w:p w:rsidR="007A0A6C" w:rsidRDefault="00660E26">
      <w:pPr>
        <w:pStyle w:val="ListParagraph"/>
        <w:numPr>
          <w:ilvl w:val="1"/>
          <w:numId w:val="16"/>
        </w:numPr>
        <w:tabs>
          <w:tab w:val="left" w:pos="1085"/>
        </w:tabs>
        <w:spacing w:before="122" w:line="244" w:lineRule="auto"/>
        <w:ind w:right="305" w:hanging="180"/>
      </w:pPr>
      <w:r>
        <w:t>establezca un mecanismo formal para la participación productiva de las personas con discapacidad en la toma de decisiones y en la aplicación y supervisión de la CRPD en consonancia con el Comentario General</w:t>
      </w:r>
      <w:r>
        <w:rPr>
          <w:spacing w:val="-2"/>
        </w:rPr>
        <w:t xml:space="preserve"> </w:t>
      </w:r>
      <w:r>
        <w:t>7.</w:t>
      </w:r>
    </w:p>
    <w:p w:rsidR="007A0A6C" w:rsidRDefault="007A0A6C">
      <w:pPr>
        <w:spacing w:line="244" w:lineRule="auto"/>
      </w:pPr>
    </w:p>
    <w:p w:rsidR="0068571D" w:rsidRDefault="0068571D">
      <w:pPr>
        <w:spacing w:line="244" w:lineRule="auto"/>
      </w:pPr>
    </w:p>
    <w:p w:rsidR="0068571D" w:rsidRPr="0068571D" w:rsidRDefault="0068571D" w:rsidP="0068571D">
      <w:pPr>
        <w:pStyle w:val="Title"/>
        <w:rPr>
          <w:color w:val="000000" w:themeColor="text1"/>
        </w:rPr>
      </w:pPr>
    </w:p>
    <w:p w:rsidR="0068571D" w:rsidRDefault="0068571D" w:rsidP="0068571D">
      <w:pPr>
        <w:pStyle w:val="Title"/>
        <w:rPr>
          <w:rFonts w:ascii="Raleway-SemiBold" w:hAnsi="Raleway-SemiBold"/>
          <w:b/>
          <w:color w:val="000000" w:themeColor="text1"/>
          <w:sz w:val="48"/>
        </w:rPr>
      </w:pPr>
      <w:bookmarkStart w:id="16" w:name="Respuesta_a_la_Lista_de_Temas_previa_a_l"/>
      <w:bookmarkStart w:id="17" w:name="_bookmark5"/>
      <w:bookmarkEnd w:id="16"/>
      <w:bookmarkEnd w:id="17"/>
    </w:p>
    <w:p w:rsidR="0068571D" w:rsidRDefault="0068571D" w:rsidP="0068571D">
      <w:pPr>
        <w:pStyle w:val="Title"/>
        <w:rPr>
          <w:rFonts w:ascii="Raleway-SemiBold" w:hAnsi="Raleway-SemiBold"/>
          <w:b/>
          <w:color w:val="000000" w:themeColor="text1"/>
          <w:sz w:val="48"/>
        </w:rPr>
      </w:pPr>
    </w:p>
    <w:p w:rsidR="0068571D" w:rsidRDefault="0068571D" w:rsidP="0068571D">
      <w:pPr>
        <w:pStyle w:val="Title"/>
        <w:rPr>
          <w:rFonts w:ascii="Raleway-SemiBold" w:hAnsi="Raleway-SemiBold"/>
          <w:b/>
          <w:color w:val="000000" w:themeColor="text1"/>
          <w:sz w:val="48"/>
        </w:rPr>
      </w:pPr>
    </w:p>
    <w:p w:rsidR="0068571D" w:rsidRDefault="0068571D" w:rsidP="0068571D">
      <w:pPr>
        <w:pStyle w:val="Title"/>
        <w:rPr>
          <w:rFonts w:ascii="Raleway-SemiBold" w:hAnsi="Raleway-SemiBold"/>
          <w:b/>
          <w:color w:val="000000" w:themeColor="text1"/>
          <w:sz w:val="48"/>
        </w:rPr>
      </w:pPr>
    </w:p>
    <w:p w:rsidR="0068571D" w:rsidRDefault="0068571D" w:rsidP="0068571D">
      <w:pPr>
        <w:pStyle w:val="Title"/>
        <w:rPr>
          <w:rFonts w:ascii="Raleway-SemiBold" w:hAnsi="Raleway-SemiBold"/>
          <w:b/>
          <w:color w:val="000000" w:themeColor="text1"/>
          <w:sz w:val="48"/>
        </w:rPr>
      </w:pPr>
    </w:p>
    <w:p w:rsidR="0068571D" w:rsidRDefault="0068571D" w:rsidP="0068571D">
      <w:pPr>
        <w:pStyle w:val="Title"/>
        <w:rPr>
          <w:rFonts w:ascii="Raleway-SemiBold" w:hAnsi="Raleway-SemiBold"/>
          <w:b/>
          <w:color w:val="000000" w:themeColor="text1"/>
          <w:sz w:val="48"/>
        </w:rPr>
      </w:pPr>
    </w:p>
    <w:p w:rsidR="0068571D" w:rsidRDefault="0068571D" w:rsidP="0068571D">
      <w:pPr>
        <w:pStyle w:val="Title"/>
        <w:rPr>
          <w:rFonts w:ascii="Raleway-SemiBold" w:hAnsi="Raleway-SemiBold"/>
          <w:b/>
          <w:color w:val="000000" w:themeColor="text1"/>
          <w:sz w:val="48"/>
        </w:rPr>
      </w:pPr>
    </w:p>
    <w:p w:rsidR="0068571D" w:rsidRDefault="0068571D" w:rsidP="0068571D">
      <w:pPr>
        <w:pStyle w:val="Title"/>
        <w:rPr>
          <w:rFonts w:ascii="Raleway-SemiBold" w:hAnsi="Raleway-SemiBold"/>
          <w:b/>
          <w:color w:val="000000" w:themeColor="text1"/>
          <w:sz w:val="48"/>
        </w:rPr>
      </w:pPr>
    </w:p>
    <w:p w:rsidR="0068571D" w:rsidRDefault="0068571D" w:rsidP="0068571D">
      <w:pPr>
        <w:pStyle w:val="Title"/>
        <w:rPr>
          <w:rFonts w:ascii="Raleway-SemiBold" w:hAnsi="Raleway-SemiBold"/>
          <w:b/>
          <w:color w:val="000000" w:themeColor="text1"/>
          <w:sz w:val="48"/>
        </w:rPr>
      </w:pPr>
    </w:p>
    <w:p w:rsidR="0068571D" w:rsidRDefault="0068571D" w:rsidP="0068571D">
      <w:pPr>
        <w:pStyle w:val="Title"/>
        <w:rPr>
          <w:rFonts w:ascii="Raleway-SemiBold" w:hAnsi="Raleway-SemiBold"/>
          <w:b/>
          <w:color w:val="000000" w:themeColor="text1"/>
          <w:sz w:val="48"/>
        </w:rPr>
      </w:pPr>
    </w:p>
    <w:p w:rsidR="0068571D" w:rsidRDefault="0068571D" w:rsidP="0068571D">
      <w:pPr>
        <w:pStyle w:val="Title"/>
        <w:rPr>
          <w:rFonts w:ascii="Raleway-SemiBold" w:hAnsi="Raleway-SemiBold"/>
          <w:b/>
          <w:color w:val="000000" w:themeColor="text1"/>
          <w:sz w:val="48"/>
        </w:rPr>
      </w:pPr>
    </w:p>
    <w:p w:rsidR="0068571D" w:rsidRDefault="0068571D" w:rsidP="0068571D">
      <w:pPr>
        <w:pStyle w:val="Title"/>
        <w:rPr>
          <w:rFonts w:ascii="Raleway-SemiBold" w:hAnsi="Raleway-SemiBold"/>
          <w:b/>
          <w:color w:val="000000" w:themeColor="text1"/>
          <w:sz w:val="48"/>
        </w:rPr>
      </w:pPr>
    </w:p>
    <w:p w:rsidR="0068571D" w:rsidRDefault="0068571D" w:rsidP="0068571D">
      <w:pPr>
        <w:pStyle w:val="Title"/>
        <w:rPr>
          <w:rFonts w:ascii="Raleway-SemiBold" w:hAnsi="Raleway-SemiBold"/>
          <w:b/>
          <w:color w:val="000000" w:themeColor="text1"/>
          <w:sz w:val="48"/>
        </w:rPr>
      </w:pPr>
    </w:p>
    <w:p w:rsidR="0068571D" w:rsidRDefault="0068571D" w:rsidP="0068571D">
      <w:pPr>
        <w:pStyle w:val="Title"/>
        <w:rPr>
          <w:rFonts w:ascii="Raleway-SemiBold" w:hAnsi="Raleway-SemiBold"/>
          <w:b/>
          <w:color w:val="000000" w:themeColor="text1"/>
          <w:sz w:val="48"/>
        </w:rPr>
      </w:pPr>
    </w:p>
    <w:p w:rsidR="0068571D" w:rsidRDefault="0068571D" w:rsidP="0068571D">
      <w:pPr>
        <w:pStyle w:val="Title"/>
        <w:rPr>
          <w:rFonts w:ascii="Raleway-SemiBold" w:hAnsi="Raleway-SemiBold"/>
          <w:b/>
          <w:color w:val="000000" w:themeColor="text1"/>
          <w:sz w:val="48"/>
        </w:rPr>
      </w:pPr>
    </w:p>
    <w:p w:rsidR="0068571D" w:rsidRDefault="0068571D" w:rsidP="0068571D">
      <w:pPr>
        <w:pStyle w:val="Title"/>
        <w:rPr>
          <w:rFonts w:ascii="Raleway-SemiBold" w:hAnsi="Raleway-SemiBold"/>
          <w:b/>
          <w:color w:val="000000" w:themeColor="text1"/>
          <w:sz w:val="48"/>
        </w:rPr>
      </w:pPr>
    </w:p>
    <w:p w:rsidR="0068571D" w:rsidRDefault="0068571D" w:rsidP="0068571D">
      <w:pPr>
        <w:pStyle w:val="Title"/>
        <w:rPr>
          <w:rFonts w:ascii="Raleway-SemiBold" w:hAnsi="Raleway-SemiBold"/>
          <w:b/>
          <w:color w:val="000000" w:themeColor="text1"/>
          <w:sz w:val="48"/>
        </w:rPr>
      </w:pPr>
    </w:p>
    <w:p w:rsidR="0068571D" w:rsidRDefault="0068571D" w:rsidP="0068571D">
      <w:pPr>
        <w:pStyle w:val="Title"/>
        <w:ind w:left="340"/>
        <w:rPr>
          <w:rFonts w:ascii="Raleway-SemiBold" w:hAnsi="Raleway-SemiBold"/>
          <w:b/>
          <w:color w:val="000000" w:themeColor="text1"/>
          <w:spacing w:val="-3"/>
          <w:szCs w:val="160"/>
        </w:rPr>
      </w:pPr>
      <w:r w:rsidRPr="0068571D">
        <w:rPr>
          <w:rFonts w:ascii="Raleway-SemiBold" w:hAnsi="Raleway-SemiBold"/>
          <w:b/>
          <w:color w:val="000000" w:themeColor="text1"/>
          <w:szCs w:val="160"/>
        </w:rPr>
        <w:lastRenderedPageBreak/>
        <w:t xml:space="preserve">Respuesta a la Lista de </w:t>
      </w:r>
      <w:r w:rsidRPr="0068571D">
        <w:rPr>
          <w:rFonts w:ascii="Raleway-SemiBold" w:hAnsi="Raleway-SemiBold"/>
          <w:b/>
          <w:color w:val="000000" w:themeColor="text1"/>
          <w:spacing w:val="-11"/>
          <w:szCs w:val="160"/>
        </w:rPr>
        <w:t xml:space="preserve">Temas </w:t>
      </w:r>
      <w:r w:rsidRPr="0068571D">
        <w:rPr>
          <w:rFonts w:ascii="Raleway-SemiBold" w:hAnsi="Raleway-SemiBold"/>
          <w:b/>
          <w:color w:val="000000" w:themeColor="text1"/>
          <w:spacing w:val="-4"/>
          <w:szCs w:val="160"/>
        </w:rPr>
        <w:t xml:space="preserve">previa </w:t>
      </w:r>
      <w:r w:rsidRPr="0068571D">
        <w:rPr>
          <w:rFonts w:ascii="Raleway-SemiBold" w:hAnsi="Raleway-SemiBold"/>
          <w:b/>
          <w:color w:val="000000" w:themeColor="text1"/>
          <w:szCs w:val="160"/>
        </w:rPr>
        <w:t xml:space="preserve">a </w:t>
      </w:r>
      <w:r w:rsidRPr="0068571D">
        <w:rPr>
          <w:rFonts w:ascii="Raleway-SemiBold" w:hAnsi="Raleway-SemiBold"/>
          <w:b/>
          <w:color w:val="000000" w:themeColor="text1"/>
          <w:spacing w:val="-8"/>
          <w:szCs w:val="160"/>
        </w:rPr>
        <w:t xml:space="preserve">la </w:t>
      </w:r>
      <w:r w:rsidRPr="0068571D">
        <w:rPr>
          <w:rFonts w:ascii="Raleway-SemiBold" w:hAnsi="Raleway-SemiBold"/>
          <w:b/>
          <w:color w:val="000000" w:themeColor="text1"/>
          <w:szCs w:val="160"/>
        </w:rPr>
        <w:t xml:space="preserve">información </w:t>
      </w:r>
      <w:r w:rsidRPr="0068571D">
        <w:rPr>
          <w:rFonts w:ascii="Raleway-SemiBold" w:hAnsi="Raleway-SemiBold"/>
          <w:b/>
          <w:color w:val="000000" w:themeColor="text1"/>
          <w:spacing w:val="-3"/>
          <w:szCs w:val="160"/>
        </w:rPr>
        <w:t>(LOIPR)</w:t>
      </w:r>
    </w:p>
    <w:p w:rsidR="0068571D" w:rsidRPr="0068571D" w:rsidRDefault="0068571D" w:rsidP="0068571D"/>
    <w:p w:rsidR="007A0A6C" w:rsidRDefault="004638C1">
      <w:pPr>
        <w:pStyle w:val="BodyText"/>
        <w:ind w:left="340"/>
        <w:rPr>
          <w:sz w:val="20"/>
        </w:rPr>
      </w:pPr>
      <w:r>
        <w:rPr>
          <w:sz w:val="20"/>
        </w:rPr>
      </w:r>
      <w:r>
        <w:rPr>
          <w:sz w:val="20"/>
        </w:rPr>
        <w:pict>
          <v:shapetype id="_x0000_t202" coordsize="21600,21600" o:spt="202" path="m,l,21600r21600,l21600,xe">
            <v:stroke joinstyle="miter"/>
            <v:path gradientshapeok="t" o:connecttype="rect"/>
          </v:shapetype>
          <v:shape id="_x0000_s1037" type="#_x0000_t202" alt="" style="width:523.3pt;height:65.4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b31d30" stroked="f">
            <v:textbox inset="0,0,0,0">
              <w:txbxContent>
                <w:p w:rsidR="0068571D" w:rsidRPr="0068571D" w:rsidRDefault="0068571D" w:rsidP="0068571D">
                  <w:pPr>
                    <w:spacing w:before="100"/>
                    <w:ind w:left="340"/>
                    <w:rPr>
                      <w:rFonts w:ascii="Raleway-SemiBold" w:hAnsi="Raleway-SemiBold"/>
                      <w:b/>
                      <w:color w:val="FFFFFF" w:themeColor="background1"/>
                      <w:sz w:val="48"/>
                      <w:szCs w:val="48"/>
                    </w:rPr>
                  </w:pPr>
                  <w:r w:rsidRPr="0068571D">
                    <w:rPr>
                      <w:rFonts w:ascii="Raleway-SemiBold" w:hAnsi="Raleway-SemiBold"/>
                      <w:b/>
                      <w:color w:val="FFFFFF" w:themeColor="background1"/>
                      <w:sz w:val="48"/>
                      <w:szCs w:val="48"/>
                    </w:rPr>
                    <w:t>Objetivo y obligaciones generales (artículos 1-4)</w:t>
                  </w:r>
                </w:p>
                <w:p w:rsidR="007A0A6C" w:rsidRDefault="007A0A6C">
                  <w:pPr>
                    <w:spacing w:before="38" w:line="230" w:lineRule="auto"/>
                    <w:ind w:left="60" w:right="1148"/>
                    <w:rPr>
                      <w:rFonts w:ascii="Raleway-SemiBold" w:hAnsi="Raleway-SemiBold"/>
                      <w:b/>
                      <w:color w:val="FFFFFF"/>
                      <w:spacing w:val="-3"/>
                      <w:sz w:val="48"/>
                    </w:rPr>
                  </w:pPr>
                </w:p>
                <w:p w:rsidR="0068571D" w:rsidRDefault="0068571D">
                  <w:pPr>
                    <w:spacing w:before="38" w:line="230" w:lineRule="auto"/>
                    <w:ind w:left="60" w:right="1148"/>
                    <w:rPr>
                      <w:rFonts w:ascii="Raleway-SemiBold" w:hAnsi="Raleway-SemiBold"/>
                      <w:b/>
                      <w:sz w:val="48"/>
                    </w:rPr>
                  </w:pPr>
                </w:p>
              </w:txbxContent>
            </v:textbox>
            <w10:anchorlock/>
          </v:shape>
        </w:pict>
      </w:r>
    </w:p>
    <w:p w:rsidR="007A0A6C" w:rsidRDefault="007A0A6C">
      <w:pPr>
        <w:pStyle w:val="BodyText"/>
        <w:spacing w:before="6"/>
        <w:ind w:left="0"/>
        <w:rPr>
          <w:sz w:val="7"/>
        </w:rPr>
      </w:pPr>
    </w:p>
    <w:p w:rsidR="007A0A6C" w:rsidRDefault="00660E26">
      <w:pPr>
        <w:pStyle w:val="ListParagraph"/>
        <w:numPr>
          <w:ilvl w:val="0"/>
          <w:numId w:val="15"/>
        </w:numPr>
        <w:tabs>
          <w:tab w:val="left" w:pos="1059"/>
          <w:tab w:val="left" w:pos="1060"/>
        </w:tabs>
        <w:spacing w:before="179" w:line="247" w:lineRule="auto"/>
        <w:ind w:right="599"/>
        <w:jc w:val="left"/>
      </w:pPr>
      <w:r>
        <w:t xml:space="preserve">Aún no existe un marco legal integral para la protección de los derechos humanos en Australia. La CRPD aún no se ha incorporado completamente a la ley nacional. Si bien la </w:t>
      </w:r>
      <w:r>
        <w:rPr>
          <w:i/>
        </w:rPr>
        <w:t xml:space="preserve">Ley contra la Discriminación por Discapacidad de 1992 </w:t>
      </w:r>
      <w:r>
        <w:t>(DDA)</w:t>
      </w:r>
      <w:r>
        <w:rPr>
          <w:position w:val="7"/>
          <w:sz w:val="13"/>
        </w:rPr>
        <w:t xml:space="preserve">2 </w:t>
      </w:r>
      <w:r>
        <w:t>y la legislación contra la discriminación</w:t>
      </w:r>
      <w:r>
        <w:rPr>
          <w:spacing w:val="-40"/>
        </w:rPr>
        <w:t xml:space="preserve"> </w:t>
      </w:r>
      <w:r>
        <w:t>basada</w:t>
      </w:r>
    </w:p>
    <w:p w:rsidR="007A0A6C" w:rsidRDefault="00660E26">
      <w:pPr>
        <w:pStyle w:val="BodyText"/>
        <w:spacing w:line="247" w:lineRule="auto"/>
        <w:ind w:right="362"/>
        <w:rPr>
          <w:sz w:val="13"/>
        </w:rPr>
      </w:pPr>
      <w:r>
        <w:t>en el Estado/Territorio incorporan algunos de los derechos en virtud de la CRPD,</w:t>
      </w:r>
      <w:r>
        <w:rPr>
          <w:position w:val="7"/>
          <w:sz w:val="13"/>
        </w:rPr>
        <w:t xml:space="preserve">3 </w:t>
      </w:r>
      <w:r>
        <w:t>el alcance de los derechos protegidos y de los motivos de discriminación es mucho más limitado en Australia que el estipulado por la ley internacional sobre derechos humanos.</w:t>
      </w:r>
      <w:r>
        <w:rPr>
          <w:position w:val="7"/>
          <w:sz w:val="13"/>
        </w:rPr>
        <w:t>4</w:t>
      </w:r>
    </w:p>
    <w:p w:rsidR="007A0A6C" w:rsidRDefault="00660E26">
      <w:pPr>
        <w:pStyle w:val="BodyText"/>
        <w:spacing w:before="136" w:line="247" w:lineRule="auto"/>
        <w:ind w:right="470"/>
        <w:rPr>
          <w:sz w:val="13"/>
        </w:rPr>
      </w:pPr>
      <w:r>
        <w:t>Las Declaraciones Interpretativas de Australia sobre los Artículos 12, 17 y 18 de la CRPD restringen la implementación eficaz de la CRPD, evitan la reforma y permiten las violaciones a los derechos humanos que incluyen la denegación de la capacidad jurídica, los tratamientos forzosos y la discriminación contra las personas no australianas con discapacidad que buscan ingresar o permanecer en Australia.</w:t>
      </w:r>
      <w:r>
        <w:rPr>
          <w:position w:val="7"/>
          <w:sz w:val="13"/>
        </w:rPr>
        <w:t>5</w:t>
      </w:r>
    </w:p>
    <w:p w:rsidR="007A0A6C" w:rsidRDefault="00660E26">
      <w:pPr>
        <w:pStyle w:val="ListParagraph"/>
        <w:numPr>
          <w:ilvl w:val="0"/>
          <w:numId w:val="15"/>
        </w:numPr>
        <w:tabs>
          <w:tab w:val="left" w:pos="1059"/>
          <w:tab w:val="left" w:pos="1060"/>
        </w:tabs>
        <w:spacing w:before="137" w:line="247" w:lineRule="auto"/>
        <w:ind w:right="278"/>
        <w:jc w:val="left"/>
        <w:rPr>
          <w:sz w:val="13"/>
        </w:rPr>
      </w:pPr>
      <w:r>
        <w:t>No hay mecanismos permanentes o eficaces para garantizar la participación activa de las personas con discapacidad, que incluyen niños con discapacidad, en la aplicación y supervisión de la CRPD.</w:t>
      </w:r>
      <w:r>
        <w:rPr>
          <w:position w:val="7"/>
          <w:sz w:val="13"/>
        </w:rPr>
        <w:t>6</w:t>
      </w:r>
      <w:r>
        <w:rPr>
          <w:sz w:val="13"/>
        </w:rPr>
        <w:t xml:space="preserve"> </w:t>
      </w:r>
      <w:r>
        <w:t>Los gobiernos no comprenden bien la importante función de las DPO, en consonancia con el Comentario General 7. Los recursos para las DPO y para las organizaciones que representan a las personas con discapacidad (DRO) son competitivos, restringen la participación en las actividades de los derechos humanos internacionales y han sido reducidos desde el último período que abarca el</w:t>
      </w:r>
      <w:r>
        <w:rPr>
          <w:spacing w:val="-2"/>
        </w:rPr>
        <w:t xml:space="preserve"> </w:t>
      </w:r>
      <w:r>
        <w:t>informe.</w:t>
      </w:r>
      <w:r>
        <w:rPr>
          <w:position w:val="7"/>
          <w:sz w:val="13"/>
        </w:rPr>
        <w:t>7</w:t>
      </w:r>
    </w:p>
    <w:p w:rsidR="007A0A6C" w:rsidRDefault="00660E26">
      <w:pPr>
        <w:pStyle w:val="BodyText"/>
        <w:spacing w:before="136" w:line="247" w:lineRule="auto"/>
        <w:ind w:right="362"/>
        <w:rPr>
          <w:sz w:val="13"/>
        </w:rPr>
      </w:pPr>
      <w:r>
        <w:t xml:space="preserve">El </w:t>
      </w:r>
      <w:r>
        <w:rPr>
          <w:i/>
        </w:rPr>
        <w:t>Programa Nacional para la Defensa de la Discapacidad (NDAP)</w:t>
      </w:r>
      <w:r>
        <w:rPr>
          <w:position w:val="7"/>
          <w:sz w:val="13"/>
        </w:rPr>
        <w:t xml:space="preserve">8 </w:t>
      </w:r>
      <w:r>
        <w:t xml:space="preserve">fue revisado en 2016, pero aún no se han implementado las reformas. Muchos gobiernos estatales y territoriales están reduciendo o dejando de financiar la defensa independiente de la discapacidad debido a la idea equivocada  de que el </w:t>
      </w:r>
      <w:r>
        <w:rPr>
          <w:i/>
        </w:rPr>
        <w:t xml:space="preserve">Programa Nacional de Seguro por Discapacidad </w:t>
      </w:r>
      <w:r>
        <w:t>(NDIS)</w:t>
      </w:r>
      <w:r>
        <w:rPr>
          <w:position w:val="7"/>
          <w:sz w:val="13"/>
        </w:rPr>
        <w:t xml:space="preserve">9 </w:t>
      </w:r>
      <w:r>
        <w:t>resolverá los temas de las personas con discapacidad. La financiación que queda es insuficiente para responder a los altos niveles de necesidad para la defensa de la discapacidad en todo el país.</w:t>
      </w:r>
      <w:r>
        <w:rPr>
          <w:position w:val="7"/>
          <w:sz w:val="13"/>
        </w:rPr>
        <w:t xml:space="preserve">10 </w:t>
      </w:r>
      <w:r>
        <w:t>Las personas con discapacidad y las encuestas independientes</w:t>
      </w:r>
      <w:r>
        <w:rPr>
          <w:position w:val="7"/>
          <w:sz w:val="13"/>
        </w:rPr>
        <w:t xml:space="preserve">11 </w:t>
      </w:r>
      <w:r>
        <w:t>han recomendado que las jurisdicciones que hayan reducido o dejado de financiarla, restablezcan la financiación para la</w:t>
      </w:r>
      <w:r>
        <w:rPr>
          <w:spacing w:val="-11"/>
        </w:rPr>
        <w:t xml:space="preserve"> </w:t>
      </w:r>
      <w:r>
        <w:t>defensa.</w:t>
      </w:r>
      <w:r>
        <w:rPr>
          <w:position w:val="7"/>
          <w:sz w:val="13"/>
        </w:rPr>
        <w:t>12</w:t>
      </w:r>
    </w:p>
    <w:p w:rsidR="007A0A6C" w:rsidRDefault="00660E26">
      <w:pPr>
        <w:pStyle w:val="ListParagraph"/>
        <w:numPr>
          <w:ilvl w:val="0"/>
          <w:numId w:val="15"/>
        </w:numPr>
        <w:tabs>
          <w:tab w:val="left" w:pos="1059"/>
          <w:tab w:val="left" w:pos="1060"/>
        </w:tabs>
        <w:spacing w:before="136" w:line="247" w:lineRule="auto"/>
        <w:ind w:right="467" w:hanging="720"/>
        <w:jc w:val="left"/>
      </w:pPr>
      <w:r>
        <w:t xml:space="preserve">La </w:t>
      </w:r>
      <w:r>
        <w:rPr>
          <w:i/>
        </w:rPr>
        <w:t xml:space="preserve">Estrategia Nacional para la Discapacidad 2010-2020 </w:t>
      </w:r>
      <w:r>
        <w:t>(NDS)</w:t>
      </w:r>
      <w:r>
        <w:rPr>
          <w:position w:val="7"/>
          <w:sz w:val="13"/>
        </w:rPr>
        <w:t xml:space="preserve">13 </w:t>
      </w:r>
      <w:r>
        <w:t>establece el marco político nacional para orientar a los gobiernos australianos para que cumplan con las obligaciones en virtud de la CRPD.</w:t>
      </w:r>
      <w:r>
        <w:rPr>
          <w:position w:val="7"/>
          <w:sz w:val="13"/>
        </w:rPr>
        <w:t xml:space="preserve">14 </w:t>
      </w:r>
      <w:r>
        <w:t xml:space="preserve">En la actualidad, la NDS está en revisión para preparase para su décimo año de vigencia, con miras a otro plan de diez años. Sin embargo, el </w:t>
      </w:r>
      <w:r>
        <w:rPr>
          <w:i/>
        </w:rPr>
        <w:t>Plan de Implementación</w:t>
      </w:r>
      <w:r>
        <w:rPr>
          <w:position w:val="7"/>
          <w:sz w:val="13"/>
        </w:rPr>
        <w:t xml:space="preserve">15 </w:t>
      </w:r>
      <w:r>
        <w:t>final en</w:t>
      </w:r>
      <w:r>
        <w:rPr>
          <w:spacing w:val="-3"/>
        </w:rPr>
        <w:t xml:space="preserve"> </w:t>
      </w:r>
      <w:r>
        <w:t>virtud</w:t>
      </w:r>
      <w:r>
        <w:rPr>
          <w:spacing w:val="-2"/>
        </w:rPr>
        <w:t xml:space="preserve"> </w:t>
      </w:r>
      <w:r>
        <w:t>de</w:t>
      </w:r>
      <w:r>
        <w:rPr>
          <w:spacing w:val="-3"/>
        </w:rPr>
        <w:t xml:space="preserve"> </w:t>
      </w:r>
      <w:r>
        <w:t>la</w:t>
      </w:r>
      <w:r>
        <w:rPr>
          <w:spacing w:val="-2"/>
        </w:rPr>
        <w:t xml:space="preserve"> </w:t>
      </w:r>
      <w:r>
        <w:t>NDS</w:t>
      </w:r>
      <w:r>
        <w:rPr>
          <w:spacing w:val="-3"/>
        </w:rPr>
        <w:t xml:space="preserve"> </w:t>
      </w:r>
      <w:r>
        <w:t>aún</w:t>
      </w:r>
      <w:r>
        <w:rPr>
          <w:spacing w:val="-3"/>
        </w:rPr>
        <w:t xml:space="preserve"> </w:t>
      </w:r>
      <w:r>
        <w:t>no</w:t>
      </w:r>
      <w:r>
        <w:rPr>
          <w:spacing w:val="-2"/>
        </w:rPr>
        <w:t xml:space="preserve"> </w:t>
      </w:r>
      <w:r>
        <w:t>se</w:t>
      </w:r>
      <w:r>
        <w:rPr>
          <w:spacing w:val="-2"/>
        </w:rPr>
        <w:t xml:space="preserve"> </w:t>
      </w:r>
      <w:r>
        <w:t>ha</w:t>
      </w:r>
      <w:r>
        <w:rPr>
          <w:spacing w:val="-3"/>
        </w:rPr>
        <w:t xml:space="preserve"> </w:t>
      </w:r>
      <w:r>
        <w:t>publicado</w:t>
      </w:r>
      <w:r>
        <w:rPr>
          <w:spacing w:val="-3"/>
        </w:rPr>
        <w:t xml:space="preserve"> </w:t>
      </w:r>
      <w:r>
        <w:t>y</w:t>
      </w:r>
      <w:r>
        <w:rPr>
          <w:spacing w:val="-1"/>
        </w:rPr>
        <w:t xml:space="preserve"> </w:t>
      </w:r>
      <w:r>
        <w:t>solo</w:t>
      </w:r>
      <w:r>
        <w:rPr>
          <w:spacing w:val="-2"/>
        </w:rPr>
        <w:t xml:space="preserve"> </w:t>
      </w:r>
      <w:r>
        <w:t>hubo</w:t>
      </w:r>
      <w:r>
        <w:rPr>
          <w:spacing w:val="-3"/>
        </w:rPr>
        <w:t xml:space="preserve"> </w:t>
      </w:r>
      <w:r>
        <w:t>dos</w:t>
      </w:r>
      <w:r>
        <w:rPr>
          <w:spacing w:val="-2"/>
        </w:rPr>
        <w:t xml:space="preserve"> </w:t>
      </w:r>
      <w:r>
        <w:t>informes</w:t>
      </w:r>
      <w:r>
        <w:rPr>
          <w:spacing w:val="-3"/>
        </w:rPr>
        <w:t xml:space="preserve"> </w:t>
      </w:r>
      <w:r>
        <w:t>de</w:t>
      </w:r>
      <w:r>
        <w:rPr>
          <w:spacing w:val="-3"/>
        </w:rPr>
        <w:t xml:space="preserve"> </w:t>
      </w:r>
      <w:r>
        <w:t>seguimiento</w:t>
      </w:r>
      <w:r>
        <w:rPr>
          <w:spacing w:val="-2"/>
        </w:rPr>
        <w:t xml:space="preserve"> </w:t>
      </w:r>
      <w:r>
        <w:t>a</w:t>
      </w:r>
      <w:r>
        <w:rPr>
          <w:spacing w:val="-2"/>
        </w:rPr>
        <w:t xml:space="preserve"> </w:t>
      </w:r>
      <w:r>
        <w:t>pesar</w:t>
      </w:r>
      <w:r>
        <w:rPr>
          <w:spacing w:val="-3"/>
        </w:rPr>
        <w:t xml:space="preserve"> </w:t>
      </w:r>
      <w:r>
        <w:t>del</w:t>
      </w:r>
    </w:p>
    <w:p w:rsidR="007A0A6C" w:rsidRDefault="00660E26">
      <w:pPr>
        <w:pStyle w:val="BodyText"/>
        <w:spacing w:line="247" w:lineRule="auto"/>
        <w:ind w:right="287"/>
        <w:rPr>
          <w:sz w:val="13"/>
        </w:rPr>
      </w:pPr>
      <w:r>
        <w:t>compromiso con los informes de seguimiento bienales. Estos informes solo describen las acciones en lugar de evaluar los resultados para las personas con discapacidad. La NDS carece de acciones y resultados mensurables para abordar las violaciones sistémicas a los derechos humanos, carece de recursos para la aplicación, supervisión y evaluación en todas las áreas de resultados de la política, y carece de responsabilidad y de mecanismos de aplicación.</w:t>
      </w:r>
      <w:r>
        <w:rPr>
          <w:position w:val="7"/>
          <w:sz w:val="13"/>
        </w:rPr>
        <w:t xml:space="preserve">16 </w:t>
      </w:r>
      <w:r>
        <w:t>Los datos desglosados y la recopilación de información sobre la situación de las mujeres y los niños con discapacidad no están incorporados en la NDS.</w:t>
      </w:r>
      <w:r>
        <w:rPr>
          <w:position w:val="7"/>
          <w:sz w:val="13"/>
        </w:rPr>
        <w:t>17</w:t>
      </w:r>
    </w:p>
    <w:p w:rsidR="007A0A6C" w:rsidRDefault="00660E26">
      <w:pPr>
        <w:pStyle w:val="BodyText"/>
        <w:spacing w:before="93" w:line="247" w:lineRule="auto"/>
        <w:ind w:right="430"/>
      </w:pPr>
      <w:r>
        <w:t>La competencia con respecto a la política sobre discapacidad es de la NDS, que es independiente del Departamento de Servicios Sociales (DSS). Las DPO han urgido a los gobiernos australianos a establecer un mecanismo ejecutivo dentro del Departamento del Primer Ministro y del</w:t>
      </w:r>
    </w:p>
    <w:p w:rsidR="007A0A6C" w:rsidRDefault="00660E26">
      <w:pPr>
        <w:pStyle w:val="BodyText"/>
        <w:spacing w:line="247" w:lineRule="auto"/>
        <w:ind w:right="247"/>
        <w:rPr>
          <w:sz w:val="13"/>
        </w:rPr>
      </w:pPr>
      <w:r>
        <w:t>Gabinete para garantizar el alto nivel y la coordinación entre el gobierno y la NDS.</w:t>
      </w:r>
      <w:r>
        <w:rPr>
          <w:position w:val="7"/>
          <w:sz w:val="13"/>
        </w:rPr>
        <w:t xml:space="preserve">18 </w:t>
      </w:r>
      <w:r>
        <w:t>La presente recomendación fue secundada por una Encuesta del Senado</w:t>
      </w:r>
      <w:r>
        <w:rPr>
          <w:position w:val="7"/>
          <w:sz w:val="13"/>
        </w:rPr>
        <w:t>19</w:t>
      </w:r>
      <w:r>
        <w:t>; sin embargo, el Gobierno la rechazó.</w:t>
      </w:r>
      <w:r>
        <w:rPr>
          <w:position w:val="7"/>
          <w:sz w:val="13"/>
        </w:rPr>
        <w:t>20</w:t>
      </w:r>
    </w:p>
    <w:p w:rsidR="007A0A6C" w:rsidRDefault="00660E26">
      <w:pPr>
        <w:pStyle w:val="BodyText"/>
        <w:tabs>
          <w:tab w:val="left" w:pos="1059"/>
        </w:tabs>
        <w:spacing w:before="137" w:line="247" w:lineRule="auto"/>
        <w:ind w:right="304" w:hanging="720"/>
        <w:rPr>
          <w:position w:val="7"/>
          <w:sz w:val="13"/>
        </w:rPr>
      </w:pPr>
      <w:r>
        <w:t>4(a)</w:t>
      </w:r>
      <w:r>
        <w:tab/>
        <w:t xml:space="preserve">El objetivo del NDIS es ayudar a un 10 % o a 460 000 personas con discapacidad en Australia. Los </w:t>
      </w:r>
      <w:r>
        <w:lastRenderedPageBreak/>
        <w:t>criterios de evaluación</w:t>
      </w:r>
      <w:r>
        <w:rPr>
          <w:position w:val="7"/>
          <w:sz w:val="13"/>
        </w:rPr>
        <w:t xml:space="preserve">21 </w:t>
      </w:r>
      <w:r>
        <w:t>para acceder al NDIS están estipulado en la Ley del NDIS de 2013 (Cth).</w:t>
      </w:r>
      <w:r>
        <w:rPr>
          <w:position w:val="7"/>
          <w:sz w:val="13"/>
        </w:rPr>
        <w:t xml:space="preserve">22 </w:t>
      </w:r>
      <w:r>
        <w:t>A fines de 2018, 244 653 participantes del NDIS tenían un plan aprobado, cifra que está muy por debajo de los 315 721 participantes que se esperaba que tuvieran sus planes aprobados</w:t>
      </w:r>
      <w:r>
        <w:rPr>
          <w:position w:val="7"/>
          <w:sz w:val="13"/>
        </w:rPr>
        <w:t xml:space="preserve">23 </w:t>
      </w:r>
      <w:r>
        <w:t>para ese momento.</w:t>
      </w:r>
      <w:r>
        <w:rPr>
          <w:position w:val="7"/>
          <w:sz w:val="13"/>
        </w:rPr>
        <w:t>24</w:t>
      </w:r>
    </w:p>
    <w:p w:rsidR="00CA0FE5" w:rsidRDefault="00CA0FE5">
      <w:pPr>
        <w:pStyle w:val="BodyText"/>
        <w:tabs>
          <w:tab w:val="left" w:pos="1059"/>
        </w:tabs>
        <w:spacing w:before="137" w:line="247" w:lineRule="auto"/>
        <w:ind w:right="304" w:hanging="720"/>
        <w:rPr>
          <w:sz w:val="13"/>
        </w:rPr>
      </w:pPr>
    </w:p>
    <w:p w:rsidR="007A0A6C" w:rsidRDefault="00660E26" w:rsidP="00CA0FE5">
      <w:pPr>
        <w:pStyle w:val="BodyText"/>
        <w:spacing w:before="76" w:line="247" w:lineRule="auto"/>
        <w:ind w:right="247"/>
      </w:pPr>
      <w:r>
        <w:t>Hay</w:t>
      </w:r>
      <w:r>
        <w:rPr>
          <w:spacing w:val="-22"/>
        </w:rPr>
        <w:t xml:space="preserve"> </w:t>
      </w:r>
      <w:r>
        <w:t>una</w:t>
      </w:r>
      <w:r>
        <w:rPr>
          <w:spacing w:val="-21"/>
        </w:rPr>
        <w:t xml:space="preserve"> </w:t>
      </w:r>
      <w:r>
        <w:rPr>
          <w:spacing w:val="-3"/>
        </w:rPr>
        <w:t>excesiva</w:t>
      </w:r>
      <w:r>
        <w:rPr>
          <w:spacing w:val="-21"/>
        </w:rPr>
        <w:t xml:space="preserve"> </w:t>
      </w:r>
      <w:r>
        <w:rPr>
          <w:spacing w:val="-3"/>
        </w:rPr>
        <w:t>confianza</w:t>
      </w:r>
      <w:r>
        <w:rPr>
          <w:spacing w:val="-21"/>
        </w:rPr>
        <w:t xml:space="preserve"> </w:t>
      </w:r>
      <w:r>
        <w:t>en</w:t>
      </w:r>
      <w:r>
        <w:rPr>
          <w:spacing w:val="-21"/>
        </w:rPr>
        <w:t xml:space="preserve"> </w:t>
      </w:r>
      <w:r>
        <w:t>los</w:t>
      </w:r>
      <w:r>
        <w:rPr>
          <w:spacing w:val="-22"/>
        </w:rPr>
        <w:t xml:space="preserve"> </w:t>
      </w:r>
      <w:r>
        <w:rPr>
          <w:spacing w:val="-3"/>
        </w:rPr>
        <w:t>diagnósticos</w:t>
      </w:r>
      <w:r>
        <w:rPr>
          <w:spacing w:val="-21"/>
        </w:rPr>
        <w:t xml:space="preserve"> </w:t>
      </w:r>
      <w:r>
        <w:rPr>
          <w:spacing w:val="-3"/>
        </w:rPr>
        <w:t>médicos</w:t>
      </w:r>
      <w:r>
        <w:rPr>
          <w:spacing w:val="-21"/>
        </w:rPr>
        <w:t xml:space="preserve"> </w:t>
      </w:r>
      <w:r>
        <w:t>más</w:t>
      </w:r>
      <w:r>
        <w:rPr>
          <w:spacing w:val="-21"/>
        </w:rPr>
        <w:t xml:space="preserve"> </w:t>
      </w:r>
      <w:r>
        <w:t>que</w:t>
      </w:r>
      <w:r>
        <w:rPr>
          <w:spacing w:val="-21"/>
        </w:rPr>
        <w:t xml:space="preserve"> </w:t>
      </w:r>
      <w:r>
        <w:t>en</w:t>
      </w:r>
      <w:r>
        <w:rPr>
          <w:spacing w:val="-22"/>
        </w:rPr>
        <w:t xml:space="preserve"> </w:t>
      </w:r>
      <w:r>
        <w:t>las</w:t>
      </w:r>
      <w:r>
        <w:rPr>
          <w:spacing w:val="-21"/>
        </w:rPr>
        <w:t xml:space="preserve"> </w:t>
      </w:r>
      <w:r>
        <w:rPr>
          <w:spacing w:val="-3"/>
        </w:rPr>
        <w:t>evaluaciones</w:t>
      </w:r>
      <w:r>
        <w:rPr>
          <w:spacing w:val="-21"/>
        </w:rPr>
        <w:t xml:space="preserve"> </w:t>
      </w:r>
      <w:r>
        <w:rPr>
          <w:spacing w:val="-3"/>
        </w:rPr>
        <w:t>funcionales.</w:t>
      </w:r>
      <w:r>
        <w:rPr>
          <w:spacing w:val="-20"/>
        </w:rPr>
        <w:t xml:space="preserve"> </w:t>
      </w:r>
      <w:r>
        <w:rPr>
          <w:spacing w:val="-3"/>
        </w:rPr>
        <w:t>El proceso</w:t>
      </w:r>
      <w:r>
        <w:rPr>
          <w:spacing w:val="-20"/>
        </w:rPr>
        <w:t xml:space="preserve"> </w:t>
      </w:r>
      <w:r>
        <w:t>de</w:t>
      </w:r>
      <w:r>
        <w:rPr>
          <w:spacing w:val="-19"/>
        </w:rPr>
        <w:t xml:space="preserve"> </w:t>
      </w:r>
      <w:r>
        <w:rPr>
          <w:spacing w:val="-3"/>
        </w:rPr>
        <w:t>planificación</w:t>
      </w:r>
      <w:r>
        <w:rPr>
          <w:spacing w:val="-19"/>
        </w:rPr>
        <w:t xml:space="preserve"> </w:t>
      </w:r>
      <w:r>
        <w:rPr>
          <w:spacing w:val="-3"/>
        </w:rPr>
        <w:t>para</w:t>
      </w:r>
      <w:r>
        <w:rPr>
          <w:spacing w:val="-20"/>
        </w:rPr>
        <w:t xml:space="preserve"> </w:t>
      </w:r>
      <w:r>
        <w:t>los</w:t>
      </w:r>
      <w:r>
        <w:rPr>
          <w:spacing w:val="-19"/>
        </w:rPr>
        <w:t xml:space="preserve"> </w:t>
      </w:r>
      <w:r>
        <w:rPr>
          <w:spacing w:val="-3"/>
        </w:rPr>
        <w:t>participantes</w:t>
      </w:r>
      <w:r>
        <w:rPr>
          <w:spacing w:val="-19"/>
        </w:rPr>
        <w:t xml:space="preserve"> </w:t>
      </w:r>
      <w:r>
        <w:t>del</w:t>
      </w:r>
      <w:r>
        <w:rPr>
          <w:spacing w:val="-19"/>
        </w:rPr>
        <w:t xml:space="preserve"> </w:t>
      </w:r>
      <w:r>
        <w:rPr>
          <w:spacing w:val="-3"/>
        </w:rPr>
        <w:t>NDIS</w:t>
      </w:r>
      <w:r>
        <w:rPr>
          <w:spacing w:val="-20"/>
        </w:rPr>
        <w:t xml:space="preserve"> </w:t>
      </w:r>
      <w:r>
        <w:t>es</w:t>
      </w:r>
      <w:r>
        <w:rPr>
          <w:spacing w:val="-19"/>
        </w:rPr>
        <w:t xml:space="preserve"> </w:t>
      </w:r>
      <w:r>
        <w:rPr>
          <w:spacing w:val="-3"/>
        </w:rPr>
        <w:t>complejo</w:t>
      </w:r>
      <w:r>
        <w:rPr>
          <w:spacing w:val="-19"/>
        </w:rPr>
        <w:t xml:space="preserve"> </w:t>
      </w:r>
      <w:r>
        <w:t>y</w:t>
      </w:r>
      <w:r>
        <w:rPr>
          <w:spacing w:val="-19"/>
        </w:rPr>
        <w:t xml:space="preserve"> </w:t>
      </w:r>
      <w:r>
        <w:rPr>
          <w:spacing w:val="-3"/>
        </w:rPr>
        <w:t>confuso</w:t>
      </w:r>
      <w:r>
        <w:rPr>
          <w:spacing w:val="-20"/>
        </w:rPr>
        <w:t xml:space="preserve"> </w:t>
      </w:r>
      <w:r>
        <w:rPr>
          <w:spacing w:val="-9"/>
        </w:rPr>
        <w:t>y,</w:t>
      </w:r>
      <w:r>
        <w:rPr>
          <w:spacing w:val="-18"/>
        </w:rPr>
        <w:t xml:space="preserve"> </w:t>
      </w:r>
      <w:r>
        <w:t>a</w:t>
      </w:r>
      <w:r>
        <w:rPr>
          <w:spacing w:val="-19"/>
        </w:rPr>
        <w:t xml:space="preserve"> </w:t>
      </w:r>
      <w:r>
        <w:rPr>
          <w:spacing w:val="-3"/>
        </w:rPr>
        <w:t>menudo,</w:t>
      </w:r>
      <w:r>
        <w:rPr>
          <w:spacing w:val="-20"/>
        </w:rPr>
        <w:t xml:space="preserve"> </w:t>
      </w:r>
      <w:r>
        <w:rPr>
          <w:spacing w:val="-3"/>
        </w:rPr>
        <w:t>carece</w:t>
      </w:r>
      <w:r>
        <w:rPr>
          <w:spacing w:val="-19"/>
        </w:rPr>
        <w:t xml:space="preserve"> </w:t>
      </w:r>
      <w:r>
        <w:rPr>
          <w:spacing w:val="-3"/>
        </w:rPr>
        <w:t>de claridad</w:t>
      </w:r>
      <w:r>
        <w:rPr>
          <w:spacing w:val="-27"/>
        </w:rPr>
        <w:t xml:space="preserve"> </w:t>
      </w:r>
      <w:r>
        <w:t>y</w:t>
      </w:r>
      <w:r>
        <w:rPr>
          <w:spacing w:val="-27"/>
        </w:rPr>
        <w:t xml:space="preserve"> </w:t>
      </w:r>
      <w:r>
        <w:rPr>
          <w:spacing w:val="-3"/>
        </w:rPr>
        <w:t>transparencia.</w:t>
      </w:r>
      <w:r>
        <w:rPr>
          <w:spacing w:val="-3"/>
          <w:position w:val="7"/>
          <w:sz w:val="13"/>
        </w:rPr>
        <w:t>25</w:t>
      </w:r>
      <w:r>
        <w:rPr>
          <w:spacing w:val="-8"/>
          <w:position w:val="7"/>
          <w:sz w:val="13"/>
        </w:rPr>
        <w:t xml:space="preserve"> </w:t>
      </w:r>
      <w:r>
        <w:t>A</w:t>
      </w:r>
      <w:r>
        <w:rPr>
          <w:spacing w:val="-34"/>
        </w:rPr>
        <w:t xml:space="preserve"> </w:t>
      </w:r>
      <w:r>
        <w:rPr>
          <w:spacing w:val="-3"/>
        </w:rPr>
        <w:t>menudo,</w:t>
      </w:r>
      <w:r>
        <w:rPr>
          <w:spacing w:val="-27"/>
        </w:rPr>
        <w:t xml:space="preserve"> </w:t>
      </w:r>
      <w:r>
        <w:t>los</w:t>
      </w:r>
      <w:r>
        <w:rPr>
          <w:spacing w:val="-27"/>
        </w:rPr>
        <w:t xml:space="preserve"> </w:t>
      </w:r>
      <w:r>
        <w:rPr>
          <w:spacing w:val="-3"/>
        </w:rPr>
        <w:t>participantes</w:t>
      </w:r>
      <w:r>
        <w:rPr>
          <w:spacing w:val="-27"/>
        </w:rPr>
        <w:t xml:space="preserve"> </w:t>
      </w:r>
      <w:r>
        <w:t>del</w:t>
      </w:r>
      <w:r>
        <w:rPr>
          <w:spacing w:val="-27"/>
        </w:rPr>
        <w:t xml:space="preserve"> </w:t>
      </w:r>
      <w:r>
        <w:rPr>
          <w:spacing w:val="-3"/>
        </w:rPr>
        <w:t>Programa</w:t>
      </w:r>
      <w:r>
        <w:rPr>
          <w:spacing w:val="-27"/>
        </w:rPr>
        <w:t xml:space="preserve"> </w:t>
      </w:r>
      <w:r>
        <w:rPr>
          <w:spacing w:val="-3"/>
        </w:rPr>
        <w:t>conocen</w:t>
      </w:r>
      <w:r>
        <w:rPr>
          <w:spacing w:val="-26"/>
        </w:rPr>
        <w:t xml:space="preserve"> </w:t>
      </w:r>
      <w:r>
        <w:t>sus</w:t>
      </w:r>
      <w:r>
        <w:rPr>
          <w:spacing w:val="-27"/>
        </w:rPr>
        <w:t xml:space="preserve"> </w:t>
      </w:r>
      <w:r>
        <w:rPr>
          <w:spacing w:val="-3"/>
        </w:rPr>
        <w:t>derechos</w:t>
      </w:r>
      <w:r>
        <w:rPr>
          <w:spacing w:val="-27"/>
        </w:rPr>
        <w:t xml:space="preserve"> </w:t>
      </w:r>
      <w:r>
        <w:t>y</w:t>
      </w:r>
      <w:r>
        <w:rPr>
          <w:spacing w:val="-27"/>
        </w:rPr>
        <w:t xml:space="preserve"> </w:t>
      </w:r>
      <w:r>
        <w:rPr>
          <w:spacing w:val="-3"/>
        </w:rPr>
        <w:t>opciones.</w:t>
      </w:r>
      <w:r>
        <w:rPr>
          <w:spacing w:val="-3"/>
          <w:position w:val="7"/>
          <w:sz w:val="13"/>
        </w:rPr>
        <w:t xml:space="preserve">26 </w:t>
      </w:r>
      <w:r>
        <w:t xml:space="preserve">Las </w:t>
      </w:r>
      <w:r>
        <w:rPr>
          <w:spacing w:val="-3"/>
        </w:rPr>
        <w:t xml:space="preserve">pruebas </w:t>
      </w:r>
      <w:r>
        <w:t xml:space="preserve">de las </w:t>
      </w:r>
      <w:r>
        <w:rPr>
          <w:spacing w:val="-3"/>
        </w:rPr>
        <w:t xml:space="preserve">personas </w:t>
      </w:r>
      <w:r>
        <w:t xml:space="preserve">con </w:t>
      </w:r>
      <w:r>
        <w:rPr>
          <w:spacing w:val="-3"/>
        </w:rPr>
        <w:t>discapacidad</w:t>
      </w:r>
      <w:r>
        <w:rPr>
          <w:spacing w:val="-3"/>
          <w:position w:val="7"/>
          <w:sz w:val="13"/>
        </w:rPr>
        <w:t xml:space="preserve">27 </w:t>
      </w:r>
      <w:r>
        <w:rPr>
          <w:spacing w:val="-3"/>
        </w:rPr>
        <w:t xml:space="preserve">demuestran </w:t>
      </w:r>
      <w:r>
        <w:t xml:space="preserve">que los </w:t>
      </w:r>
      <w:r>
        <w:rPr>
          <w:spacing w:val="-3"/>
        </w:rPr>
        <w:t xml:space="preserve">planificadores </w:t>
      </w:r>
      <w:r>
        <w:t xml:space="preserve">han </w:t>
      </w:r>
      <w:r>
        <w:rPr>
          <w:spacing w:val="-3"/>
        </w:rPr>
        <w:t>elaborado planes</w:t>
      </w:r>
      <w:r>
        <w:rPr>
          <w:spacing w:val="-18"/>
        </w:rPr>
        <w:t xml:space="preserve"> </w:t>
      </w:r>
      <w:r>
        <w:t>que</w:t>
      </w:r>
      <w:r>
        <w:rPr>
          <w:spacing w:val="-17"/>
        </w:rPr>
        <w:t xml:space="preserve"> </w:t>
      </w:r>
      <w:r>
        <w:t>no</w:t>
      </w:r>
      <w:r>
        <w:rPr>
          <w:spacing w:val="-18"/>
        </w:rPr>
        <w:t xml:space="preserve"> </w:t>
      </w:r>
      <w:r>
        <w:rPr>
          <w:spacing w:val="-3"/>
        </w:rPr>
        <w:t>representan</w:t>
      </w:r>
      <w:r>
        <w:rPr>
          <w:spacing w:val="-17"/>
        </w:rPr>
        <w:t xml:space="preserve"> </w:t>
      </w:r>
      <w:r>
        <w:t>las</w:t>
      </w:r>
      <w:r>
        <w:rPr>
          <w:spacing w:val="-18"/>
        </w:rPr>
        <w:t xml:space="preserve"> </w:t>
      </w:r>
      <w:r>
        <w:rPr>
          <w:spacing w:val="-3"/>
        </w:rPr>
        <w:t>necesidades</w:t>
      </w:r>
      <w:r>
        <w:rPr>
          <w:spacing w:val="-17"/>
        </w:rPr>
        <w:t xml:space="preserve"> </w:t>
      </w:r>
      <w:r>
        <w:t>de</w:t>
      </w:r>
      <w:r>
        <w:rPr>
          <w:spacing w:val="-18"/>
        </w:rPr>
        <w:t xml:space="preserve"> </w:t>
      </w:r>
      <w:r>
        <w:t>los</w:t>
      </w:r>
      <w:r>
        <w:rPr>
          <w:spacing w:val="-17"/>
        </w:rPr>
        <w:t xml:space="preserve"> </w:t>
      </w:r>
      <w:r>
        <w:rPr>
          <w:spacing w:val="-3"/>
        </w:rPr>
        <w:t>participantes;</w:t>
      </w:r>
      <w:r>
        <w:rPr>
          <w:spacing w:val="-18"/>
        </w:rPr>
        <w:t xml:space="preserve"> </w:t>
      </w:r>
      <w:r>
        <w:rPr>
          <w:spacing w:val="-3"/>
        </w:rPr>
        <w:t>ellos</w:t>
      </w:r>
      <w:r>
        <w:rPr>
          <w:spacing w:val="-17"/>
        </w:rPr>
        <w:t xml:space="preserve"> </w:t>
      </w:r>
      <w:r>
        <w:rPr>
          <w:spacing w:val="-3"/>
        </w:rPr>
        <w:t>toman</w:t>
      </w:r>
      <w:r>
        <w:rPr>
          <w:spacing w:val="-17"/>
        </w:rPr>
        <w:t xml:space="preserve"> </w:t>
      </w:r>
      <w:r>
        <w:rPr>
          <w:spacing w:val="-3"/>
        </w:rPr>
        <w:t>decisiones</w:t>
      </w:r>
      <w:r>
        <w:rPr>
          <w:spacing w:val="-17"/>
        </w:rPr>
        <w:t xml:space="preserve"> </w:t>
      </w:r>
      <w:r>
        <w:rPr>
          <w:spacing w:val="-3"/>
        </w:rPr>
        <w:t>negativas</w:t>
      </w:r>
    </w:p>
    <w:p w:rsidR="007A0A6C" w:rsidRDefault="00660E26">
      <w:pPr>
        <w:pStyle w:val="BodyText"/>
        <w:spacing w:line="247" w:lineRule="auto"/>
        <w:ind w:right="715"/>
      </w:pPr>
      <w:r>
        <w:rPr>
          <w:spacing w:val="-3"/>
        </w:rPr>
        <w:t>para</w:t>
      </w:r>
      <w:r>
        <w:rPr>
          <w:spacing w:val="-20"/>
        </w:rPr>
        <w:t xml:space="preserve"> </w:t>
      </w:r>
      <w:r>
        <w:t>las</w:t>
      </w:r>
      <w:r>
        <w:rPr>
          <w:spacing w:val="-20"/>
        </w:rPr>
        <w:t xml:space="preserve"> </w:t>
      </w:r>
      <w:r>
        <w:rPr>
          <w:spacing w:val="-3"/>
        </w:rPr>
        <w:t>cuales</w:t>
      </w:r>
      <w:r>
        <w:rPr>
          <w:spacing w:val="-20"/>
        </w:rPr>
        <w:t xml:space="preserve"> </w:t>
      </w:r>
      <w:r>
        <w:t>no</w:t>
      </w:r>
      <w:r>
        <w:rPr>
          <w:spacing w:val="-19"/>
        </w:rPr>
        <w:t xml:space="preserve"> </w:t>
      </w:r>
      <w:r>
        <w:rPr>
          <w:spacing w:val="-3"/>
        </w:rPr>
        <w:t>están</w:t>
      </w:r>
      <w:r>
        <w:rPr>
          <w:spacing w:val="-20"/>
        </w:rPr>
        <w:t xml:space="preserve"> </w:t>
      </w:r>
      <w:r>
        <w:rPr>
          <w:spacing w:val="-3"/>
        </w:rPr>
        <w:t>calificados;</w:t>
      </w:r>
      <w:r>
        <w:rPr>
          <w:spacing w:val="-20"/>
        </w:rPr>
        <w:t xml:space="preserve"> </w:t>
      </w:r>
      <w:r>
        <w:t>hay</w:t>
      </w:r>
      <w:r>
        <w:rPr>
          <w:spacing w:val="-20"/>
        </w:rPr>
        <w:t xml:space="preserve"> </w:t>
      </w:r>
      <w:r>
        <w:rPr>
          <w:spacing w:val="-3"/>
        </w:rPr>
        <w:t>prologadas</w:t>
      </w:r>
      <w:r>
        <w:rPr>
          <w:spacing w:val="-19"/>
        </w:rPr>
        <w:t xml:space="preserve"> </w:t>
      </w:r>
      <w:r>
        <w:rPr>
          <w:spacing w:val="-3"/>
        </w:rPr>
        <w:t>demoras</w:t>
      </w:r>
      <w:r>
        <w:rPr>
          <w:spacing w:val="-20"/>
        </w:rPr>
        <w:t xml:space="preserve"> </w:t>
      </w:r>
      <w:r>
        <w:rPr>
          <w:spacing w:val="-3"/>
        </w:rPr>
        <w:t>para</w:t>
      </w:r>
      <w:r>
        <w:rPr>
          <w:spacing w:val="-20"/>
        </w:rPr>
        <w:t xml:space="preserve"> </w:t>
      </w:r>
      <w:r>
        <w:rPr>
          <w:spacing w:val="-3"/>
        </w:rPr>
        <w:t>recibir</w:t>
      </w:r>
      <w:r>
        <w:rPr>
          <w:spacing w:val="-20"/>
        </w:rPr>
        <w:t xml:space="preserve"> </w:t>
      </w:r>
      <w:r>
        <w:t>los</w:t>
      </w:r>
      <w:r>
        <w:rPr>
          <w:spacing w:val="-19"/>
        </w:rPr>
        <w:t xml:space="preserve"> </w:t>
      </w:r>
      <w:r>
        <w:rPr>
          <w:spacing w:val="-3"/>
        </w:rPr>
        <w:t>planes,</w:t>
      </w:r>
      <w:r>
        <w:rPr>
          <w:spacing w:val="-20"/>
        </w:rPr>
        <w:t xml:space="preserve"> </w:t>
      </w:r>
      <w:r>
        <w:rPr>
          <w:spacing w:val="-3"/>
        </w:rPr>
        <w:t>para</w:t>
      </w:r>
      <w:r>
        <w:rPr>
          <w:spacing w:val="-20"/>
        </w:rPr>
        <w:t xml:space="preserve"> </w:t>
      </w:r>
      <w:r>
        <w:rPr>
          <w:spacing w:val="-3"/>
        </w:rPr>
        <w:t xml:space="preserve">realizar </w:t>
      </w:r>
      <w:r>
        <w:t>las</w:t>
      </w:r>
      <w:r>
        <w:rPr>
          <w:spacing w:val="-24"/>
        </w:rPr>
        <w:t xml:space="preserve"> </w:t>
      </w:r>
      <w:r>
        <w:rPr>
          <w:spacing w:val="-3"/>
        </w:rPr>
        <w:t>revisiones</w:t>
      </w:r>
      <w:r>
        <w:rPr>
          <w:spacing w:val="-23"/>
        </w:rPr>
        <w:t xml:space="preserve"> </w:t>
      </w:r>
      <w:r>
        <w:t>de</w:t>
      </w:r>
      <w:r>
        <w:rPr>
          <w:spacing w:val="-23"/>
        </w:rPr>
        <w:t xml:space="preserve"> </w:t>
      </w:r>
      <w:r>
        <w:t>los</w:t>
      </w:r>
      <w:r>
        <w:rPr>
          <w:spacing w:val="-23"/>
        </w:rPr>
        <w:t xml:space="preserve"> </w:t>
      </w:r>
      <w:r>
        <w:rPr>
          <w:spacing w:val="-3"/>
        </w:rPr>
        <w:t>planes</w:t>
      </w:r>
      <w:r>
        <w:rPr>
          <w:spacing w:val="-23"/>
        </w:rPr>
        <w:t xml:space="preserve"> </w:t>
      </w:r>
      <w:r>
        <w:t>y</w:t>
      </w:r>
      <w:r>
        <w:rPr>
          <w:spacing w:val="-23"/>
        </w:rPr>
        <w:t xml:space="preserve"> </w:t>
      </w:r>
      <w:r>
        <w:rPr>
          <w:spacing w:val="-3"/>
        </w:rPr>
        <w:t>para</w:t>
      </w:r>
      <w:r>
        <w:rPr>
          <w:spacing w:val="-23"/>
        </w:rPr>
        <w:t xml:space="preserve"> </w:t>
      </w:r>
      <w:r>
        <w:rPr>
          <w:spacing w:val="-3"/>
        </w:rPr>
        <w:t>cualquier</w:t>
      </w:r>
      <w:r>
        <w:rPr>
          <w:spacing w:val="-23"/>
        </w:rPr>
        <w:t xml:space="preserve"> </w:t>
      </w:r>
      <w:r>
        <w:rPr>
          <w:spacing w:val="-3"/>
        </w:rPr>
        <w:t>otra</w:t>
      </w:r>
      <w:r>
        <w:rPr>
          <w:spacing w:val="-23"/>
        </w:rPr>
        <w:t xml:space="preserve"> </w:t>
      </w:r>
      <w:r>
        <w:rPr>
          <w:spacing w:val="-3"/>
        </w:rPr>
        <w:t>información</w:t>
      </w:r>
      <w:r>
        <w:rPr>
          <w:spacing w:val="-23"/>
        </w:rPr>
        <w:t xml:space="preserve"> </w:t>
      </w:r>
      <w:r>
        <w:t>del</w:t>
      </w:r>
      <w:r>
        <w:rPr>
          <w:spacing w:val="-23"/>
        </w:rPr>
        <w:t xml:space="preserve"> </w:t>
      </w:r>
      <w:r>
        <w:rPr>
          <w:spacing w:val="-3"/>
        </w:rPr>
        <w:t>Organismo</w:t>
      </w:r>
      <w:r>
        <w:rPr>
          <w:spacing w:val="-22"/>
        </w:rPr>
        <w:t xml:space="preserve"> </w:t>
      </w:r>
      <w:r>
        <w:t>de</w:t>
      </w:r>
      <w:r>
        <w:rPr>
          <w:spacing w:val="-24"/>
        </w:rPr>
        <w:t xml:space="preserve"> </w:t>
      </w:r>
      <w:r>
        <w:rPr>
          <w:spacing w:val="-3"/>
        </w:rPr>
        <w:t>Seguro</w:t>
      </w:r>
      <w:r>
        <w:rPr>
          <w:spacing w:val="-23"/>
        </w:rPr>
        <w:t xml:space="preserve"> </w:t>
      </w:r>
      <w:r>
        <w:rPr>
          <w:spacing w:val="-3"/>
        </w:rPr>
        <w:t>Nacional</w:t>
      </w:r>
      <w:r>
        <w:rPr>
          <w:spacing w:val="-23"/>
        </w:rPr>
        <w:t xml:space="preserve"> </w:t>
      </w:r>
      <w:r>
        <w:rPr>
          <w:spacing w:val="-3"/>
        </w:rPr>
        <w:t>por</w:t>
      </w:r>
    </w:p>
    <w:p w:rsidR="007A0A6C" w:rsidRDefault="00660E26">
      <w:pPr>
        <w:pStyle w:val="BodyText"/>
        <w:spacing w:line="247" w:lineRule="auto"/>
        <w:rPr>
          <w:sz w:val="13"/>
        </w:rPr>
      </w:pPr>
      <w:r>
        <w:rPr>
          <w:spacing w:val="-3"/>
        </w:rPr>
        <w:t>Discapacidad</w:t>
      </w:r>
      <w:r>
        <w:rPr>
          <w:spacing w:val="-28"/>
        </w:rPr>
        <w:t xml:space="preserve"> </w:t>
      </w:r>
      <w:r>
        <w:rPr>
          <w:spacing w:val="-3"/>
        </w:rPr>
        <w:t>(NDIA);</w:t>
      </w:r>
      <w:r>
        <w:rPr>
          <w:spacing w:val="-27"/>
        </w:rPr>
        <w:t xml:space="preserve"> </w:t>
      </w:r>
      <w:r>
        <w:rPr>
          <w:spacing w:val="-3"/>
        </w:rPr>
        <w:t>además,</w:t>
      </w:r>
      <w:r>
        <w:rPr>
          <w:spacing w:val="-27"/>
        </w:rPr>
        <w:t xml:space="preserve"> </w:t>
      </w:r>
      <w:r>
        <w:t>las</w:t>
      </w:r>
      <w:r>
        <w:rPr>
          <w:spacing w:val="-27"/>
        </w:rPr>
        <w:t xml:space="preserve"> </w:t>
      </w:r>
      <w:r>
        <w:rPr>
          <w:spacing w:val="-3"/>
        </w:rPr>
        <w:t>revisiones</w:t>
      </w:r>
      <w:r>
        <w:rPr>
          <w:spacing w:val="-28"/>
        </w:rPr>
        <w:t xml:space="preserve"> </w:t>
      </w:r>
      <w:r>
        <w:t>de</w:t>
      </w:r>
      <w:r>
        <w:rPr>
          <w:spacing w:val="-27"/>
        </w:rPr>
        <w:t xml:space="preserve"> </w:t>
      </w:r>
      <w:r>
        <w:t>los</w:t>
      </w:r>
      <w:r>
        <w:rPr>
          <w:spacing w:val="-27"/>
        </w:rPr>
        <w:t xml:space="preserve"> </w:t>
      </w:r>
      <w:r>
        <w:rPr>
          <w:spacing w:val="-3"/>
        </w:rPr>
        <w:t>planes</w:t>
      </w:r>
      <w:r>
        <w:rPr>
          <w:spacing w:val="-27"/>
        </w:rPr>
        <w:t xml:space="preserve"> </w:t>
      </w:r>
      <w:r>
        <w:rPr>
          <w:spacing w:val="-3"/>
        </w:rPr>
        <w:t>provocaron</w:t>
      </w:r>
      <w:r>
        <w:rPr>
          <w:spacing w:val="-28"/>
        </w:rPr>
        <w:t xml:space="preserve"> </w:t>
      </w:r>
      <w:r>
        <w:rPr>
          <w:spacing w:val="-3"/>
        </w:rPr>
        <w:t>reducciones</w:t>
      </w:r>
      <w:r>
        <w:rPr>
          <w:spacing w:val="-27"/>
        </w:rPr>
        <w:t xml:space="preserve"> </w:t>
      </w:r>
      <w:r>
        <w:rPr>
          <w:spacing w:val="-3"/>
        </w:rPr>
        <w:t>innecesarias</w:t>
      </w:r>
      <w:r>
        <w:rPr>
          <w:spacing w:val="-27"/>
        </w:rPr>
        <w:t xml:space="preserve"> </w:t>
      </w:r>
      <w:r>
        <w:t>en</w:t>
      </w:r>
      <w:r>
        <w:rPr>
          <w:spacing w:val="-27"/>
        </w:rPr>
        <w:t xml:space="preserve"> </w:t>
      </w:r>
      <w:r>
        <w:rPr>
          <w:spacing w:val="-3"/>
        </w:rPr>
        <w:t xml:space="preserve">la financiación </w:t>
      </w:r>
      <w:r>
        <w:t>del</w:t>
      </w:r>
      <w:r>
        <w:rPr>
          <w:spacing w:val="-13"/>
        </w:rPr>
        <w:t xml:space="preserve"> </w:t>
      </w:r>
      <w:r>
        <w:rPr>
          <w:spacing w:val="-3"/>
        </w:rPr>
        <w:t>participante.</w:t>
      </w:r>
      <w:r>
        <w:rPr>
          <w:spacing w:val="-3"/>
          <w:position w:val="7"/>
          <w:sz w:val="13"/>
        </w:rPr>
        <w:t>28</w:t>
      </w:r>
    </w:p>
    <w:p w:rsidR="007A0A6C" w:rsidRDefault="00660E26">
      <w:pPr>
        <w:pStyle w:val="BodyText"/>
        <w:spacing w:before="135" w:line="247" w:lineRule="auto"/>
        <w:ind w:right="801"/>
      </w:pPr>
      <w:r>
        <w:t xml:space="preserve">No </w:t>
      </w:r>
      <w:r>
        <w:rPr>
          <w:spacing w:val="-3"/>
        </w:rPr>
        <w:t xml:space="preserve">todos </w:t>
      </w:r>
      <w:r>
        <w:t xml:space="preserve">los </w:t>
      </w:r>
      <w:r>
        <w:rPr>
          <w:spacing w:val="-3"/>
        </w:rPr>
        <w:t xml:space="preserve">participantes elegibles </w:t>
      </w:r>
      <w:r>
        <w:t xml:space="preserve">se </w:t>
      </w:r>
      <w:r>
        <w:rPr>
          <w:spacing w:val="-3"/>
        </w:rPr>
        <w:t xml:space="preserve">benefician </w:t>
      </w:r>
      <w:r>
        <w:t xml:space="preserve">del </w:t>
      </w:r>
      <w:r>
        <w:rPr>
          <w:spacing w:val="-3"/>
        </w:rPr>
        <w:t>NDIS.</w:t>
      </w:r>
      <w:r>
        <w:rPr>
          <w:spacing w:val="-3"/>
          <w:position w:val="7"/>
          <w:sz w:val="13"/>
        </w:rPr>
        <w:t xml:space="preserve">29 </w:t>
      </w:r>
      <w:r>
        <w:t xml:space="preserve">Las </w:t>
      </w:r>
      <w:r>
        <w:rPr>
          <w:spacing w:val="-3"/>
        </w:rPr>
        <w:t xml:space="preserve">personas </w:t>
      </w:r>
      <w:r>
        <w:t xml:space="preserve">con </w:t>
      </w:r>
      <w:r>
        <w:rPr>
          <w:spacing w:val="-3"/>
        </w:rPr>
        <w:t>discapacidad psicosocial,</w:t>
      </w:r>
      <w:r>
        <w:rPr>
          <w:spacing w:val="-29"/>
        </w:rPr>
        <w:t xml:space="preserve"> </w:t>
      </w:r>
      <w:r>
        <w:t>las</w:t>
      </w:r>
      <w:r>
        <w:rPr>
          <w:spacing w:val="-29"/>
        </w:rPr>
        <w:t xml:space="preserve"> </w:t>
      </w:r>
      <w:r>
        <w:rPr>
          <w:spacing w:val="-3"/>
        </w:rPr>
        <w:t>personas</w:t>
      </w:r>
      <w:r>
        <w:rPr>
          <w:spacing w:val="-29"/>
        </w:rPr>
        <w:t xml:space="preserve"> </w:t>
      </w:r>
      <w:r>
        <w:rPr>
          <w:spacing w:val="-3"/>
        </w:rPr>
        <w:t>indígenas</w:t>
      </w:r>
      <w:r>
        <w:rPr>
          <w:spacing w:val="-29"/>
        </w:rPr>
        <w:t xml:space="preserve"> </w:t>
      </w:r>
      <w:r>
        <w:t>con</w:t>
      </w:r>
      <w:r>
        <w:rPr>
          <w:spacing w:val="-28"/>
        </w:rPr>
        <w:t xml:space="preserve"> </w:t>
      </w:r>
      <w:r>
        <w:rPr>
          <w:spacing w:val="-3"/>
        </w:rPr>
        <w:t>discapacidad,</w:t>
      </w:r>
      <w:r>
        <w:rPr>
          <w:spacing w:val="-29"/>
        </w:rPr>
        <w:t xml:space="preserve"> </w:t>
      </w:r>
      <w:r>
        <w:t>las</w:t>
      </w:r>
      <w:r>
        <w:rPr>
          <w:spacing w:val="-29"/>
        </w:rPr>
        <w:t xml:space="preserve"> </w:t>
      </w:r>
      <w:r>
        <w:rPr>
          <w:spacing w:val="-3"/>
        </w:rPr>
        <w:t>personas</w:t>
      </w:r>
      <w:r>
        <w:rPr>
          <w:spacing w:val="-29"/>
        </w:rPr>
        <w:t xml:space="preserve"> </w:t>
      </w:r>
      <w:r>
        <w:t>de</w:t>
      </w:r>
      <w:r>
        <w:rPr>
          <w:spacing w:val="-28"/>
        </w:rPr>
        <w:t xml:space="preserve"> </w:t>
      </w:r>
      <w:r>
        <w:rPr>
          <w:spacing w:val="-3"/>
        </w:rPr>
        <w:t>diversos</w:t>
      </w:r>
      <w:r>
        <w:rPr>
          <w:spacing w:val="-29"/>
        </w:rPr>
        <w:t xml:space="preserve"> </w:t>
      </w:r>
      <w:r>
        <w:rPr>
          <w:spacing w:val="-3"/>
        </w:rPr>
        <w:t>orígenes</w:t>
      </w:r>
      <w:r>
        <w:rPr>
          <w:spacing w:val="-29"/>
        </w:rPr>
        <w:t xml:space="preserve"> </w:t>
      </w:r>
      <w:r>
        <w:rPr>
          <w:spacing w:val="-3"/>
        </w:rPr>
        <w:t xml:space="preserve">culturales </w:t>
      </w:r>
      <w:r>
        <w:t>y</w:t>
      </w:r>
      <w:r>
        <w:rPr>
          <w:spacing w:val="-20"/>
        </w:rPr>
        <w:t xml:space="preserve"> </w:t>
      </w:r>
      <w:r>
        <w:rPr>
          <w:spacing w:val="-3"/>
        </w:rPr>
        <w:t>lingüísticos</w:t>
      </w:r>
      <w:r>
        <w:rPr>
          <w:spacing w:val="-19"/>
        </w:rPr>
        <w:t xml:space="preserve"> </w:t>
      </w:r>
      <w:r>
        <w:rPr>
          <w:spacing w:val="-3"/>
        </w:rPr>
        <w:t>(CALD)</w:t>
      </w:r>
      <w:r>
        <w:rPr>
          <w:spacing w:val="-20"/>
        </w:rPr>
        <w:t xml:space="preserve"> </w:t>
      </w:r>
      <w:r>
        <w:t>con</w:t>
      </w:r>
      <w:r>
        <w:rPr>
          <w:spacing w:val="-19"/>
        </w:rPr>
        <w:t xml:space="preserve"> </w:t>
      </w:r>
      <w:r>
        <w:rPr>
          <w:spacing w:val="-3"/>
        </w:rPr>
        <w:t>discapacidad,</w:t>
      </w:r>
      <w:r>
        <w:rPr>
          <w:spacing w:val="-20"/>
        </w:rPr>
        <w:t xml:space="preserve"> </w:t>
      </w:r>
      <w:r>
        <w:t>las</w:t>
      </w:r>
      <w:r>
        <w:rPr>
          <w:spacing w:val="-19"/>
        </w:rPr>
        <w:t xml:space="preserve"> </w:t>
      </w:r>
      <w:r>
        <w:rPr>
          <w:spacing w:val="-3"/>
        </w:rPr>
        <w:t>mujeres</w:t>
      </w:r>
      <w:r>
        <w:rPr>
          <w:spacing w:val="-20"/>
        </w:rPr>
        <w:t xml:space="preserve"> </w:t>
      </w:r>
      <w:r>
        <w:t>y</w:t>
      </w:r>
      <w:r>
        <w:rPr>
          <w:spacing w:val="-19"/>
        </w:rPr>
        <w:t xml:space="preserve"> </w:t>
      </w:r>
      <w:r>
        <w:t>los</w:t>
      </w:r>
      <w:r>
        <w:rPr>
          <w:spacing w:val="-20"/>
        </w:rPr>
        <w:t xml:space="preserve"> </w:t>
      </w:r>
      <w:r>
        <w:rPr>
          <w:spacing w:val="-3"/>
        </w:rPr>
        <w:t>niños</w:t>
      </w:r>
      <w:r>
        <w:rPr>
          <w:spacing w:val="-19"/>
        </w:rPr>
        <w:t xml:space="preserve"> </w:t>
      </w:r>
      <w:r>
        <w:t>con</w:t>
      </w:r>
      <w:r>
        <w:rPr>
          <w:spacing w:val="-19"/>
        </w:rPr>
        <w:t xml:space="preserve"> </w:t>
      </w:r>
      <w:r>
        <w:rPr>
          <w:spacing w:val="-3"/>
        </w:rPr>
        <w:t>discapacidad,</w:t>
      </w:r>
      <w:r>
        <w:rPr>
          <w:spacing w:val="-20"/>
        </w:rPr>
        <w:t xml:space="preserve"> </w:t>
      </w:r>
      <w:r>
        <w:t>las</w:t>
      </w:r>
      <w:r>
        <w:rPr>
          <w:spacing w:val="-19"/>
        </w:rPr>
        <w:t xml:space="preserve"> </w:t>
      </w:r>
      <w:r>
        <w:rPr>
          <w:spacing w:val="-3"/>
        </w:rPr>
        <w:t>personas</w:t>
      </w:r>
    </w:p>
    <w:p w:rsidR="007A0A6C" w:rsidRDefault="00660E26">
      <w:pPr>
        <w:pStyle w:val="BodyText"/>
        <w:spacing w:line="247" w:lineRule="auto"/>
        <w:ind w:right="337"/>
        <w:rPr>
          <w:sz w:val="13"/>
        </w:rPr>
      </w:pPr>
      <w:r>
        <w:rPr>
          <w:spacing w:val="-3"/>
        </w:rPr>
        <w:t>LGBTIQA+</w:t>
      </w:r>
      <w:r>
        <w:rPr>
          <w:spacing w:val="-23"/>
        </w:rPr>
        <w:t xml:space="preserve"> </w:t>
      </w:r>
      <w:r>
        <w:t>con</w:t>
      </w:r>
      <w:r>
        <w:rPr>
          <w:spacing w:val="-23"/>
        </w:rPr>
        <w:t xml:space="preserve"> </w:t>
      </w:r>
      <w:r>
        <w:rPr>
          <w:spacing w:val="-3"/>
        </w:rPr>
        <w:t>discapacidad,</w:t>
      </w:r>
      <w:r>
        <w:rPr>
          <w:spacing w:val="-23"/>
        </w:rPr>
        <w:t xml:space="preserve"> </w:t>
      </w:r>
      <w:r>
        <w:t>las</w:t>
      </w:r>
      <w:r>
        <w:rPr>
          <w:spacing w:val="-23"/>
        </w:rPr>
        <w:t xml:space="preserve"> </w:t>
      </w:r>
      <w:r>
        <w:rPr>
          <w:spacing w:val="-3"/>
        </w:rPr>
        <w:t>personas</w:t>
      </w:r>
      <w:r>
        <w:rPr>
          <w:spacing w:val="-23"/>
        </w:rPr>
        <w:t xml:space="preserve"> </w:t>
      </w:r>
      <w:r>
        <w:t>con</w:t>
      </w:r>
      <w:r>
        <w:rPr>
          <w:spacing w:val="-22"/>
        </w:rPr>
        <w:t xml:space="preserve"> </w:t>
      </w:r>
      <w:r>
        <w:rPr>
          <w:spacing w:val="-3"/>
        </w:rPr>
        <w:t>discapacidad</w:t>
      </w:r>
      <w:r>
        <w:rPr>
          <w:spacing w:val="-23"/>
        </w:rPr>
        <w:t xml:space="preserve"> </w:t>
      </w:r>
      <w:r>
        <w:rPr>
          <w:spacing w:val="-3"/>
        </w:rPr>
        <w:t>intelectual</w:t>
      </w:r>
      <w:r>
        <w:rPr>
          <w:spacing w:val="-23"/>
        </w:rPr>
        <w:t xml:space="preserve"> </w:t>
      </w:r>
      <w:r>
        <w:t>y</w:t>
      </w:r>
      <w:r>
        <w:rPr>
          <w:spacing w:val="-23"/>
        </w:rPr>
        <w:t xml:space="preserve"> </w:t>
      </w:r>
      <w:r>
        <w:rPr>
          <w:spacing w:val="-3"/>
        </w:rPr>
        <w:t>aquellas</w:t>
      </w:r>
      <w:r>
        <w:rPr>
          <w:spacing w:val="-23"/>
        </w:rPr>
        <w:t xml:space="preserve"> </w:t>
      </w:r>
      <w:r>
        <w:rPr>
          <w:spacing w:val="-3"/>
        </w:rPr>
        <w:t>personas</w:t>
      </w:r>
      <w:r>
        <w:rPr>
          <w:spacing w:val="-22"/>
        </w:rPr>
        <w:t xml:space="preserve"> </w:t>
      </w:r>
      <w:r>
        <w:t>de</w:t>
      </w:r>
      <w:r>
        <w:rPr>
          <w:spacing w:val="-23"/>
        </w:rPr>
        <w:t xml:space="preserve"> </w:t>
      </w:r>
      <w:r>
        <w:rPr>
          <w:spacing w:val="-3"/>
        </w:rPr>
        <w:t>áreas remotas</w:t>
      </w:r>
      <w:r>
        <w:rPr>
          <w:spacing w:val="-21"/>
        </w:rPr>
        <w:t xml:space="preserve"> </w:t>
      </w:r>
      <w:r>
        <w:t>no</w:t>
      </w:r>
      <w:r>
        <w:rPr>
          <w:spacing w:val="-21"/>
        </w:rPr>
        <w:t xml:space="preserve"> </w:t>
      </w:r>
      <w:r>
        <w:rPr>
          <w:spacing w:val="-3"/>
        </w:rPr>
        <w:t>solo</w:t>
      </w:r>
      <w:r>
        <w:rPr>
          <w:spacing w:val="-21"/>
        </w:rPr>
        <w:t xml:space="preserve"> </w:t>
      </w:r>
      <w:r>
        <w:rPr>
          <w:spacing w:val="-3"/>
        </w:rPr>
        <w:t>tienen</w:t>
      </w:r>
      <w:r>
        <w:rPr>
          <w:spacing w:val="-21"/>
        </w:rPr>
        <w:t xml:space="preserve"> </w:t>
      </w:r>
      <w:r>
        <w:rPr>
          <w:spacing w:val="-3"/>
        </w:rPr>
        <w:t>dificultades</w:t>
      </w:r>
      <w:r>
        <w:rPr>
          <w:spacing w:val="-20"/>
        </w:rPr>
        <w:t xml:space="preserve"> </w:t>
      </w:r>
      <w:r>
        <w:rPr>
          <w:spacing w:val="-3"/>
        </w:rPr>
        <w:t>para</w:t>
      </w:r>
      <w:r>
        <w:rPr>
          <w:spacing w:val="-21"/>
        </w:rPr>
        <w:t xml:space="preserve"> </w:t>
      </w:r>
      <w:r>
        <w:rPr>
          <w:spacing w:val="-3"/>
        </w:rPr>
        <w:t>acceder</w:t>
      </w:r>
      <w:r>
        <w:rPr>
          <w:spacing w:val="-21"/>
        </w:rPr>
        <w:t xml:space="preserve"> </w:t>
      </w:r>
      <w:r>
        <w:t>al</w:t>
      </w:r>
      <w:r>
        <w:rPr>
          <w:spacing w:val="-21"/>
        </w:rPr>
        <w:t xml:space="preserve"> </w:t>
      </w:r>
      <w:r>
        <w:rPr>
          <w:spacing w:val="-3"/>
        </w:rPr>
        <w:t>Programa,</w:t>
      </w:r>
      <w:r>
        <w:rPr>
          <w:spacing w:val="-21"/>
        </w:rPr>
        <w:t xml:space="preserve"> </w:t>
      </w:r>
      <w:r>
        <w:rPr>
          <w:spacing w:val="-3"/>
        </w:rPr>
        <w:t>sino</w:t>
      </w:r>
      <w:r>
        <w:rPr>
          <w:spacing w:val="-21"/>
        </w:rPr>
        <w:t xml:space="preserve"> </w:t>
      </w:r>
      <w:r>
        <w:t>que</w:t>
      </w:r>
      <w:r>
        <w:rPr>
          <w:spacing w:val="-21"/>
        </w:rPr>
        <w:t xml:space="preserve"> </w:t>
      </w:r>
      <w:r>
        <w:rPr>
          <w:spacing w:val="-3"/>
        </w:rPr>
        <w:t>también</w:t>
      </w:r>
      <w:r>
        <w:rPr>
          <w:spacing w:val="-20"/>
        </w:rPr>
        <w:t xml:space="preserve"> </w:t>
      </w:r>
      <w:r>
        <w:rPr>
          <w:spacing w:val="-3"/>
        </w:rPr>
        <w:t>corren</w:t>
      </w:r>
      <w:r>
        <w:rPr>
          <w:spacing w:val="-21"/>
        </w:rPr>
        <w:t xml:space="preserve"> </w:t>
      </w:r>
      <w:r>
        <w:rPr>
          <w:spacing w:val="-3"/>
        </w:rPr>
        <w:t>mayor</w:t>
      </w:r>
      <w:r>
        <w:rPr>
          <w:spacing w:val="-21"/>
        </w:rPr>
        <w:t xml:space="preserve"> </w:t>
      </w:r>
      <w:r>
        <w:rPr>
          <w:spacing w:val="-3"/>
        </w:rPr>
        <w:t>riesgo</w:t>
      </w:r>
      <w:r>
        <w:rPr>
          <w:spacing w:val="-21"/>
        </w:rPr>
        <w:t xml:space="preserve"> </w:t>
      </w:r>
      <w:r>
        <w:rPr>
          <w:spacing w:val="-3"/>
        </w:rPr>
        <w:t>de tener resultados desfavorables.</w:t>
      </w:r>
      <w:r>
        <w:rPr>
          <w:spacing w:val="-3"/>
          <w:position w:val="7"/>
          <w:sz w:val="13"/>
        </w:rPr>
        <w:t xml:space="preserve">30 </w:t>
      </w:r>
      <w:r>
        <w:t xml:space="preserve">Hay una </w:t>
      </w:r>
      <w:r>
        <w:rPr>
          <w:spacing w:val="-3"/>
        </w:rPr>
        <w:t xml:space="preserve">cultura </w:t>
      </w:r>
      <w:r>
        <w:t xml:space="preserve">en el </w:t>
      </w:r>
      <w:r>
        <w:rPr>
          <w:spacing w:val="-3"/>
        </w:rPr>
        <w:t xml:space="preserve">NDIA </w:t>
      </w:r>
      <w:r>
        <w:t xml:space="preserve">que no le da </w:t>
      </w:r>
      <w:r>
        <w:rPr>
          <w:spacing w:val="-3"/>
        </w:rPr>
        <w:t xml:space="preserve">prioridad </w:t>
      </w:r>
      <w:r>
        <w:t xml:space="preserve">al </w:t>
      </w:r>
      <w:r>
        <w:rPr>
          <w:spacing w:val="-3"/>
        </w:rPr>
        <w:t>participante del Programa.</w:t>
      </w:r>
      <w:r>
        <w:rPr>
          <w:spacing w:val="-3"/>
          <w:position w:val="7"/>
          <w:sz w:val="13"/>
        </w:rPr>
        <w:t>31</w:t>
      </w:r>
      <w:r>
        <w:rPr>
          <w:spacing w:val="3"/>
          <w:position w:val="7"/>
          <w:sz w:val="13"/>
        </w:rPr>
        <w:t xml:space="preserve"> </w:t>
      </w:r>
      <w:r>
        <w:t>Hay</w:t>
      </w:r>
      <w:r>
        <w:rPr>
          <w:spacing w:val="-23"/>
        </w:rPr>
        <w:t xml:space="preserve"> </w:t>
      </w:r>
      <w:r>
        <w:rPr>
          <w:spacing w:val="-3"/>
        </w:rPr>
        <w:t>cada</w:t>
      </w:r>
      <w:r>
        <w:rPr>
          <w:spacing w:val="-23"/>
        </w:rPr>
        <w:t xml:space="preserve"> </w:t>
      </w:r>
      <w:r>
        <w:t>vez</w:t>
      </w:r>
      <w:r>
        <w:rPr>
          <w:spacing w:val="-23"/>
        </w:rPr>
        <w:t xml:space="preserve"> </w:t>
      </w:r>
      <w:r>
        <w:t>más</w:t>
      </w:r>
      <w:r>
        <w:rPr>
          <w:spacing w:val="-23"/>
        </w:rPr>
        <w:t xml:space="preserve"> </w:t>
      </w:r>
      <w:r>
        <w:rPr>
          <w:spacing w:val="-3"/>
        </w:rPr>
        <w:t>pruebas</w:t>
      </w:r>
      <w:r>
        <w:rPr>
          <w:spacing w:val="-22"/>
        </w:rPr>
        <w:t xml:space="preserve"> </w:t>
      </w:r>
      <w:r>
        <w:t>de</w:t>
      </w:r>
      <w:r>
        <w:rPr>
          <w:spacing w:val="-23"/>
        </w:rPr>
        <w:t xml:space="preserve"> </w:t>
      </w:r>
      <w:r>
        <w:t>que</w:t>
      </w:r>
      <w:r>
        <w:rPr>
          <w:spacing w:val="-23"/>
        </w:rPr>
        <w:t xml:space="preserve"> </w:t>
      </w:r>
      <w:r>
        <w:t>a</w:t>
      </w:r>
      <w:r>
        <w:rPr>
          <w:spacing w:val="-23"/>
        </w:rPr>
        <w:t xml:space="preserve"> </w:t>
      </w:r>
      <w:r>
        <w:t>los</w:t>
      </w:r>
      <w:r>
        <w:rPr>
          <w:spacing w:val="-23"/>
        </w:rPr>
        <w:t xml:space="preserve"> </w:t>
      </w:r>
      <w:r>
        <w:rPr>
          <w:spacing w:val="-3"/>
        </w:rPr>
        <w:t>participantes</w:t>
      </w:r>
      <w:r>
        <w:rPr>
          <w:spacing w:val="-22"/>
        </w:rPr>
        <w:t xml:space="preserve"> </w:t>
      </w:r>
      <w:r>
        <w:t>del</w:t>
      </w:r>
      <w:r>
        <w:rPr>
          <w:spacing w:val="-23"/>
        </w:rPr>
        <w:t xml:space="preserve"> </w:t>
      </w:r>
      <w:r>
        <w:rPr>
          <w:spacing w:val="-3"/>
        </w:rPr>
        <w:t>NDIS</w:t>
      </w:r>
      <w:r>
        <w:rPr>
          <w:spacing w:val="-23"/>
        </w:rPr>
        <w:t xml:space="preserve"> </w:t>
      </w:r>
      <w:r>
        <w:t>se</w:t>
      </w:r>
      <w:r>
        <w:rPr>
          <w:spacing w:val="-23"/>
        </w:rPr>
        <w:t xml:space="preserve"> </w:t>
      </w:r>
      <w:r>
        <w:t>les</w:t>
      </w:r>
      <w:r>
        <w:rPr>
          <w:spacing w:val="-22"/>
        </w:rPr>
        <w:t xml:space="preserve"> </w:t>
      </w:r>
      <w:r>
        <w:rPr>
          <w:spacing w:val="-3"/>
        </w:rPr>
        <w:t>niegan</w:t>
      </w:r>
      <w:r>
        <w:rPr>
          <w:spacing w:val="-23"/>
        </w:rPr>
        <w:t xml:space="preserve"> </w:t>
      </w:r>
      <w:r>
        <w:t>los</w:t>
      </w:r>
      <w:r>
        <w:rPr>
          <w:spacing w:val="-23"/>
        </w:rPr>
        <w:t xml:space="preserve"> </w:t>
      </w:r>
      <w:r>
        <w:rPr>
          <w:spacing w:val="-3"/>
        </w:rPr>
        <w:t>servicios</w:t>
      </w:r>
      <w:r>
        <w:rPr>
          <w:spacing w:val="-23"/>
        </w:rPr>
        <w:t xml:space="preserve"> </w:t>
      </w:r>
      <w:r>
        <w:t>y la</w:t>
      </w:r>
      <w:r>
        <w:rPr>
          <w:spacing w:val="-12"/>
        </w:rPr>
        <w:t xml:space="preserve"> </w:t>
      </w:r>
      <w:r>
        <w:rPr>
          <w:spacing w:val="-3"/>
        </w:rPr>
        <w:t>atención</w:t>
      </w:r>
      <w:r>
        <w:rPr>
          <w:spacing w:val="-11"/>
        </w:rPr>
        <w:t xml:space="preserve"> </w:t>
      </w:r>
      <w:r>
        <w:rPr>
          <w:spacing w:val="-3"/>
        </w:rPr>
        <w:t>debido</w:t>
      </w:r>
      <w:r>
        <w:rPr>
          <w:spacing w:val="-12"/>
        </w:rPr>
        <w:t xml:space="preserve"> </w:t>
      </w:r>
      <w:r>
        <w:t>a</w:t>
      </w:r>
      <w:r>
        <w:rPr>
          <w:spacing w:val="-11"/>
        </w:rPr>
        <w:t xml:space="preserve"> </w:t>
      </w:r>
      <w:r>
        <w:t>las</w:t>
      </w:r>
      <w:r>
        <w:rPr>
          <w:spacing w:val="-11"/>
        </w:rPr>
        <w:t xml:space="preserve"> </w:t>
      </w:r>
      <w:r>
        <w:rPr>
          <w:spacing w:val="-3"/>
        </w:rPr>
        <w:t>disputas</w:t>
      </w:r>
      <w:r>
        <w:rPr>
          <w:spacing w:val="-12"/>
        </w:rPr>
        <w:t xml:space="preserve"> </w:t>
      </w:r>
      <w:r>
        <w:rPr>
          <w:spacing w:val="-3"/>
        </w:rPr>
        <w:t>entre</w:t>
      </w:r>
      <w:r>
        <w:rPr>
          <w:spacing w:val="-11"/>
        </w:rPr>
        <w:t xml:space="preserve"> </w:t>
      </w:r>
      <w:r>
        <w:t>el</w:t>
      </w:r>
      <w:r>
        <w:rPr>
          <w:spacing w:val="-11"/>
        </w:rPr>
        <w:t xml:space="preserve"> </w:t>
      </w:r>
      <w:r>
        <w:rPr>
          <w:spacing w:val="-3"/>
        </w:rPr>
        <w:t>NDIA</w:t>
      </w:r>
      <w:r>
        <w:rPr>
          <w:spacing w:val="-22"/>
        </w:rPr>
        <w:t xml:space="preserve"> </w:t>
      </w:r>
      <w:r>
        <w:t>y</w:t>
      </w:r>
      <w:r>
        <w:rPr>
          <w:spacing w:val="-11"/>
        </w:rPr>
        <w:t xml:space="preserve"> </w:t>
      </w:r>
      <w:r>
        <w:rPr>
          <w:spacing w:val="-3"/>
        </w:rPr>
        <w:t>otros</w:t>
      </w:r>
      <w:r>
        <w:rPr>
          <w:spacing w:val="-11"/>
        </w:rPr>
        <w:t xml:space="preserve"> </w:t>
      </w:r>
      <w:r>
        <w:rPr>
          <w:spacing w:val="-3"/>
        </w:rPr>
        <w:t>servicios</w:t>
      </w:r>
      <w:r>
        <w:rPr>
          <w:spacing w:val="-12"/>
        </w:rPr>
        <w:t xml:space="preserve"> </w:t>
      </w:r>
      <w:r>
        <w:rPr>
          <w:spacing w:val="-3"/>
        </w:rPr>
        <w:t>gubernamentales.</w:t>
      </w:r>
      <w:r>
        <w:rPr>
          <w:spacing w:val="-3"/>
          <w:position w:val="7"/>
          <w:sz w:val="13"/>
        </w:rPr>
        <w:t>32</w:t>
      </w:r>
    </w:p>
    <w:p w:rsidR="007A0A6C" w:rsidRDefault="00660E26">
      <w:pPr>
        <w:pStyle w:val="BodyText"/>
        <w:spacing w:before="135" w:line="247" w:lineRule="auto"/>
        <w:ind w:right="1312"/>
        <w:jc w:val="both"/>
      </w:pPr>
      <w:r>
        <w:t>Hay</w:t>
      </w:r>
      <w:r>
        <w:rPr>
          <w:spacing w:val="-23"/>
        </w:rPr>
        <w:t xml:space="preserve"> </w:t>
      </w:r>
      <w:r>
        <w:t>una</w:t>
      </w:r>
      <w:r>
        <w:rPr>
          <w:spacing w:val="-23"/>
        </w:rPr>
        <w:t xml:space="preserve"> </w:t>
      </w:r>
      <w:r>
        <w:rPr>
          <w:spacing w:val="-3"/>
        </w:rPr>
        <w:t>clara</w:t>
      </w:r>
      <w:r>
        <w:rPr>
          <w:spacing w:val="-23"/>
        </w:rPr>
        <w:t xml:space="preserve"> </w:t>
      </w:r>
      <w:r>
        <w:rPr>
          <w:spacing w:val="-3"/>
        </w:rPr>
        <w:t>desigualdad</w:t>
      </w:r>
      <w:r>
        <w:rPr>
          <w:spacing w:val="-23"/>
        </w:rPr>
        <w:t xml:space="preserve"> </w:t>
      </w:r>
      <w:r>
        <w:t>de</w:t>
      </w:r>
      <w:r>
        <w:rPr>
          <w:spacing w:val="-23"/>
        </w:rPr>
        <w:t xml:space="preserve"> </w:t>
      </w:r>
      <w:r>
        <w:rPr>
          <w:spacing w:val="-3"/>
        </w:rPr>
        <w:t>género</w:t>
      </w:r>
      <w:r>
        <w:rPr>
          <w:spacing w:val="-23"/>
        </w:rPr>
        <w:t xml:space="preserve"> </w:t>
      </w:r>
      <w:r>
        <w:t>en</w:t>
      </w:r>
      <w:r>
        <w:rPr>
          <w:spacing w:val="-23"/>
        </w:rPr>
        <w:t xml:space="preserve"> </w:t>
      </w:r>
      <w:r>
        <w:t>el</w:t>
      </w:r>
      <w:r>
        <w:rPr>
          <w:spacing w:val="-22"/>
        </w:rPr>
        <w:t xml:space="preserve"> </w:t>
      </w:r>
      <w:r>
        <w:rPr>
          <w:spacing w:val="-3"/>
        </w:rPr>
        <w:t>NDIS.</w:t>
      </w:r>
      <w:r>
        <w:rPr>
          <w:spacing w:val="-23"/>
        </w:rPr>
        <w:t xml:space="preserve"> </w:t>
      </w:r>
      <w:r>
        <w:t>En</w:t>
      </w:r>
      <w:r>
        <w:rPr>
          <w:spacing w:val="-23"/>
        </w:rPr>
        <w:t xml:space="preserve"> </w:t>
      </w:r>
      <w:r>
        <w:rPr>
          <w:spacing w:val="-3"/>
        </w:rPr>
        <w:t>todas</w:t>
      </w:r>
      <w:r>
        <w:rPr>
          <w:spacing w:val="-22"/>
        </w:rPr>
        <w:t xml:space="preserve"> </w:t>
      </w:r>
      <w:r>
        <w:t>las</w:t>
      </w:r>
      <w:r>
        <w:rPr>
          <w:spacing w:val="-23"/>
        </w:rPr>
        <w:t xml:space="preserve"> </w:t>
      </w:r>
      <w:r>
        <w:rPr>
          <w:spacing w:val="-3"/>
        </w:rPr>
        <w:t>jurisdicciones,</w:t>
      </w:r>
      <w:r>
        <w:rPr>
          <w:spacing w:val="-23"/>
        </w:rPr>
        <w:t xml:space="preserve"> </w:t>
      </w:r>
      <w:r>
        <w:t>el</w:t>
      </w:r>
      <w:r>
        <w:rPr>
          <w:spacing w:val="-23"/>
        </w:rPr>
        <w:t xml:space="preserve"> </w:t>
      </w:r>
      <w:r>
        <w:rPr>
          <w:spacing w:val="-3"/>
        </w:rPr>
        <w:t>porcentaje</w:t>
      </w:r>
      <w:r>
        <w:rPr>
          <w:spacing w:val="-23"/>
        </w:rPr>
        <w:t xml:space="preserve"> </w:t>
      </w:r>
      <w:r>
        <w:rPr>
          <w:spacing w:val="-3"/>
        </w:rPr>
        <w:t>de participantes</w:t>
      </w:r>
      <w:r>
        <w:rPr>
          <w:spacing w:val="-24"/>
        </w:rPr>
        <w:t xml:space="preserve"> </w:t>
      </w:r>
      <w:r>
        <w:rPr>
          <w:spacing w:val="-3"/>
        </w:rPr>
        <w:t>femeninas</w:t>
      </w:r>
      <w:r>
        <w:rPr>
          <w:spacing w:val="-23"/>
        </w:rPr>
        <w:t xml:space="preserve"> </w:t>
      </w:r>
      <w:r>
        <w:rPr>
          <w:spacing w:val="-3"/>
        </w:rPr>
        <w:t>sigue</w:t>
      </w:r>
      <w:r>
        <w:rPr>
          <w:spacing w:val="-23"/>
        </w:rPr>
        <w:t xml:space="preserve"> </w:t>
      </w:r>
      <w:r>
        <w:rPr>
          <w:spacing w:val="-3"/>
        </w:rPr>
        <w:t>estando</w:t>
      </w:r>
      <w:r>
        <w:rPr>
          <w:spacing w:val="-23"/>
        </w:rPr>
        <w:t xml:space="preserve"> </w:t>
      </w:r>
      <w:r>
        <w:t>por</w:t>
      </w:r>
      <w:r>
        <w:rPr>
          <w:spacing w:val="-24"/>
        </w:rPr>
        <w:t xml:space="preserve"> </w:t>
      </w:r>
      <w:r>
        <w:rPr>
          <w:spacing w:val="-3"/>
        </w:rPr>
        <w:t>debajo</w:t>
      </w:r>
      <w:r>
        <w:rPr>
          <w:spacing w:val="-23"/>
        </w:rPr>
        <w:t xml:space="preserve"> </w:t>
      </w:r>
      <w:r>
        <w:t>del</w:t>
      </w:r>
      <w:r>
        <w:rPr>
          <w:spacing w:val="-24"/>
        </w:rPr>
        <w:t xml:space="preserve"> </w:t>
      </w:r>
      <w:r>
        <w:t>37</w:t>
      </w:r>
      <w:r>
        <w:rPr>
          <w:spacing w:val="-23"/>
        </w:rPr>
        <w:t xml:space="preserve"> </w:t>
      </w:r>
      <w:r>
        <w:t>%.</w:t>
      </w:r>
      <w:r>
        <w:rPr>
          <w:position w:val="7"/>
          <w:sz w:val="13"/>
        </w:rPr>
        <w:t>33</w:t>
      </w:r>
      <w:r>
        <w:rPr>
          <w:spacing w:val="2"/>
          <w:position w:val="7"/>
          <w:sz w:val="13"/>
        </w:rPr>
        <w:t xml:space="preserve"> </w:t>
      </w:r>
      <w:r>
        <w:t>Las</w:t>
      </w:r>
      <w:r>
        <w:rPr>
          <w:spacing w:val="-23"/>
        </w:rPr>
        <w:t xml:space="preserve"> </w:t>
      </w:r>
      <w:r>
        <w:t>DPO</w:t>
      </w:r>
      <w:r>
        <w:rPr>
          <w:spacing w:val="-24"/>
        </w:rPr>
        <w:t xml:space="preserve"> </w:t>
      </w:r>
      <w:r>
        <w:t>le</w:t>
      </w:r>
      <w:r>
        <w:rPr>
          <w:spacing w:val="-23"/>
        </w:rPr>
        <w:t xml:space="preserve"> </w:t>
      </w:r>
      <w:r>
        <w:rPr>
          <w:spacing w:val="-3"/>
        </w:rPr>
        <w:t>reclaman</w:t>
      </w:r>
      <w:r>
        <w:rPr>
          <w:spacing w:val="-23"/>
        </w:rPr>
        <w:t xml:space="preserve"> </w:t>
      </w:r>
      <w:r>
        <w:t>al</w:t>
      </w:r>
      <w:r>
        <w:rPr>
          <w:spacing w:val="-24"/>
        </w:rPr>
        <w:t xml:space="preserve"> </w:t>
      </w:r>
      <w:r>
        <w:rPr>
          <w:spacing w:val="-3"/>
        </w:rPr>
        <w:t>NDIS</w:t>
      </w:r>
      <w:r>
        <w:rPr>
          <w:spacing w:val="-23"/>
        </w:rPr>
        <w:t xml:space="preserve"> </w:t>
      </w:r>
      <w:r>
        <w:rPr>
          <w:spacing w:val="-3"/>
        </w:rPr>
        <w:t xml:space="preserve">la elaboración </w:t>
      </w:r>
      <w:r>
        <w:t xml:space="preserve">de una </w:t>
      </w:r>
      <w:r>
        <w:rPr>
          <w:spacing w:val="-3"/>
        </w:rPr>
        <w:t xml:space="preserve">Estrategia relativa </w:t>
      </w:r>
      <w:r>
        <w:t>al</w:t>
      </w:r>
      <w:r>
        <w:rPr>
          <w:spacing w:val="-43"/>
        </w:rPr>
        <w:t xml:space="preserve"> </w:t>
      </w:r>
      <w:r>
        <w:rPr>
          <w:spacing w:val="-3"/>
        </w:rPr>
        <w:t>Género.</w:t>
      </w:r>
    </w:p>
    <w:p w:rsidR="007A0A6C" w:rsidRDefault="00660E26">
      <w:pPr>
        <w:pStyle w:val="BodyText"/>
        <w:spacing w:before="138" w:line="247" w:lineRule="auto"/>
        <w:ind w:right="404"/>
        <w:rPr>
          <w:sz w:val="13"/>
        </w:rPr>
      </w:pPr>
      <w:r>
        <w:t>Las</w:t>
      </w:r>
      <w:r>
        <w:rPr>
          <w:spacing w:val="-22"/>
        </w:rPr>
        <w:t xml:space="preserve"> </w:t>
      </w:r>
      <w:r>
        <w:rPr>
          <w:spacing w:val="-3"/>
        </w:rPr>
        <w:t>personas</w:t>
      </w:r>
      <w:r>
        <w:rPr>
          <w:spacing w:val="-22"/>
        </w:rPr>
        <w:t xml:space="preserve"> </w:t>
      </w:r>
      <w:r>
        <w:t>con</w:t>
      </w:r>
      <w:r>
        <w:rPr>
          <w:spacing w:val="-22"/>
        </w:rPr>
        <w:t xml:space="preserve"> </w:t>
      </w:r>
      <w:r>
        <w:rPr>
          <w:spacing w:val="-3"/>
        </w:rPr>
        <w:t>discapacidad</w:t>
      </w:r>
      <w:r>
        <w:rPr>
          <w:spacing w:val="-22"/>
        </w:rPr>
        <w:t xml:space="preserve"> </w:t>
      </w:r>
      <w:r>
        <w:rPr>
          <w:spacing w:val="-3"/>
        </w:rPr>
        <w:t>siguen</w:t>
      </w:r>
      <w:r>
        <w:rPr>
          <w:spacing w:val="-22"/>
        </w:rPr>
        <w:t xml:space="preserve"> </w:t>
      </w:r>
      <w:r>
        <w:rPr>
          <w:spacing w:val="-3"/>
        </w:rPr>
        <w:t>preocupadas</w:t>
      </w:r>
      <w:r>
        <w:rPr>
          <w:spacing w:val="-22"/>
        </w:rPr>
        <w:t xml:space="preserve"> </w:t>
      </w:r>
      <w:r>
        <w:t>con</w:t>
      </w:r>
      <w:r>
        <w:rPr>
          <w:spacing w:val="-22"/>
        </w:rPr>
        <w:t xml:space="preserve"> </w:t>
      </w:r>
      <w:r>
        <w:rPr>
          <w:spacing w:val="-3"/>
        </w:rPr>
        <w:t>respecto</w:t>
      </w:r>
      <w:r>
        <w:rPr>
          <w:spacing w:val="-22"/>
        </w:rPr>
        <w:t xml:space="preserve"> </w:t>
      </w:r>
      <w:r>
        <w:t>a</w:t>
      </w:r>
      <w:r>
        <w:rPr>
          <w:spacing w:val="-22"/>
        </w:rPr>
        <w:t xml:space="preserve"> </w:t>
      </w:r>
      <w:r>
        <w:t>la</w:t>
      </w:r>
      <w:r>
        <w:rPr>
          <w:spacing w:val="-22"/>
        </w:rPr>
        <w:t xml:space="preserve"> </w:t>
      </w:r>
      <w:r>
        <w:rPr>
          <w:spacing w:val="-3"/>
        </w:rPr>
        <w:t>infrautilización</w:t>
      </w:r>
      <w:r>
        <w:rPr>
          <w:spacing w:val="-22"/>
        </w:rPr>
        <w:t xml:space="preserve"> </w:t>
      </w:r>
      <w:r>
        <w:t>del</w:t>
      </w:r>
      <w:r>
        <w:rPr>
          <w:spacing w:val="-22"/>
        </w:rPr>
        <w:t xml:space="preserve"> </w:t>
      </w:r>
      <w:r>
        <w:rPr>
          <w:spacing w:val="-3"/>
        </w:rPr>
        <w:t>NDIS,</w:t>
      </w:r>
      <w:r>
        <w:rPr>
          <w:spacing w:val="-22"/>
        </w:rPr>
        <w:t xml:space="preserve"> </w:t>
      </w:r>
      <w:r>
        <w:t>y</w:t>
      </w:r>
      <w:r>
        <w:rPr>
          <w:spacing w:val="-22"/>
        </w:rPr>
        <w:t xml:space="preserve"> </w:t>
      </w:r>
      <w:r>
        <w:rPr>
          <w:spacing w:val="-3"/>
        </w:rPr>
        <w:t>se espera</w:t>
      </w:r>
      <w:r>
        <w:rPr>
          <w:spacing w:val="-22"/>
        </w:rPr>
        <w:t xml:space="preserve"> </w:t>
      </w:r>
      <w:r>
        <w:t>que</w:t>
      </w:r>
      <w:r>
        <w:rPr>
          <w:spacing w:val="-21"/>
        </w:rPr>
        <w:t xml:space="preserve"> </w:t>
      </w:r>
      <w:r>
        <w:t>los</w:t>
      </w:r>
      <w:r>
        <w:rPr>
          <w:spacing w:val="-21"/>
        </w:rPr>
        <w:t xml:space="preserve"> </w:t>
      </w:r>
      <w:r>
        <w:rPr>
          <w:spacing w:val="-3"/>
        </w:rPr>
        <w:t>pagos</w:t>
      </w:r>
      <w:r>
        <w:rPr>
          <w:spacing w:val="-22"/>
        </w:rPr>
        <w:t xml:space="preserve"> </w:t>
      </w:r>
      <w:r>
        <w:rPr>
          <w:spacing w:val="-3"/>
        </w:rPr>
        <w:t>disminuyan</w:t>
      </w:r>
      <w:r>
        <w:rPr>
          <w:spacing w:val="-21"/>
        </w:rPr>
        <w:t xml:space="preserve"> </w:t>
      </w:r>
      <w:r>
        <w:t>en</w:t>
      </w:r>
      <w:r>
        <w:rPr>
          <w:spacing w:val="-21"/>
        </w:rPr>
        <w:t xml:space="preserve"> </w:t>
      </w:r>
      <w:r>
        <w:rPr>
          <w:spacing w:val="-3"/>
        </w:rPr>
        <w:t>$1600</w:t>
      </w:r>
      <w:r>
        <w:rPr>
          <w:spacing w:val="-21"/>
        </w:rPr>
        <w:t xml:space="preserve"> </w:t>
      </w:r>
      <w:r>
        <w:rPr>
          <w:spacing w:val="-3"/>
        </w:rPr>
        <w:t>millones</w:t>
      </w:r>
      <w:r>
        <w:rPr>
          <w:spacing w:val="-22"/>
        </w:rPr>
        <w:t xml:space="preserve"> </w:t>
      </w:r>
      <w:r>
        <w:t>en</w:t>
      </w:r>
      <w:r>
        <w:rPr>
          <w:spacing w:val="-21"/>
        </w:rPr>
        <w:t xml:space="preserve"> </w:t>
      </w:r>
      <w:r>
        <w:rPr>
          <w:spacing w:val="-3"/>
        </w:rPr>
        <w:t>2019-20,</w:t>
      </w:r>
      <w:r>
        <w:rPr>
          <w:spacing w:val="-21"/>
        </w:rPr>
        <w:t xml:space="preserve"> </w:t>
      </w:r>
      <w:r>
        <w:rPr>
          <w:spacing w:val="-3"/>
        </w:rPr>
        <w:t>hecho</w:t>
      </w:r>
      <w:r>
        <w:rPr>
          <w:spacing w:val="-21"/>
        </w:rPr>
        <w:t xml:space="preserve"> </w:t>
      </w:r>
      <w:r>
        <w:rPr>
          <w:spacing w:val="-3"/>
        </w:rPr>
        <w:t>atribuido</w:t>
      </w:r>
      <w:r>
        <w:rPr>
          <w:spacing w:val="-22"/>
        </w:rPr>
        <w:t xml:space="preserve"> </w:t>
      </w:r>
      <w:r>
        <w:t>por</w:t>
      </w:r>
      <w:r>
        <w:rPr>
          <w:spacing w:val="-21"/>
        </w:rPr>
        <w:t xml:space="preserve"> </w:t>
      </w:r>
      <w:r>
        <w:t>el</w:t>
      </w:r>
      <w:r>
        <w:rPr>
          <w:spacing w:val="-21"/>
        </w:rPr>
        <w:t xml:space="preserve"> </w:t>
      </w:r>
      <w:r>
        <w:rPr>
          <w:spacing w:val="-3"/>
        </w:rPr>
        <w:t>Gobierno</w:t>
      </w:r>
      <w:r>
        <w:rPr>
          <w:spacing w:val="-21"/>
        </w:rPr>
        <w:t xml:space="preserve"> </w:t>
      </w:r>
      <w:r>
        <w:rPr>
          <w:spacing w:val="-3"/>
        </w:rPr>
        <w:t xml:space="preserve">de </w:t>
      </w:r>
      <w:r>
        <w:t xml:space="preserve">que la </w:t>
      </w:r>
      <w:r>
        <w:rPr>
          <w:spacing w:val="-3"/>
        </w:rPr>
        <w:t xml:space="preserve">transición </w:t>
      </w:r>
      <w:r>
        <w:t xml:space="preserve">de las </w:t>
      </w:r>
      <w:r>
        <w:rPr>
          <w:spacing w:val="-3"/>
        </w:rPr>
        <w:t xml:space="preserve">personas </w:t>
      </w:r>
      <w:r>
        <w:t xml:space="preserve">del </w:t>
      </w:r>
      <w:r>
        <w:rPr>
          <w:spacing w:val="-3"/>
        </w:rPr>
        <w:t xml:space="preserve">programa </w:t>
      </w:r>
      <w:r>
        <w:t xml:space="preserve">es más </w:t>
      </w:r>
      <w:r>
        <w:rPr>
          <w:spacing w:val="-3"/>
        </w:rPr>
        <w:t xml:space="preserve">lenta </w:t>
      </w:r>
      <w:r>
        <w:t xml:space="preserve">que la </w:t>
      </w:r>
      <w:r>
        <w:rPr>
          <w:spacing w:val="-3"/>
        </w:rPr>
        <w:t>esperada.</w:t>
      </w:r>
      <w:r>
        <w:rPr>
          <w:spacing w:val="-3"/>
          <w:position w:val="7"/>
          <w:sz w:val="13"/>
        </w:rPr>
        <w:t xml:space="preserve">34 </w:t>
      </w:r>
      <w:r>
        <w:t xml:space="preserve">Las </w:t>
      </w:r>
      <w:r>
        <w:rPr>
          <w:spacing w:val="-3"/>
        </w:rPr>
        <w:t>personas con discapacidad</w:t>
      </w:r>
      <w:r>
        <w:rPr>
          <w:spacing w:val="-23"/>
        </w:rPr>
        <w:t xml:space="preserve"> </w:t>
      </w:r>
      <w:r>
        <w:rPr>
          <w:spacing w:val="-3"/>
        </w:rPr>
        <w:t>argumentan</w:t>
      </w:r>
      <w:r>
        <w:rPr>
          <w:spacing w:val="-23"/>
        </w:rPr>
        <w:t xml:space="preserve"> </w:t>
      </w:r>
      <w:r>
        <w:t>que</w:t>
      </w:r>
      <w:r>
        <w:rPr>
          <w:spacing w:val="-23"/>
        </w:rPr>
        <w:t xml:space="preserve"> </w:t>
      </w:r>
      <w:r>
        <w:t>la</w:t>
      </w:r>
      <w:r>
        <w:rPr>
          <w:spacing w:val="-23"/>
        </w:rPr>
        <w:t xml:space="preserve"> </w:t>
      </w:r>
      <w:r>
        <w:rPr>
          <w:spacing w:val="-3"/>
        </w:rPr>
        <w:t>aceptación</w:t>
      </w:r>
      <w:r>
        <w:rPr>
          <w:spacing w:val="-23"/>
        </w:rPr>
        <w:t xml:space="preserve"> </w:t>
      </w:r>
      <w:r>
        <w:t>es</w:t>
      </w:r>
      <w:r>
        <w:rPr>
          <w:spacing w:val="-23"/>
        </w:rPr>
        <w:t xml:space="preserve"> </w:t>
      </w:r>
      <w:r>
        <w:t>más</w:t>
      </w:r>
      <w:r>
        <w:rPr>
          <w:spacing w:val="-23"/>
        </w:rPr>
        <w:t xml:space="preserve"> </w:t>
      </w:r>
      <w:r>
        <w:rPr>
          <w:spacing w:val="-3"/>
        </w:rPr>
        <w:t>lenta</w:t>
      </w:r>
      <w:r>
        <w:rPr>
          <w:spacing w:val="-23"/>
        </w:rPr>
        <w:t xml:space="preserve"> </w:t>
      </w:r>
      <w:r>
        <w:t>que</w:t>
      </w:r>
      <w:r>
        <w:rPr>
          <w:spacing w:val="-22"/>
        </w:rPr>
        <w:t xml:space="preserve"> </w:t>
      </w:r>
      <w:r>
        <w:t>la</w:t>
      </w:r>
      <w:r>
        <w:rPr>
          <w:spacing w:val="-23"/>
        </w:rPr>
        <w:t xml:space="preserve"> </w:t>
      </w:r>
      <w:r>
        <w:rPr>
          <w:spacing w:val="-3"/>
        </w:rPr>
        <w:t>prevista</w:t>
      </w:r>
      <w:r>
        <w:rPr>
          <w:spacing w:val="-23"/>
        </w:rPr>
        <w:t xml:space="preserve"> </w:t>
      </w:r>
      <w:r>
        <w:rPr>
          <w:spacing w:val="-3"/>
        </w:rPr>
        <w:t>debido</w:t>
      </w:r>
      <w:r>
        <w:rPr>
          <w:spacing w:val="-23"/>
        </w:rPr>
        <w:t xml:space="preserve"> </w:t>
      </w:r>
      <w:r>
        <w:t>a</w:t>
      </w:r>
      <w:r>
        <w:rPr>
          <w:spacing w:val="-23"/>
        </w:rPr>
        <w:t xml:space="preserve"> </w:t>
      </w:r>
      <w:r>
        <w:t>los</w:t>
      </w:r>
      <w:r>
        <w:rPr>
          <w:spacing w:val="-23"/>
        </w:rPr>
        <w:t xml:space="preserve"> </w:t>
      </w:r>
      <w:r>
        <w:rPr>
          <w:spacing w:val="-3"/>
        </w:rPr>
        <w:t>problemas</w:t>
      </w:r>
      <w:r>
        <w:rPr>
          <w:spacing w:val="-23"/>
        </w:rPr>
        <w:t xml:space="preserve"> </w:t>
      </w:r>
      <w:r>
        <w:rPr>
          <w:spacing w:val="-3"/>
        </w:rPr>
        <w:t>que tienen</w:t>
      </w:r>
      <w:r>
        <w:rPr>
          <w:spacing w:val="-19"/>
        </w:rPr>
        <w:t xml:space="preserve"> </w:t>
      </w:r>
      <w:r>
        <w:t>las</w:t>
      </w:r>
      <w:r>
        <w:rPr>
          <w:spacing w:val="-18"/>
        </w:rPr>
        <w:t xml:space="preserve"> </w:t>
      </w:r>
      <w:r>
        <w:rPr>
          <w:spacing w:val="-3"/>
        </w:rPr>
        <w:t>personas</w:t>
      </w:r>
      <w:r>
        <w:rPr>
          <w:spacing w:val="-19"/>
        </w:rPr>
        <w:t xml:space="preserve"> </w:t>
      </w:r>
      <w:r>
        <w:rPr>
          <w:spacing w:val="-3"/>
        </w:rPr>
        <w:t>para</w:t>
      </w:r>
      <w:r>
        <w:rPr>
          <w:spacing w:val="-19"/>
        </w:rPr>
        <w:t xml:space="preserve"> </w:t>
      </w:r>
      <w:r>
        <w:rPr>
          <w:spacing w:val="-3"/>
        </w:rPr>
        <w:t>acceder</w:t>
      </w:r>
      <w:r>
        <w:rPr>
          <w:spacing w:val="-19"/>
        </w:rPr>
        <w:t xml:space="preserve"> </w:t>
      </w:r>
      <w:r>
        <w:t>al</w:t>
      </w:r>
      <w:r>
        <w:rPr>
          <w:spacing w:val="-19"/>
        </w:rPr>
        <w:t xml:space="preserve"> </w:t>
      </w:r>
      <w:r>
        <w:rPr>
          <w:spacing w:val="-3"/>
        </w:rPr>
        <w:t>programa</w:t>
      </w:r>
      <w:r>
        <w:rPr>
          <w:spacing w:val="-18"/>
        </w:rPr>
        <w:t xml:space="preserve"> </w:t>
      </w:r>
      <w:r>
        <w:t>y</w:t>
      </w:r>
      <w:r>
        <w:rPr>
          <w:spacing w:val="-19"/>
        </w:rPr>
        <w:t xml:space="preserve"> </w:t>
      </w:r>
      <w:r>
        <w:t>a</w:t>
      </w:r>
      <w:r>
        <w:rPr>
          <w:spacing w:val="-19"/>
        </w:rPr>
        <w:t xml:space="preserve"> </w:t>
      </w:r>
      <w:r>
        <w:t>los</w:t>
      </w:r>
      <w:r>
        <w:rPr>
          <w:spacing w:val="-19"/>
        </w:rPr>
        <w:t xml:space="preserve"> </w:t>
      </w:r>
      <w:r>
        <w:rPr>
          <w:spacing w:val="-3"/>
        </w:rPr>
        <w:t>prolongados</w:t>
      </w:r>
      <w:r>
        <w:rPr>
          <w:spacing w:val="-19"/>
        </w:rPr>
        <w:t xml:space="preserve"> </w:t>
      </w:r>
      <w:r>
        <w:rPr>
          <w:spacing w:val="-3"/>
        </w:rPr>
        <w:t>períodos</w:t>
      </w:r>
      <w:r>
        <w:rPr>
          <w:spacing w:val="-18"/>
        </w:rPr>
        <w:t xml:space="preserve"> </w:t>
      </w:r>
      <w:r>
        <w:t>de</w:t>
      </w:r>
      <w:r>
        <w:rPr>
          <w:spacing w:val="-19"/>
        </w:rPr>
        <w:t xml:space="preserve"> </w:t>
      </w:r>
      <w:r>
        <w:rPr>
          <w:spacing w:val="-3"/>
        </w:rPr>
        <w:t>espera</w:t>
      </w:r>
      <w:r>
        <w:rPr>
          <w:spacing w:val="-19"/>
        </w:rPr>
        <w:t xml:space="preserve"> </w:t>
      </w:r>
      <w:r>
        <w:rPr>
          <w:spacing w:val="-3"/>
        </w:rPr>
        <w:t>para</w:t>
      </w:r>
      <w:r>
        <w:rPr>
          <w:spacing w:val="-19"/>
        </w:rPr>
        <w:t xml:space="preserve"> </w:t>
      </w:r>
      <w:r>
        <w:t>que</w:t>
      </w:r>
      <w:r>
        <w:rPr>
          <w:spacing w:val="-19"/>
        </w:rPr>
        <w:t xml:space="preserve"> </w:t>
      </w:r>
      <w:r>
        <w:rPr>
          <w:spacing w:val="-3"/>
        </w:rPr>
        <w:t>los participantes</w:t>
      </w:r>
      <w:r>
        <w:rPr>
          <w:spacing w:val="-27"/>
        </w:rPr>
        <w:t xml:space="preserve"> </w:t>
      </w:r>
      <w:r>
        <w:rPr>
          <w:spacing w:val="-3"/>
        </w:rPr>
        <w:t>reciban</w:t>
      </w:r>
      <w:r>
        <w:rPr>
          <w:spacing w:val="-27"/>
        </w:rPr>
        <w:t xml:space="preserve"> </w:t>
      </w:r>
      <w:r>
        <w:rPr>
          <w:spacing w:val="-3"/>
        </w:rPr>
        <w:t>apoyo;</w:t>
      </w:r>
      <w:r>
        <w:rPr>
          <w:spacing w:val="-26"/>
        </w:rPr>
        <w:t xml:space="preserve"> </w:t>
      </w:r>
      <w:r>
        <w:rPr>
          <w:spacing w:val="-3"/>
        </w:rPr>
        <w:t>además</w:t>
      </w:r>
      <w:r>
        <w:rPr>
          <w:spacing w:val="-27"/>
        </w:rPr>
        <w:t xml:space="preserve"> </w:t>
      </w:r>
      <w:r>
        <w:rPr>
          <w:spacing w:val="-3"/>
        </w:rPr>
        <w:t>argumentan</w:t>
      </w:r>
      <w:r>
        <w:rPr>
          <w:spacing w:val="-27"/>
        </w:rPr>
        <w:t xml:space="preserve"> </w:t>
      </w:r>
      <w:r>
        <w:t>que</w:t>
      </w:r>
      <w:r>
        <w:rPr>
          <w:spacing w:val="-26"/>
        </w:rPr>
        <w:t xml:space="preserve"> </w:t>
      </w:r>
      <w:r>
        <w:t>los</w:t>
      </w:r>
      <w:r>
        <w:rPr>
          <w:spacing w:val="-27"/>
        </w:rPr>
        <w:t xml:space="preserve"> </w:t>
      </w:r>
      <w:r>
        <w:rPr>
          <w:spacing w:val="-3"/>
        </w:rPr>
        <w:t>fondos</w:t>
      </w:r>
      <w:r>
        <w:rPr>
          <w:spacing w:val="-26"/>
        </w:rPr>
        <w:t xml:space="preserve"> </w:t>
      </w:r>
      <w:r>
        <w:t>no</w:t>
      </w:r>
      <w:r>
        <w:rPr>
          <w:spacing w:val="-27"/>
        </w:rPr>
        <w:t xml:space="preserve"> </w:t>
      </w:r>
      <w:r>
        <w:rPr>
          <w:spacing w:val="-3"/>
        </w:rPr>
        <w:t>gastados</w:t>
      </w:r>
      <w:r>
        <w:rPr>
          <w:spacing w:val="-26"/>
        </w:rPr>
        <w:t xml:space="preserve"> </w:t>
      </w:r>
      <w:r>
        <w:rPr>
          <w:spacing w:val="-3"/>
        </w:rPr>
        <w:t>deberían</w:t>
      </w:r>
      <w:r>
        <w:rPr>
          <w:spacing w:val="-27"/>
        </w:rPr>
        <w:t xml:space="preserve"> </w:t>
      </w:r>
      <w:r>
        <w:rPr>
          <w:spacing w:val="-3"/>
        </w:rPr>
        <w:t>utilizarse</w:t>
      </w:r>
      <w:r>
        <w:rPr>
          <w:spacing w:val="-27"/>
        </w:rPr>
        <w:t xml:space="preserve"> </w:t>
      </w:r>
      <w:r>
        <w:rPr>
          <w:spacing w:val="-3"/>
        </w:rPr>
        <w:t>para subsanar</w:t>
      </w:r>
      <w:r>
        <w:rPr>
          <w:spacing w:val="-10"/>
        </w:rPr>
        <w:t xml:space="preserve"> </w:t>
      </w:r>
      <w:r>
        <w:t>los</w:t>
      </w:r>
      <w:r>
        <w:rPr>
          <w:spacing w:val="-9"/>
        </w:rPr>
        <w:t xml:space="preserve"> </w:t>
      </w:r>
      <w:r>
        <w:rPr>
          <w:spacing w:val="-3"/>
        </w:rPr>
        <w:t>problemas</w:t>
      </w:r>
      <w:r>
        <w:rPr>
          <w:spacing w:val="-9"/>
        </w:rPr>
        <w:t xml:space="preserve"> </w:t>
      </w:r>
      <w:r>
        <w:t>de</w:t>
      </w:r>
      <w:r>
        <w:rPr>
          <w:spacing w:val="-9"/>
        </w:rPr>
        <w:t xml:space="preserve"> </w:t>
      </w:r>
      <w:r>
        <w:rPr>
          <w:spacing w:val="-3"/>
        </w:rPr>
        <w:t>implementación</w:t>
      </w:r>
      <w:r>
        <w:rPr>
          <w:spacing w:val="-9"/>
        </w:rPr>
        <w:t xml:space="preserve"> </w:t>
      </w:r>
      <w:r>
        <w:t>del</w:t>
      </w:r>
      <w:r>
        <w:rPr>
          <w:spacing w:val="-9"/>
        </w:rPr>
        <w:t xml:space="preserve"> </w:t>
      </w:r>
      <w:r>
        <w:rPr>
          <w:spacing w:val="-3"/>
        </w:rPr>
        <w:t>programa.</w:t>
      </w:r>
      <w:r>
        <w:rPr>
          <w:spacing w:val="-3"/>
          <w:position w:val="7"/>
          <w:sz w:val="13"/>
        </w:rPr>
        <w:t>35</w:t>
      </w:r>
    </w:p>
    <w:p w:rsidR="007A0A6C" w:rsidRDefault="00660E26">
      <w:pPr>
        <w:pStyle w:val="BodyText"/>
        <w:spacing w:before="136" w:line="247" w:lineRule="auto"/>
        <w:ind w:right="404"/>
        <w:rPr>
          <w:sz w:val="13"/>
        </w:rPr>
      </w:pPr>
      <w:r>
        <w:t>En</w:t>
      </w:r>
      <w:r>
        <w:rPr>
          <w:spacing w:val="-22"/>
        </w:rPr>
        <w:t xml:space="preserve"> </w:t>
      </w:r>
      <w:r>
        <w:t>la</w:t>
      </w:r>
      <w:r>
        <w:rPr>
          <w:spacing w:val="-21"/>
        </w:rPr>
        <w:t xml:space="preserve"> </w:t>
      </w:r>
      <w:r>
        <w:rPr>
          <w:spacing w:val="-3"/>
        </w:rPr>
        <w:t>actualidad</w:t>
      </w:r>
      <w:r>
        <w:rPr>
          <w:spacing w:val="-21"/>
        </w:rPr>
        <w:t xml:space="preserve"> </w:t>
      </w:r>
      <w:r>
        <w:t>no</w:t>
      </w:r>
      <w:r>
        <w:rPr>
          <w:spacing w:val="-21"/>
        </w:rPr>
        <w:t xml:space="preserve"> </w:t>
      </w:r>
      <w:r>
        <w:t>hay</w:t>
      </w:r>
      <w:r>
        <w:rPr>
          <w:spacing w:val="-21"/>
        </w:rPr>
        <w:t xml:space="preserve"> </w:t>
      </w:r>
      <w:r>
        <w:t>una</w:t>
      </w:r>
      <w:r>
        <w:rPr>
          <w:spacing w:val="-21"/>
        </w:rPr>
        <w:t xml:space="preserve"> </w:t>
      </w:r>
      <w:r>
        <w:rPr>
          <w:spacing w:val="-3"/>
        </w:rPr>
        <w:t>estrategia</w:t>
      </w:r>
      <w:r>
        <w:rPr>
          <w:spacing w:val="-21"/>
        </w:rPr>
        <w:t xml:space="preserve"> </w:t>
      </w:r>
      <w:r>
        <w:rPr>
          <w:spacing w:val="-3"/>
        </w:rPr>
        <w:t>nacional</w:t>
      </w:r>
      <w:r>
        <w:rPr>
          <w:spacing w:val="-21"/>
        </w:rPr>
        <w:t xml:space="preserve"> </w:t>
      </w:r>
      <w:r>
        <w:rPr>
          <w:spacing w:val="-3"/>
        </w:rPr>
        <w:t>clara</w:t>
      </w:r>
      <w:r>
        <w:rPr>
          <w:spacing w:val="-21"/>
        </w:rPr>
        <w:t xml:space="preserve"> </w:t>
      </w:r>
      <w:r>
        <w:rPr>
          <w:spacing w:val="-3"/>
        </w:rPr>
        <w:t>para</w:t>
      </w:r>
      <w:r>
        <w:rPr>
          <w:spacing w:val="-21"/>
        </w:rPr>
        <w:t xml:space="preserve"> </w:t>
      </w:r>
      <w:r>
        <w:t>el</w:t>
      </w:r>
      <w:r>
        <w:rPr>
          <w:spacing w:val="-21"/>
        </w:rPr>
        <w:t xml:space="preserve"> </w:t>
      </w:r>
      <w:r>
        <w:rPr>
          <w:spacing w:val="-3"/>
        </w:rPr>
        <w:t>crecimiento</w:t>
      </w:r>
      <w:r>
        <w:rPr>
          <w:spacing w:val="-21"/>
        </w:rPr>
        <w:t xml:space="preserve"> </w:t>
      </w:r>
      <w:r>
        <w:t>de</w:t>
      </w:r>
      <w:r>
        <w:rPr>
          <w:spacing w:val="-21"/>
        </w:rPr>
        <w:t xml:space="preserve"> </w:t>
      </w:r>
      <w:r>
        <w:t>la</w:t>
      </w:r>
      <w:r>
        <w:rPr>
          <w:spacing w:val="-21"/>
        </w:rPr>
        <w:t xml:space="preserve"> </w:t>
      </w:r>
      <w:r>
        <w:rPr>
          <w:spacing w:val="-3"/>
        </w:rPr>
        <w:t>fuerza</w:t>
      </w:r>
      <w:r>
        <w:rPr>
          <w:spacing w:val="-20"/>
        </w:rPr>
        <w:t xml:space="preserve"> </w:t>
      </w:r>
      <w:r>
        <w:rPr>
          <w:spacing w:val="-3"/>
        </w:rPr>
        <w:t>laboral</w:t>
      </w:r>
      <w:r>
        <w:rPr>
          <w:spacing w:val="-21"/>
        </w:rPr>
        <w:t xml:space="preserve"> </w:t>
      </w:r>
      <w:r>
        <w:t>a</w:t>
      </w:r>
      <w:r>
        <w:rPr>
          <w:spacing w:val="-21"/>
        </w:rPr>
        <w:t xml:space="preserve"> </w:t>
      </w:r>
      <w:r>
        <w:rPr>
          <w:spacing w:val="-3"/>
        </w:rPr>
        <w:t>pesar</w:t>
      </w:r>
      <w:r>
        <w:rPr>
          <w:spacing w:val="-21"/>
        </w:rPr>
        <w:t xml:space="preserve"> </w:t>
      </w:r>
      <w:r>
        <w:rPr>
          <w:spacing w:val="-3"/>
        </w:rPr>
        <w:t xml:space="preserve">de </w:t>
      </w:r>
      <w:r>
        <w:t>la</w:t>
      </w:r>
      <w:r>
        <w:rPr>
          <w:spacing w:val="-11"/>
        </w:rPr>
        <w:t xml:space="preserve"> </w:t>
      </w:r>
      <w:r>
        <w:rPr>
          <w:spacing w:val="-3"/>
        </w:rPr>
        <w:t>necesidad</w:t>
      </w:r>
      <w:r>
        <w:rPr>
          <w:spacing w:val="-10"/>
        </w:rPr>
        <w:t xml:space="preserve"> </w:t>
      </w:r>
      <w:r>
        <w:t>de</w:t>
      </w:r>
      <w:r>
        <w:rPr>
          <w:spacing w:val="-10"/>
        </w:rPr>
        <w:t xml:space="preserve"> </w:t>
      </w:r>
      <w:r>
        <w:rPr>
          <w:spacing w:val="-3"/>
        </w:rPr>
        <w:t>otros</w:t>
      </w:r>
      <w:r>
        <w:rPr>
          <w:spacing w:val="-10"/>
        </w:rPr>
        <w:t xml:space="preserve"> </w:t>
      </w:r>
      <w:r>
        <w:t>70</w:t>
      </w:r>
      <w:r>
        <w:rPr>
          <w:spacing w:val="-10"/>
        </w:rPr>
        <w:t xml:space="preserve"> </w:t>
      </w:r>
      <w:r>
        <w:t>000</w:t>
      </w:r>
      <w:r>
        <w:rPr>
          <w:spacing w:val="-10"/>
        </w:rPr>
        <w:t xml:space="preserve"> </w:t>
      </w:r>
      <w:r>
        <w:rPr>
          <w:spacing w:val="-3"/>
        </w:rPr>
        <w:t>trabajadores</w:t>
      </w:r>
      <w:r>
        <w:rPr>
          <w:spacing w:val="-10"/>
        </w:rPr>
        <w:t xml:space="preserve"> </w:t>
      </w:r>
      <w:r>
        <w:t>con</w:t>
      </w:r>
      <w:r>
        <w:rPr>
          <w:spacing w:val="-10"/>
        </w:rPr>
        <w:t xml:space="preserve"> </w:t>
      </w:r>
      <w:r>
        <w:rPr>
          <w:spacing w:val="-3"/>
        </w:rPr>
        <w:t>discapacidad</w:t>
      </w:r>
      <w:r>
        <w:rPr>
          <w:spacing w:val="-10"/>
        </w:rPr>
        <w:t xml:space="preserve"> </w:t>
      </w:r>
      <w:r>
        <w:rPr>
          <w:spacing w:val="-3"/>
        </w:rPr>
        <w:t>para</w:t>
      </w:r>
      <w:r>
        <w:rPr>
          <w:spacing w:val="-10"/>
        </w:rPr>
        <w:t xml:space="preserve"> </w:t>
      </w:r>
      <w:r>
        <w:rPr>
          <w:spacing w:val="-3"/>
        </w:rPr>
        <w:t>2020.</w:t>
      </w:r>
      <w:r>
        <w:rPr>
          <w:spacing w:val="-3"/>
          <w:position w:val="7"/>
          <w:sz w:val="13"/>
        </w:rPr>
        <w:t>36</w:t>
      </w:r>
    </w:p>
    <w:p w:rsidR="007A0A6C" w:rsidRDefault="00660E26">
      <w:pPr>
        <w:pStyle w:val="BodyText"/>
        <w:tabs>
          <w:tab w:val="left" w:pos="1059"/>
        </w:tabs>
        <w:spacing w:before="139" w:line="247" w:lineRule="auto"/>
        <w:ind w:right="994" w:hanging="720"/>
        <w:rPr>
          <w:sz w:val="13"/>
        </w:rPr>
      </w:pPr>
      <w:r>
        <w:rPr>
          <w:spacing w:val="-3"/>
        </w:rPr>
        <w:t>4(b)</w:t>
      </w:r>
      <w:r>
        <w:rPr>
          <w:spacing w:val="-3"/>
        </w:rPr>
        <w:tab/>
      </w:r>
      <w:r>
        <w:t>Las</w:t>
      </w:r>
      <w:r>
        <w:rPr>
          <w:spacing w:val="-21"/>
        </w:rPr>
        <w:t xml:space="preserve"> </w:t>
      </w:r>
      <w:r>
        <w:rPr>
          <w:spacing w:val="-3"/>
        </w:rPr>
        <w:t>personas</w:t>
      </w:r>
      <w:r>
        <w:rPr>
          <w:spacing w:val="-20"/>
        </w:rPr>
        <w:t xml:space="preserve"> </w:t>
      </w:r>
      <w:r>
        <w:t>con</w:t>
      </w:r>
      <w:r>
        <w:rPr>
          <w:spacing w:val="-20"/>
        </w:rPr>
        <w:t xml:space="preserve"> </w:t>
      </w:r>
      <w:r>
        <w:rPr>
          <w:spacing w:val="-3"/>
        </w:rPr>
        <w:t>discapacidad</w:t>
      </w:r>
      <w:r>
        <w:rPr>
          <w:spacing w:val="-20"/>
        </w:rPr>
        <w:t xml:space="preserve"> </w:t>
      </w:r>
      <w:r>
        <w:rPr>
          <w:spacing w:val="-3"/>
        </w:rPr>
        <w:t>mayores</w:t>
      </w:r>
      <w:r>
        <w:rPr>
          <w:spacing w:val="-20"/>
        </w:rPr>
        <w:t xml:space="preserve"> </w:t>
      </w:r>
      <w:r>
        <w:t>de</w:t>
      </w:r>
      <w:r>
        <w:rPr>
          <w:spacing w:val="-21"/>
        </w:rPr>
        <w:t xml:space="preserve"> </w:t>
      </w:r>
      <w:r>
        <w:t>65</w:t>
      </w:r>
      <w:r>
        <w:rPr>
          <w:spacing w:val="-20"/>
        </w:rPr>
        <w:t xml:space="preserve"> </w:t>
      </w:r>
      <w:r>
        <w:rPr>
          <w:spacing w:val="-3"/>
        </w:rPr>
        <w:t>años</w:t>
      </w:r>
      <w:r>
        <w:rPr>
          <w:spacing w:val="-20"/>
        </w:rPr>
        <w:t xml:space="preserve"> </w:t>
      </w:r>
      <w:r>
        <w:t>no</w:t>
      </w:r>
      <w:r>
        <w:rPr>
          <w:spacing w:val="-20"/>
        </w:rPr>
        <w:t xml:space="preserve"> </w:t>
      </w:r>
      <w:r>
        <w:t>son</w:t>
      </w:r>
      <w:r>
        <w:rPr>
          <w:spacing w:val="-20"/>
        </w:rPr>
        <w:t xml:space="preserve"> </w:t>
      </w:r>
      <w:r>
        <w:rPr>
          <w:spacing w:val="-3"/>
        </w:rPr>
        <w:t>elegibles</w:t>
      </w:r>
      <w:r>
        <w:rPr>
          <w:spacing w:val="-20"/>
        </w:rPr>
        <w:t xml:space="preserve"> </w:t>
      </w:r>
      <w:r>
        <w:rPr>
          <w:spacing w:val="-3"/>
        </w:rPr>
        <w:t>para</w:t>
      </w:r>
      <w:r>
        <w:rPr>
          <w:spacing w:val="-21"/>
        </w:rPr>
        <w:t xml:space="preserve"> </w:t>
      </w:r>
      <w:r>
        <w:t>el</w:t>
      </w:r>
      <w:r>
        <w:rPr>
          <w:spacing w:val="-20"/>
        </w:rPr>
        <w:t xml:space="preserve"> </w:t>
      </w:r>
      <w:r>
        <w:rPr>
          <w:spacing w:val="-3"/>
        </w:rPr>
        <w:t>NDIS</w:t>
      </w:r>
      <w:r>
        <w:rPr>
          <w:spacing w:val="-20"/>
        </w:rPr>
        <w:t xml:space="preserve"> </w:t>
      </w:r>
      <w:r>
        <w:t>y</w:t>
      </w:r>
      <w:r>
        <w:rPr>
          <w:spacing w:val="-20"/>
        </w:rPr>
        <w:t xml:space="preserve"> </w:t>
      </w:r>
      <w:r>
        <w:rPr>
          <w:spacing w:val="-3"/>
        </w:rPr>
        <w:t xml:space="preserve">dependen </w:t>
      </w:r>
      <w:r>
        <w:t>del</w:t>
      </w:r>
      <w:r>
        <w:rPr>
          <w:spacing w:val="-22"/>
        </w:rPr>
        <w:t xml:space="preserve"> </w:t>
      </w:r>
      <w:r>
        <w:rPr>
          <w:spacing w:val="-3"/>
        </w:rPr>
        <w:t>sistema</w:t>
      </w:r>
      <w:r>
        <w:rPr>
          <w:spacing w:val="-22"/>
        </w:rPr>
        <w:t xml:space="preserve"> </w:t>
      </w:r>
      <w:r>
        <w:t>de</w:t>
      </w:r>
      <w:r>
        <w:rPr>
          <w:spacing w:val="-22"/>
        </w:rPr>
        <w:t xml:space="preserve"> </w:t>
      </w:r>
      <w:r>
        <w:rPr>
          <w:spacing w:val="-3"/>
        </w:rPr>
        <w:t>asistencia</w:t>
      </w:r>
      <w:r>
        <w:rPr>
          <w:spacing w:val="-22"/>
        </w:rPr>
        <w:t xml:space="preserve"> </w:t>
      </w:r>
      <w:r>
        <w:rPr>
          <w:spacing w:val="-3"/>
        </w:rPr>
        <w:t>para</w:t>
      </w:r>
      <w:r>
        <w:rPr>
          <w:spacing w:val="-21"/>
        </w:rPr>
        <w:t xml:space="preserve"> </w:t>
      </w:r>
      <w:r>
        <w:rPr>
          <w:spacing w:val="-3"/>
        </w:rPr>
        <w:t>adultos</w:t>
      </w:r>
      <w:r>
        <w:rPr>
          <w:spacing w:val="-22"/>
        </w:rPr>
        <w:t xml:space="preserve"> </w:t>
      </w:r>
      <w:r>
        <w:rPr>
          <w:spacing w:val="-3"/>
        </w:rPr>
        <w:t>mayores</w:t>
      </w:r>
      <w:r>
        <w:rPr>
          <w:spacing w:val="-22"/>
        </w:rPr>
        <w:t xml:space="preserve"> </w:t>
      </w:r>
      <w:r>
        <w:t>que</w:t>
      </w:r>
      <w:r>
        <w:rPr>
          <w:spacing w:val="-22"/>
        </w:rPr>
        <w:t xml:space="preserve"> </w:t>
      </w:r>
      <w:r>
        <w:t>no</w:t>
      </w:r>
      <w:r>
        <w:rPr>
          <w:spacing w:val="-22"/>
        </w:rPr>
        <w:t xml:space="preserve"> </w:t>
      </w:r>
      <w:r>
        <w:rPr>
          <w:spacing w:val="-3"/>
        </w:rPr>
        <w:t>brinda</w:t>
      </w:r>
      <w:r>
        <w:rPr>
          <w:spacing w:val="-21"/>
        </w:rPr>
        <w:t xml:space="preserve"> </w:t>
      </w:r>
      <w:r>
        <w:rPr>
          <w:spacing w:val="-3"/>
        </w:rPr>
        <w:t>igualdad</w:t>
      </w:r>
      <w:r>
        <w:rPr>
          <w:spacing w:val="-22"/>
        </w:rPr>
        <w:t xml:space="preserve"> </w:t>
      </w:r>
      <w:r>
        <w:t>de</w:t>
      </w:r>
      <w:r>
        <w:rPr>
          <w:spacing w:val="-22"/>
        </w:rPr>
        <w:t xml:space="preserve"> </w:t>
      </w:r>
      <w:r>
        <w:rPr>
          <w:spacing w:val="-3"/>
        </w:rPr>
        <w:t>apoyo</w:t>
      </w:r>
      <w:r>
        <w:rPr>
          <w:spacing w:val="-22"/>
        </w:rPr>
        <w:t xml:space="preserve"> </w:t>
      </w:r>
      <w:r>
        <w:t>y</w:t>
      </w:r>
      <w:r>
        <w:rPr>
          <w:spacing w:val="-22"/>
        </w:rPr>
        <w:t xml:space="preserve"> </w:t>
      </w:r>
      <w:r>
        <w:t>que</w:t>
      </w:r>
      <w:r>
        <w:rPr>
          <w:spacing w:val="-21"/>
        </w:rPr>
        <w:t xml:space="preserve"> </w:t>
      </w:r>
      <w:r>
        <w:rPr>
          <w:spacing w:val="-3"/>
        </w:rPr>
        <w:t>carece</w:t>
      </w:r>
      <w:r>
        <w:rPr>
          <w:spacing w:val="-22"/>
        </w:rPr>
        <w:t xml:space="preserve"> </w:t>
      </w:r>
      <w:r>
        <w:rPr>
          <w:spacing w:val="-3"/>
        </w:rPr>
        <w:t>de experiencia</w:t>
      </w:r>
      <w:r>
        <w:rPr>
          <w:spacing w:val="-14"/>
        </w:rPr>
        <w:t xml:space="preserve"> </w:t>
      </w:r>
      <w:r>
        <w:t>con</w:t>
      </w:r>
      <w:r>
        <w:rPr>
          <w:spacing w:val="-14"/>
        </w:rPr>
        <w:t xml:space="preserve"> </w:t>
      </w:r>
      <w:r>
        <w:rPr>
          <w:spacing w:val="-3"/>
        </w:rPr>
        <w:t>respecto</w:t>
      </w:r>
      <w:r>
        <w:rPr>
          <w:spacing w:val="-13"/>
        </w:rPr>
        <w:t xml:space="preserve"> </w:t>
      </w:r>
      <w:r>
        <w:t>al</w:t>
      </w:r>
      <w:r>
        <w:rPr>
          <w:spacing w:val="-14"/>
        </w:rPr>
        <w:t xml:space="preserve"> </w:t>
      </w:r>
      <w:r>
        <w:rPr>
          <w:spacing w:val="-3"/>
        </w:rPr>
        <w:t>apoyo</w:t>
      </w:r>
      <w:r>
        <w:rPr>
          <w:spacing w:val="-13"/>
        </w:rPr>
        <w:t xml:space="preserve"> </w:t>
      </w:r>
      <w:r>
        <w:rPr>
          <w:spacing w:val="-3"/>
        </w:rPr>
        <w:t>especializado</w:t>
      </w:r>
      <w:r>
        <w:rPr>
          <w:spacing w:val="-14"/>
        </w:rPr>
        <w:t xml:space="preserve"> </w:t>
      </w:r>
      <w:r>
        <w:rPr>
          <w:spacing w:val="-3"/>
        </w:rPr>
        <w:t>relacionado</w:t>
      </w:r>
      <w:r>
        <w:rPr>
          <w:spacing w:val="-13"/>
        </w:rPr>
        <w:t xml:space="preserve"> </w:t>
      </w:r>
      <w:r>
        <w:t>con</w:t>
      </w:r>
      <w:r>
        <w:rPr>
          <w:spacing w:val="-14"/>
        </w:rPr>
        <w:t xml:space="preserve"> </w:t>
      </w:r>
      <w:r>
        <w:t>la</w:t>
      </w:r>
      <w:r>
        <w:rPr>
          <w:spacing w:val="-13"/>
        </w:rPr>
        <w:t xml:space="preserve"> </w:t>
      </w:r>
      <w:r>
        <w:rPr>
          <w:spacing w:val="-3"/>
        </w:rPr>
        <w:t>discapacidad.</w:t>
      </w:r>
      <w:r>
        <w:rPr>
          <w:spacing w:val="-3"/>
          <w:position w:val="7"/>
          <w:sz w:val="13"/>
        </w:rPr>
        <w:t>37</w:t>
      </w:r>
    </w:p>
    <w:p w:rsidR="007A0A6C" w:rsidRDefault="00660E26">
      <w:pPr>
        <w:pStyle w:val="BodyText"/>
        <w:spacing w:before="99" w:line="247" w:lineRule="auto"/>
        <w:ind w:right="404"/>
        <w:rPr>
          <w:sz w:val="13"/>
        </w:rPr>
      </w:pPr>
      <w:r>
        <w:t xml:space="preserve">Los </w:t>
      </w:r>
      <w:r>
        <w:rPr>
          <w:spacing w:val="-3"/>
        </w:rPr>
        <w:t xml:space="preserve">gobiernos están retirando </w:t>
      </w:r>
      <w:r>
        <w:t xml:space="preserve">su </w:t>
      </w:r>
      <w:r>
        <w:rPr>
          <w:spacing w:val="-3"/>
        </w:rPr>
        <w:t xml:space="preserve">financiación para </w:t>
      </w:r>
      <w:r>
        <w:t xml:space="preserve">una </w:t>
      </w:r>
      <w:r>
        <w:rPr>
          <w:spacing w:val="-3"/>
        </w:rPr>
        <w:t xml:space="preserve">serie </w:t>
      </w:r>
      <w:r>
        <w:t xml:space="preserve">de </w:t>
      </w:r>
      <w:r>
        <w:rPr>
          <w:spacing w:val="-3"/>
        </w:rPr>
        <w:t xml:space="preserve">programas </w:t>
      </w:r>
      <w:r>
        <w:t xml:space="preserve">de </w:t>
      </w:r>
      <w:r>
        <w:rPr>
          <w:spacing w:val="-3"/>
        </w:rPr>
        <w:t xml:space="preserve">apoyo para </w:t>
      </w:r>
      <w:r>
        <w:t xml:space="preserve">la </w:t>
      </w:r>
      <w:r>
        <w:rPr>
          <w:spacing w:val="-3"/>
        </w:rPr>
        <w:t>salud mental</w:t>
      </w:r>
      <w:r>
        <w:rPr>
          <w:spacing w:val="-20"/>
        </w:rPr>
        <w:t xml:space="preserve"> </w:t>
      </w:r>
      <w:r>
        <w:t>y</w:t>
      </w:r>
      <w:r>
        <w:rPr>
          <w:spacing w:val="-19"/>
        </w:rPr>
        <w:t xml:space="preserve"> </w:t>
      </w:r>
      <w:r>
        <w:rPr>
          <w:spacing w:val="-3"/>
        </w:rPr>
        <w:t>están</w:t>
      </w:r>
      <w:r>
        <w:rPr>
          <w:spacing w:val="-20"/>
        </w:rPr>
        <w:t xml:space="preserve"> </w:t>
      </w:r>
      <w:r>
        <w:rPr>
          <w:spacing w:val="-3"/>
        </w:rPr>
        <w:t>utilizando</w:t>
      </w:r>
      <w:r>
        <w:rPr>
          <w:spacing w:val="-19"/>
        </w:rPr>
        <w:t xml:space="preserve"> </w:t>
      </w:r>
      <w:r>
        <w:rPr>
          <w:spacing w:val="-3"/>
        </w:rPr>
        <w:t>esta</w:t>
      </w:r>
      <w:r>
        <w:rPr>
          <w:spacing w:val="-20"/>
        </w:rPr>
        <w:t xml:space="preserve"> </w:t>
      </w:r>
      <w:r>
        <w:rPr>
          <w:spacing w:val="-3"/>
        </w:rPr>
        <w:t>financiación</w:t>
      </w:r>
      <w:r>
        <w:rPr>
          <w:spacing w:val="-19"/>
        </w:rPr>
        <w:t xml:space="preserve"> </w:t>
      </w:r>
      <w:r>
        <w:rPr>
          <w:spacing w:val="-3"/>
        </w:rPr>
        <w:t>para</w:t>
      </w:r>
      <w:r>
        <w:rPr>
          <w:spacing w:val="-19"/>
        </w:rPr>
        <w:t xml:space="preserve"> </w:t>
      </w:r>
      <w:r>
        <w:rPr>
          <w:spacing w:val="-3"/>
        </w:rPr>
        <w:t>compensar</w:t>
      </w:r>
      <w:r>
        <w:rPr>
          <w:spacing w:val="-20"/>
        </w:rPr>
        <w:t xml:space="preserve"> </w:t>
      </w:r>
      <w:r>
        <w:rPr>
          <w:spacing w:val="-3"/>
        </w:rPr>
        <w:t>parte</w:t>
      </w:r>
      <w:r>
        <w:rPr>
          <w:spacing w:val="-19"/>
        </w:rPr>
        <w:t xml:space="preserve"> </w:t>
      </w:r>
      <w:r>
        <w:t>de</w:t>
      </w:r>
      <w:r>
        <w:rPr>
          <w:spacing w:val="-20"/>
        </w:rPr>
        <w:t xml:space="preserve"> </w:t>
      </w:r>
      <w:r>
        <w:t>su</w:t>
      </w:r>
      <w:r>
        <w:rPr>
          <w:spacing w:val="-19"/>
        </w:rPr>
        <w:t xml:space="preserve"> </w:t>
      </w:r>
      <w:r>
        <w:rPr>
          <w:spacing w:val="-3"/>
        </w:rPr>
        <w:t>contribución</w:t>
      </w:r>
      <w:r>
        <w:rPr>
          <w:spacing w:val="-20"/>
        </w:rPr>
        <w:t xml:space="preserve"> </w:t>
      </w:r>
      <w:r>
        <w:t>al</w:t>
      </w:r>
      <w:r>
        <w:rPr>
          <w:spacing w:val="-19"/>
        </w:rPr>
        <w:t xml:space="preserve"> </w:t>
      </w:r>
      <w:r>
        <w:rPr>
          <w:spacing w:val="-3"/>
        </w:rPr>
        <w:t>NDIS.</w:t>
      </w:r>
      <w:r>
        <w:rPr>
          <w:spacing w:val="-19"/>
        </w:rPr>
        <w:t xml:space="preserve"> </w:t>
      </w:r>
      <w:r>
        <w:t>En</w:t>
      </w:r>
      <w:r>
        <w:rPr>
          <w:spacing w:val="-20"/>
        </w:rPr>
        <w:t xml:space="preserve"> </w:t>
      </w:r>
      <w:r>
        <w:rPr>
          <w:spacing w:val="-3"/>
        </w:rPr>
        <w:t>esta etapa,</w:t>
      </w:r>
      <w:r>
        <w:rPr>
          <w:spacing w:val="-25"/>
        </w:rPr>
        <w:t xml:space="preserve"> </w:t>
      </w:r>
      <w:r>
        <w:t>no</w:t>
      </w:r>
      <w:r>
        <w:rPr>
          <w:spacing w:val="-24"/>
        </w:rPr>
        <w:t xml:space="preserve"> </w:t>
      </w:r>
      <w:r>
        <w:rPr>
          <w:spacing w:val="-3"/>
        </w:rPr>
        <w:t>queda</w:t>
      </w:r>
      <w:r>
        <w:rPr>
          <w:spacing w:val="-25"/>
        </w:rPr>
        <w:t xml:space="preserve"> </w:t>
      </w:r>
      <w:r>
        <w:rPr>
          <w:spacing w:val="-3"/>
        </w:rPr>
        <w:t>claro</w:t>
      </w:r>
      <w:r>
        <w:rPr>
          <w:spacing w:val="-24"/>
        </w:rPr>
        <w:t xml:space="preserve"> </w:t>
      </w:r>
      <w:r>
        <w:t>qué</w:t>
      </w:r>
      <w:r>
        <w:rPr>
          <w:spacing w:val="-24"/>
        </w:rPr>
        <w:t xml:space="preserve"> </w:t>
      </w:r>
      <w:r>
        <w:rPr>
          <w:spacing w:val="-3"/>
        </w:rPr>
        <w:t>ayuda</w:t>
      </w:r>
      <w:r>
        <w:rPr>
          <w:spacing w:val="-25"/>
        </w:rPr>
        <w:t xml:space="preserve"> </w:t>
      </w:r>
      <w:r>
        <w:rPr>
          <w:spacing w:val="-3"/>
        </w:rPr>
        <w:t>estará</w:t>
      </w:r>
      <w:r>
        <w:rPr>
          <w:spacing w:val="-24"/>
        </w:rPr>
        <w:t xml:space="preserve"> </w:t>
      </w:r>
      <w:r>
        <w:rPr>
          <w:spacing w:val="-3"/>
        </w:rPr>
        <w:t>disponible</w:t>
      </w:r>
      <w:r>
        <w:rPr>
          <w:spacing w:val="-24"/>
        </w:rPr>
        <w:t xml:space="preserve"> </w:t>
      </w:r>
      <w:r>
        <w:rPr>
          <w:spacing w:val="-3"/>
        </w:rPr>
        <w:t>para</w:t>
      </w:r>
      <w:r>
        <w:rPr>
          <w:spacing w:val="-25"/>
        </w:rPr>
        <w:t xml:space="preserve"> </w:t>
      </w:r>
      <w:r>
        <w:t>las</w:t>
      </w:r>
      <w:r>
        <w:rPr>
          <w:spacing w:val="-24"/>
        </w:rPr>
        <w:t xml:space="preserve"> </w:t>
      </w:r>
      <w:r>
        <w:rPr>
          <w:spacing w:val="-3"/>
        </w:rPr>
        <w:t>personas</w:t>
      </w:r>
      <w:r>
        <w:rPr>
          <w:spacing w:val="-24"/>
        </w:rPr>
        <w:t xml:space="preserve"> </w:t>
      </w:r>
      <w:r>
        <w:t>con</w:t>
      </w:r>
      <w:r>
        <w:rPr>
          <w:spacing w:val="-25"/>
        </w:rPr>
        <w:t xml:space="preserve"> </w:t>
      </w:r>
      <w:r>
        <w:rPr>
          <w:spacing w:val="-3"/>
        </w:rPr>
        <w:t>discapacidad</w:t>
      </w:r>
      <w:r>
        <w:rPr>
          <w:spacing w:val="-24"/>
        </w:rPr>
        <w:t xml:space="preserve"> </w:t>
      </w:r>
      <w:r>
        <w:rPr>
          <w:spacing w:val="-3"/>
        </w:rPr>
        <w:t>psicosocial</w:t>
      </w:r>
      <w:r>
        <w:rPr>
          <w:spacing w:val="-24"/>
        </w:rPr>
        <w:t xml:space="preserve"> </w:t>
      </w:r>
      <w:r>
        <w:rPr>
          <w:spacing w:val="-3"/>
        </w:rPr>
        <w:t xml:space="preserve">que </w:t>
      </w:r>
      <w:r>
        <w:t>no</w:t>
      </w:r>
      <w:r>
        <w:rPr>
          <w:spacing w:val="-9"/>
        </w:rPr>
        <w:t xml:space="preserve"> </w:t>
      </w:r>
      <w:r>
        <w:rPr>
          <w:spacing w:val="-3"/>
        </w:rPr>
        <w:t>cumplan</w:t>
      </w:r>
      <w:r>
        <w:rPr>
          <w:spacing w:val="-9"/>
        </w:rPr>
        <w:t xml:space="preserve"> </w:t>
      </w:r>
      <w:r>
        <w:t>con</w:t>
      </w:r>
      <w:r>
        <w:rPr>
          <w:spacing w:val="-9"/>
        </w:rPr>
        <w:t xml:space="preserve"> </w:t>
      </w:r>
      <w:r>
        <w:t>los</w:t>
      </w:r>
      <w:r>
        <w:rPr>
          <w:spacing w:val="-8"/>
        </w:rPr>
        <w:t xml:space="preserve"> </w:t>
      </w:r>
      <w:r>
        <w:rPr>
          <w:spacing w:val="-3"/>
        </w:rPr>
        <w:t>criterios</w:t>
      </w:r>
      <w:r>
        <w:rPr>
          <w:spacing w:val="-9"/>
        </w:rPr>
        <w:t xml:space="preserve"> </w:t>
      </w:r>
      <w:r>
        <w:t>de</w:t>
      </w:r>
      <w:r>
        <w:rPr>
          <w:spacing w:val="-9"/>
        </w:rPr>
        <w:t xml:space="preserve"> </w:t>
      </w:r>
      <w:r>
        <w:rPr>
          <w:spacing w:val="-3"/>
        </w:rPr>
        <w:t>elegibilidad</w:t>
      </w:r>
      <w:r>
        <w:rPr>
          <w:spacing w:val="-9"/>
        </w:rPr>
        <w:t xml:space="preserve"> </w:t>
      </w:r>
      <w:r>
        <w:t>del</w:t>
      </w:r>
      <w:r>
        <w:rPr>
          <w:spacing w:val="-8"/>
        </w:rPr>
        <w:t xml:space="preserve"> </w:t>
      </w:r>
      <w:r>
        <w:rPr>
          <w:spacing w:val="-3"/>
        </w:rPr>
        <w:t>NDIS.</w:t>
      </w:r>
      <w:r>
        <w:rPr>
          <w:spacing w:val="-3"/>
          <w:position w:val="7"/>
          <w:sz w:val="13"/>
        </w:rPr>
        <w:t>38</w:t>
      </w:r>
    </w:p>
    <w:p w:rsidR="007A0A6C" w:rsidRDefault="00660E26">
      <w:pPr>
        <w:pStyle w:val="BodyText"/>
        <w:spacing w:before="137" w:line="247" w:lineRule="auto"/>
        <w:ind w:right="404"/>
      </w:pPr>
      <w:r>
        <w:rPr>
          <w:spacing w:val="-3"/>
        </w:rPr>
        <w:t>Dado</w:t>
      </w:r>
      <w:r>
        <w:rPr>
          <w:spacing w:val="-23"/>
        </w:rPr>
        <w:t xml:space="preserve"> </w:t>
      </w:r>
      <w:r>
        <w:t>que</w:t>
      </w:r>
      <w:r>
        <w:rPr>
          <w:spacing w:val="-22"/>
        </w:rPr>
        <w:t xml:space="preserve"> </w:t>
      </w:r>
      <w:r>
        <w:t>los</w:t>
      </w:r>
      <w:r>
        <w:rPr>
          <w:spacing w:val="-22"/>
        </w:rPr>
        <w:t xml:space="preserve"> </w:t>
      </w:r>
      <w:r>
        <w:rPr>
          <w:spacing w:val="-3"/>
        </w:rPr>
        <w:t>programas</w:t>
      </w:r>
      <w:r>
        <w:rPr>
          <w:spacing w:val="-22"/>
        </w:rPr>
        <w:t xml:space="preserve"> </w:t>
      </w:r>
      <w:r>
        <w:t>de</w:t>
      </w:r>
      <w:r>
        <w:rPr>
          <w:spacing w:val="-22"/>
        </w:rPr>
        <w:t xml:space="preserve"> </w:t>
      </w:r>
      <w:r>
        <w:rPr>
          <w:spacing w:val="-3"/>
        </w:rPr>
        <w:t>apoyo</w:t>
      </w:r>
      <w:r>
        <w:rPr>
          <w:spacing w:val="-23"/>
        </w:rPr>
        <w:t xml:space="preserve"> </w:t>
      </w:r>
      <w:r>
        <w:rPr>
          <w:spacing w:val="-3"/>
        </w:rPr>
        <w:t>para</w:t>
      </w:r>
      <w:r>
        <w:rPr>
          <w:spacing w:val="-22"/>
        </w:rPr>
        <w:t xml:space="preserve"> </w:t>
      </w:r>
      <w:r>
        <w:t>la</w:t>
      </w:r>
      <w:r>
        <w:rPr>
          <w:spacing w:val="-22"/>
        </w:rPr>
        <w:t xml:space="preserve"> </w:t>
      </w:r>
      <w:r>
        <w:rPr>
          <w:spacing w:val="-3"/>
        </w:rPr>
        <w:t>discapacidad</w:t>
      </w:r>
      <w:r>
        <w:rPr>
          <w:spacing w:val="-22"/>
        </w:rPr>
        <w:t xml:space="preserve"> </w:t>
      </w:r>
      <w:r>
        <w:rPr>
          <w:spacing w:val="-3"/>
        </w:rPr>
        <w:t>están</w:t>
      </w:r>
      <w:r>
        <w:rPr>
          <w:spacing w:val="-22"/>
        </w:rPr>
        <w:t xml:space="preserve"> </w:t>
      </w:r>
      <w:r>
        <w:rPr>
          <w:spacing w:val="-3"/>
        </w:rPr>
        <w:t>incluidos</w:t>
      </w:r>
      <w:r>
        <w:rPr>
          <w:spacing w:val="-23"/>
        </w:rPr>
        <w:t xml:space="preserve"> </w:t>
      </w:r>
      <w:r>
        <w:t>en</w:t>
      </w:r>
      <w:r>
        <w:rPr>
          <w:spacing w:val="-22"/>
        </w:rPr>
        <w:t xml:space="preserve"> </w:t>
      </w:r>
      <w:r>
        <w:t>el</w:t>
      </w:r>
      <w:r>
        <w:rPr>
          <w:spacing w:val="-22"/>
        </w:rPr>
        <w:t xml:space="preserve"> </w:t>
      </w:r>
      <w:r>
        <w:rPr>
          <w:spacing w:val="-3"/>
        </w:rPr>
        <w:t>NDIS,</w:t>
      </w:r>
      <w:r>
        <w:rPr>
          <w:spacing w:val="-22"/>
        </w:rPr>
        <w:t xml:space="preserve"> </w:t>
      </w:r>
      <w:r>
        <w:t>es</w:t>
      </w:r>
      <w:r>
        <w:rPr>
          <w:spacing w:val="-22"/>
        </w:rPr>
        <w:t xml:space="preserve"> </w:t>
      </w:r>
      <w:r>
        <w:rPr>
          <w:spacing w:val="-3"/>
        </w:rPr>
        <w:t>probable</w:t>
      </w:r>
      <w:r>
        <w:rPr>
          <w:spacing w:val="-22"/>
        </w:rPr>
        <w:t xml:space="preserve"> </w:t>
      </w:r>
      <w:r>
        <w:t>que</w:t>
      </w:r>
      <w:r>
        <w:rPr>
          <w:spacing w:val="-23"/>
        </w:rPr>
        <w:t xml:space="preserve"> </w:t>
      </w:r>
      <w:r>
        <w:rPr>
          <w:spacing w:val="-3"/>
        </w:rPr>
        <w:t>las personas</w:t>
      </w:r>
      <w:r>
        <w:rPr>
          <w:spacing w:val="-20"/>
        </w:rPr>
        <w:t xml:space="preserve"> </w:t>
      </w:r>
      <w:r>
        <w:t>que</w:t>
      </w:r>
      <w:r>
        <w:rPr>
          <w:spacing w:val="-19"/>
        </w:rPr>
        <w:t xml:space="preserve"> </w:t>
      </w:r>
      <w:r>
        <w:rPr>
          <w:spacing w:val="-3"/>
        </w:rPr>
        <w:t>utilizan</w:t>
      </w:r>
      <w:r>
        <w:rPr>
          <w:spacing w:val="-19"/>
        </w:rPr>
        <w:t xml:space="preserve"> </w:t>
      </w:r>
      <w:r>
        <w:rPr>
          <w:spacing w:val="-3"/>
        </w:rPr>
        <w:t>estos</w:t>
      </w:r>
      <w:r>
        <w:rPr>
          <w:spacing w:val="-19"/>
        </w:rPr>
        <w:t xml:space="preserve"> </w:t>
      </w:r>
      <w:r>
        <w:rPr>
          <w:spacing w:val="-3"/>
        </w:rPr>
        <w:t>servicios</w:t>
      </w:r>
      <w:r>
        <w:rPr>
          <w:spacing w:val="-3"/>
          <w:position w:val="7"/>
          <w:sz w:val="13"/>
        </w:rPr>
        <w:t>39</w:t>
      </w:r>
      <w:r>
        <w:rPr>
          <w:spacing w:val="6"/>
          <w:position w:val="7"/>
          <w:sz w:val="13"/>
        </w:rPr>
        <w:t xml:space="preserve"> </w:t>
      </w:r>
      <w:r>
        <w:t>y</w:t>
      </w:r>
      <w:r>
        <w:rPr>
          <w:spacing w:val="-19"/>
        </w:rPr>
        <w:t xml:space="preserve"> </w:t>
      </w:r>
      <w:r>
        <w:t>que</w:t>
      </w:r>
      <w:r>
        <w:rPr>
          <w:spacing w:val="-19"/>
        </w:rPr>
        <w:t xml:space="preserve"> </w:t>
      </w:r>
      <w:r>
        <w:t>no</w:t>
      </w:r>
      <w:r>
        <w:rPr>
          <w:spacing w:val="-20"/>
        </w:rPr>
        <w:t xml:space="preserve"> </w:t>
      </w:r>
      <w:r>
        <w:rPr>
          <w:spacing w:val="-3"/>
        </w:rPr>
        <w:t>sean</w:t>
      </w:r>
      <w:r>
        <w:rPr>
          <w:spacing w:val="-19"/>
        </w:rPr>
        <w:t xml:space="preserve"> </w:t>
      </w:r>
      <w:r>
        <w:rPr>
          <w:spacing w:val="-3"/>
        </w:rPr>
        <w:t>elegibles</w:t>
      </w:r>
      <w:r>
        <w:rPr>
          <w:spacing w:val="-19"/>
        </w:rPr>
        <w:t xml:space="preserve"> </w:t>
      </w:r>
      <w:r>
        <w:rPr>
          <w:spacing w:val="-3"/>
        </w:rPr>
        <w:t>para</w:t>
      </w:r>
      <w:r>
        <w:rPr>
          <w:spacing w:val="-19"/>
        </w:rPr>
        <w:t xml:space="preserve"> </w:t>
      </w:r>
      <w:r>
        <w:t>el</w:t>
      </w:r>
      <w:r>
        <w:rPr>
          <w:spacing w:val="-20"/>
        </w:rPr>
        <w:t xml:space="preserve"> </w:t>
      </w:r>
      <w:r>
        <w:rPr>
          <w:spacing w:val="-3"/>
        </w:rPr>
        <w:t>NDIS</w:t>
      </w:r>
      <w:r>
        <w:rPr>
          <w:spacing w:val="-19"/>
        </w:rPr>
        <w:t xml:space="preserve"> </w:t>
      </w:r>
      <w:r>
        <w:t>no</w:t>
      </w:r>
      <w:r>
        <w:rPr>
          <w:spacing w:val="-19"/>
        </w:rPr>
        <w:t xml:space="preserve"> </w:t>
      </w:r>
      <w:r>
        <w:rPr>
          <w:spacing w:val="-3"/>
        </w:rPr>
        <w:t>reciban</w:t>
      </w:r>
      <w:r>
        <w:rPr>
          <w:spacing w:val="-19"/>
        </w:rPr>
        <w:t xml:space="preserve"> </w:t>
      </w:r>
      <w:r>
        <w:t>más</w:t>
      </w:r>
      <w:r>
        <w:rPr>
          <w:spacing w:val="-20"/>
        </w:rPr>
        <w:t xml:space="preserve"> </w:t>
      </w:r>
      <w:r>
        <w:rPr>
          <w:spacing w:val="-3"/>
        </w:rPr>
        <w:t>apoyo.</w:t>
      </w:r>
      <w:r>
        <w:rPr>
          <w:spacing w:val="-19"/>
        </w:rPr>
        <w:t xml:space="preserve"> </w:t>
      </w:r>
      <w:r>
        <w:rPr>
          <w:spacing w:val="-3"/>
        </w:rPr>
        <w:t>Si bien</w:t>
      </w:r>
      <w:r>
        <w:rPr>
          <w:spacing w:val="-24"/>
        </w:rPr>
        <w:t xml:space="preserve"> </w:t>
      </w:r>
      <w:r>
        <w:t>los</w:t>
      </w:r>
      <w:r>
        <w:rPr>
          <w:spacing w:val="-23"/>
        </w:rPr>
        <w:t xml:space="preserve"> </w:t>
      </w:r>
      <w:r>
        <w:rPr>
          <w:spacing w:val="-3"/>
        </w:rPr>
        <w:t>Gobiernos</w:t>
      </w:r>
      <w:r>
        <w:rPr>
          <w:spacing w:val="-22"/>
        </w:rPr>
        <w:t xml:space="preserve"> </w:t>
      </w:r>
      <w:r>
        <w:t>de</w:t>
      </w:r>
      <w:r>
        <w:rPr>
          <w:spacing w:val="-23"/>
        </w:rPr>
        <w:t xml:space="preserve"> </w:t>
      </w:r>
      <w:r>
        <w:t>la</w:t>
      </w:r>
      <w:r>
        <w:rPr>
          <w:spacing w:val="-23"/>
        </w:rPr>
        <w:t xml:space="preserve"> </w:t>
      </w:r>
      <w:r>
        <w:rPr>
          <w:i/>
          <w:spacing w:val="-3"/>
        </w:rPr>
        <w:t>Commonwealth</w:t>
      </w:r>
      <w:r>
        <w:rPr>
          <w:i/>
          <w:spacing w:val="-23"/>
        </w:rPr>
        <w:t xml:space="preserve"> </w:t>
      </w:r>
      <w:r>
        <w:t>y</w:t>
      </w:r>
      <w:r>
        <w:rPr>
          <w:spacing w:val="-23"/>
        </w:rPr>
        <w:t xml:space="preserve"> </w:t>
      </w:r>
      <w:r>
        <w:t>de</w:t>
      </w:r>
      <w:r>
        <w:rPr>
          <w:spacing w:val="-23"/>
        </w:rPr>
        <w:t xml:space="preserve"> </w:t>
      </w:r>
      <w:r>
        <w:t>los</w:t>
      </w:r>
      <w:r>
        <w:rPr>
          <w:spacing w:val="-23"/>
        </w:rPr>
        <w:t xml:space="preserve"> </w:t>
      </w:r>
      <w:r>
        <w:rPr>
          <w:spacing w:val="-5"/>
        </w:rPr>
        <w:t>Estados/Territorios</w:t>
      </w:r>
      <w:r>
        <w:rPr>
          <w:spacing w:val="-23"/>
        </w:rPr>
        <w:t xml:space="preserve"> </w:t>
      </w:r>
      <w:r>
        <w:t>han</w:t>
      </w:r>
      <w:r>
        <w:rPr>
          <w:spacing w:val="-24"/>
        </w:rPr>
        <w:t xml:space="preserve"> </w:t>
      </w:r>
      <w:r>
        <w:rPr>
          <w:spacing w:val="-3"/>
        </w:rPr>
        <w:t>acordado</w:t>
      </w:r>
      <w:r>
        <w:rPr>
          <w:spacing w:val="-23"/>
        </w:rPr>
        <w:t xml:space="preserve"> </w:t>
      </w:r>
      <w:r>
        <w:rPr>
          <w:spacing w:val="-3"/>
        </w:rPr>
        <w:t>brindar</w:t>
      </w:r>
      <w:r>
        <w:rPr>
          <w:spacing w:val="-23"/>
        </w:rPr>
        <w:t xml:space="preserve"> </w:t>
      </w:r>
      <w:r>
        <w:rPr>
          <w:spacing w:val="-3"/>
        </w:rPr>
        <w:t xml:space="preserve">continuidad </w:t>
      </w:r>
      <w:r>
        <w:t>de</w:t>
      </w:r>
      <w:r>
        <w:rPr>
          <w:spacing w:val="-16"/>
        </w:rPr>
        <w:t xml:space="preserve"> </w:t>
      </w:r>
      <w:r>
        <w:rPr>
          <w:spacing w:val="-3"/>
        </w:rPr>
        <w:t>apoyo</w:t>
      </w:r>
      <w:r>
        <w:rPr>
          <w:spacing w:val="-16"/>
        </w:rPr>
        <w:t xml:space="preserve"> </w:t>
      </w:r>
      <w:r>
        <w:t>a</w:t>
      </w:r>
      <w:r>
        <w:rPr>
          <w:spacing w:val="-16"/>
        </w:rPr>
        <w:t xml:space="preserve"> </w:t>
      </w:r>
      <w:r>
        <w:rPr>
          <w:spacing w:val="-3"/>
        </w:rPr>
        <w:t>través</w:t>
      </w:r>
      <w:r>
        <w:rPr>
          <w:spacing w:val="-16"/>
        </w:rPr>
        <w:t xml:space="preserve"> </w:t>
      </w:r>
      <w:r>
        <w:t>de</w:t>
      </w:r>
      <w:r>
        <w:rPr>
          <w:spacing w:val="-16"/>
        </w:rPr>
        <w:t xml:space="preserve"> </w:t>
      </w:r>
      <w:r>
        <w:t>los</w:t>
      </w:r>
      <w:r>
        <w:rPr>
          <w:spacing w:val="-16"/>
        </w:rPr>
        <w:t xml:space="preserve"> </w:t>
      </w:r>
      <w:r>
        <w:rPr>
          <w:spacing w:val="-3"/>
        </w:rPr>
        <w:t>servicios</w:t>
      </w:r>
      <w:r>
        <w:rPr>
          <w:spacing w:val="-16"/>
        </w:rPr>
        <w:t xml:space="preserve"> </w:t>
      </w:r>
      <w:r>
        <w:rPr>
          <w:spacing w:val="-3"/>
        </w:rPr>
        <w:t>para</w:t>
      </w:r>
      <w:r>
        <w:rPr>
          <w:spacing w:val="-15"/>
        </w:rPr>
        <w:t xml:space="preserve"> </w:t>
      </w:r>
      <w:r>
        <w:rPr>
          <w:spacing w:val="-3"/>
        </w:rPr>
        <w:t>discapacidad</w:t>
      </w:r>
      <w:r>
        <w:rPr>
          <w:spacing w:val="-16"/>
        </w:rPr>
        <w:t xml:space="preserve"> </w:t>
      </w:r>
      <w:r>
        <w:t>que</w:t>
      </w:r>
      <w:r>
        <w:rPr>
          <w:spacing w:val="-16"/>
        </w:rPr>
        <w:t xml:space="preserve"> </w:t>
      </w:r>
      <w:r>
        <w:rPr>
          <w:spacing w:val="-3"/>
        </w:rPr>
        <w:t>están</w:t>
      </w:r>
      <w:r>
        <w:rPr>
          <w:spacing w:val="-16"/>
        </w:rPr>
        <w:t xml:space="preserve"> </w:t>
      </w:r>
      <w:r>
        <w:t>por</w:t>
      </w:r>
      <w:r>
        <w:rPr>
          <w:spacing w:val="-16"/>
        </w:rPr>
        <w:t xml:space="preserve"> </w:t>
      </w:r>
      <w:r>
        <w:rPr>
          <w:spacing w:val="-3"/>
        </w:rPr>
        <w:t>fuera</w:t>
      </w:r>
      <w:r>
        <w:rPr>
          <w:spacing w:val="-16"/>
        </w:rPr>
        <w:t xml:space="preserve"> </w:t>
      </w:r>
      <w:r>
        <w:t>del</w:t>
      </w:r>
      <w:r>
        <w:rPr>
          <w:spacing w:val="-16"/>
        </w:rPr>
        <w:t xml:space="preserve"> </w:t>
      </w:r>
      <w:r>
        <w:rPr>
          <w:spacing w:val="-3"/>
        </w:rPr>
        <w:t>NDIS,</w:t>
      </w:r>
      <w:r>
        <w:rPr>
          <w:spacing w:val="-15"/>
        </w:rPr>
        <w:t xml:space="preserve"> </w:t>
      </w:r>
      <w:r>
        <w:t>en</w:t>
      </w:r>
      <w:r>
        <w:rPr>
          <w:spacing w:val="-16"/>
        </w:rPr>
        <w:t xml:space="preserve"> </w:t>
      </w:r>
      <w:r>
        <w:t>la</w:t>
      </w:r>
      <w:r>
        <w:rPr>
          <w:spacing w:val="-16"/>
        </w:rPr>
        <w:t xml:space="preserve"> </w:t>
      </w:r>
      <w:r>
        <w:rPr>
          <w:spacing w:val="-3"/>
        </w:rPr>
        <w:t>práctica</w:t>
      </w:r>
    </w:p>
    <w:p w:rsidR="007A0A6C" w:rsidRDefault="00660E26">
      <w:pPr>
        <w:pStyle w:val="BodyText"/>
        <w:spacing w:line="247" w:lineRule="auto"/>
        <w:ind w:right="247"/>
        <w:rPr>
          <w:sz w:val="13"/>
        </w:rPr>
      </w:pPr>
      <w:r>
        <w:t xml:space="preserve">hay </w:t>
      </w:r>
      <w:r>
        <w:rPr>
          <w:spacing w:val="-3"/>
        </w:rPr>
        <w:t xml:space="preserve">confusión </w:t>
      </w:r>
      <w:r>
        <w:t xml:space="preserve">e </w:t>
      </w:r>
      <w:r>
        <w:rPr>
          <w:spacing w:val="-3"/>
        </w:rPr>
        <w:t xml:space="preserve">incertidumbre sobre </w:t>
      </w:r>
      <w:r>
        <w:t xml:space="preserve">qué </w:t>
      </w:r>
      <w:r>
        <w:rPr>
          <w:spacing w:val="-3"/>
        </w:rPr>
        <w:t xml:space="preserve">servicios </w:t>
      </w:r>
      <w:r>
        <w:t xml:space="preserve">se </w:t>
      </w:r>
      <w:r>
        <w:rPr>
          <w:spacing w:val="-3"/>
        </w:rPr>
        <w:t xml:space="preserve">seguirán ofreciendo </w:t>
      </w:r>
      <w:r>
        <w:t xml:space="preserve">o </w:t>
      </w:r>
      <w:r>
        <w:rPr>
          <w:spacing w:val="-3"/>
        </w:rPr>
        <w:t>financiando.</w:t>
      </w:r>
      <w:r>
        <w:rPr>
          <w:spacing w:val="-3"/>
          <w:position w:val="7"/>
          <w:sz w:val="13"/>
        </w:rPr>
        <w:t xml:space="preserve">40 </w:t>
      </w:r>
      <w:r>
        <w:rPr>
          <w:spacing w:val="-3"/>
        </w:rPr>
        <w:t>Algunos apoyos</w:t>
      </w:r>
      <w:r>
        <w:rPr>
          <w:spacing w:val="-22"/>
        </w:rPr>
        <w:t xml:space="preserve"> </w:t>
      </w:r>
      <w:r>
        <w:rPr>
          <w:spacing w:val="-3"/>
        </w:rPr>
        <w:t>para</w:t>
      </w:r>
      <w:r>
        <w:rPr>
          <w:spacing w:val="-21"/>
        </w:rPr>
        <w:t xml:space="preserve"> </w:t>
      </w:r>
      <w:r>
        <w:rPr>
          <w:spacing w:val="-3"/>
        </w:rPr>
        <w:t>discapacidad</w:t>
      </w:r>
      <w:r>
        <w:rPr>
          <w:spacing w:val="-22"/>
        </w:rPr>
        <w:t xml:space="preserve"> </w:t>
      </w:r>
      <w:r>
        <w:t>no</w:t>
      </w:r>
      <w:r>
        <w:rPr>
          <w:spacing w:val="-21"/>
        </w:rPr>
        <w:t xml:space="preserve"> </w:t>
      </w:r>
      <w:r>
        <w:t>se</w:t>
      </w:r>
      <w:r>
        <w:rPr>
          <w:spacing w:val="-22"/>
        </w:rPr>
        <w:t xml:space="preserve"> </w:t>
      </w:r>
      <w:r>
        <w:rPr>
          <w:spacing w:val="-3"/>
        </w:rPr>
        <w:t>brindan</w:t>
      </w:r>
      <w:r>
        <w:rPr>
          <w:spacing w:val="-21"/>
        </w:rPr>
        <w:t xml:space="preserve"> </w:t>
      </w:r>
      <w:r>
        <w:rPr>
          <w:spacing w:val="-3"/>
        </w:rPr>
        <w:t>debido</w:t>
      </w:r>
      <w:r>
        <w:rPr>
          <w:spacing w:val="-22"/>
        </w:rPr>
        <w:t xml:space="preserve"> </w:t>
      </w:r>
      <w:r>
        <w:t>a</w:t>
      </w:r>
      <w:r>
        <w:rPr>
          <w:spacing w:val="-21"/>
        </w:rPr>
        <w:t xml:space="preserve"> </w:t>
      </w:r>
      <w:r>
        <w:t>que</w:t>
      </w:r>
      <w:r>
        <w:rPr>
          <w:spacing w:val="-22"/>
        </w:rPr>
        <w:t xml:space="preserve"> </w:t>
      </w:r>
      <w:r>
        <w:t>no</w:t>
      </w:r>
      <w:r>
        <w:rPr>
          <w:spacing w:val="-21"/>
        </w:rPr>
        <w:t xml:space="preserve"> </w:t>
      </w:r>
      <w:r>
        <w:rPr>
          <w:spacing w:val="-3"/>
        </w:rPr>
        <w:t>quedan</w:t>
      </w:r>
      <w:r>
        <w:rPr>
          <w:spacing w:val="-22"/>
        </w:rPr>
        <w:t xml:space="preserve"> </w:t>
      </w:r>
      <w:r>
        <w:rPr>
          <w:spacing w:val="-3"/>
        </w:rPr>
        <w:t>claros</w:t>
      </w:r>
      <w:r>
        <w:rPr>
          <w:spacing w:val="-21"/>
        </w:rPr>
        <w:t xml:space="preserve"> </w:t>
      </w:r>
      <w:r>
        <w:t>los</w:t>
      </w:r>
      <w:r>
        <w:rPr>
          <w:spacing w:val="-22"/>
        </w:rPr>
        <w:t xml:space="preserve"> </w:t>
      </w:r>
      <w:r>
        <w:rPr>
          <w:spacing w:val="-3"/>
        </w:rPr>
        <w:t>límites</w:t>
      </w:r>
      <w:r>
        <w:rPr>
          <w:spacing w:val="-21"/>
        </w:rPr>
        <w:t xml:space="preserve"> </w:t>
      </w:r>
      <w:r>
        <w:t>con</w:t>
      </w:r>
      <w:r>
        <w:rPr>
          <w:spacing w:val="-22"/>
        </w:rPr>
        <w:t xml:space="preserve"> </w:t>
      </w:r>
      <w:r>
        <w:rPr>
          <w:spacing w:val="-3"/>
        </w:rPr>
        <w:t>respecto</w:t>
      </w:r>
      <w:r>
        <w:rPr>
          <w:spacing w:val="-21"/>
        </w:rPr>
        <w:t xml:space="preserve"> </w:t>
      </w:r>
      <w:r>
        <w:t>a</w:t>
      </w:r>
      <w:r>
        <w:rPr>
          <w:spacing w:val="-22"/>
        </w:rPr>
        <w:t xml:space="preserve"> </w:t>
      </w:r>
      <w:r>
        <w:rPr>
          <w:spacing w:val="-3"/>
        </w:rPr>
        <w:t xml:space="preserve">las responsabilidades </w:t>
      </w:r>
      <w:r>
        <w:t xml:space="preserve">de los </w:t>
      </w:r>
      <w:r>
        <w:rPr>
          <w:spacing w:val="-3"/>
        </w:rPr>
        <w:t xml:space="preserve">diferentes niveles </w:t>
      </w:r>
      <w:r>
        <w:t>del</w:t>
      </w:r>
      <w:r>
        <w:rPr>
          <w:spacing w:val="-46"/>
        </w:rPr>
        <w:t xml:space="preserve"> </w:t>
      </w:r>
      <w:r>
        <w:rPr>
          <w:spacing w:val="-3"/>
        </w:rPr>
        <w:t>gobierno.</w:t>
      </w:r>
      <w:r>
        <w:rPr>
          <w:spacing w:val="-3"/>
          <w:position w:val="7"/>
          <w:sz w:val="13"/>
        </w:rPr>
        <w:t>41</w:t>
      </w:r>
    </w:p>
    <w:p w:rsidR="007A0A6C" w:rsidRDefault="00660E26">
      <w:pPr>
        <w:pStyle w:val="BodyText"/>
        <w:spacing w:before="136" w:line="247" w:lineRule="auto"/>
        <w:ind w:right="593"/>
        <w:rPr>
          <w:sz w:val="13"/>
        </w:rPr>
      </w:pPr>
      <w:r>
        <w:t xml:space="preserve">En </w:t>
      </w:r>
      <w:r>
        <w:rPr>
          <w:spacing w:val="-3"/>
        </w:rPr>
        <w:t xml:space="preserve">2017, </w:t>
      </w:r>
      <w:r>
        <w:t xml:space="preserve">el </w:t>
      </w:r>
      <w:r>
        <w:rPr>
          <w:spacing w:val="-3"/>
        </w:rPr>
        <w:t xml:space="preserve">NDIA comenzó </w:t>
      </w:r>
      <w:r>
        <w:t xml:space="preserve">a </w:t>
      </w:r>
      <w:r>
        <w:rPr>
          <w:spacing w:val="-3"/>
        </w:rPr>
        <w:t xml:space="preserve">implementar </w:t>
      </w:r>
      <w:r>
        <w:t xml:space="preserve">el </w:t>
      </w:r>
      <w:r>
        <w:rPr>
          <w:spacing w:val="-3"/>
        </w:rPr>
        <w:t xml:space="preserve">programa </w:t>
      </w:r>
      <w:r>
        <w:t xml:space="preserve">de </w:t>
      </w:r>
      <w:r>
        <w:rPr>
          <w:i/>
          <w:spacing w:val="-3"/>
        </w:rPr>
        <w:t xml:space="preserve">Información, Vínculos </w:t>
      </w:r>
      <w:r>
        <w:rPr>
          <w:i/>
        </w:rPr>
        <w:t xml:space="preserve">y </w:t>
      </w:r>
      <w:r>
        <w:rPr>
          <w:i/>
          <w:spacing w:val="-3"/>
        </w:rPr>
        <w:t>Desarrollo de Capacidades</w:t>
      </w:r>
      <w:r>
        <w:rPr>
          <w:i/>
          <w:spacing w:val="-23"/>
        </w:rPr>
        <w:t xml:space="preserve"> </w:t>
      </w:r>
      <w:r>
        <w:rPr>
          <w:spacing w:val="-3"/>
        </w:rPr>
        <w:t>(ILC)</w:t>
      </w:r>
      <w:r>
        <w:rPr>
          <w:spacing w:val="-24"/>
        </w:rPr>
        <w:t xml:space="preserve"> </w:t>
      </w:r>
      <w:r>
        <w:t>del</w:t>
      </w:r>
      <w:r>
        <w:rPr>
          <w:spacing w:val="-24"/>
        </w:rPr>
        <w:t xml:space="preserve"> </w:t>
      </w:r>
      <w:r>
        <w:rPr>
          <w:spacing w:val="-3"/>
        </w:rPr>
        <w:t>NDIS.</w:t>
      </w:r>
      <w:r>
        <w:rPr>
          <w:spacing w:val="-3"/>
          <w:position w:val="7"/>
          <w:sz w:val="13"/>
        </w:rPr>
        <w:t>42</w:t>
      </w:r>
      <w:r>
        <w:rPr>
          <w:spacing w:val="2"/>
          <w:position w:val="7"/>
          <w:sz w:val="13"/>
        </w:rPr>
        <w:t xml:space="preserve"> </w:t>
      </w:r>
      <w:r>
        <w:rPr>
          <w:spacing w:val="-3"/>
        </w:rPr>
        <w:t>Simultáneamente,</w:t>
      </w:r>
      <w:r>
        <w:rPr>
          <w:spacing w:val="-23"/>
        </w:rPr>
        <w:t xml:space="preserve"> </w:t>
      </w:r>
      <w:r>
        <w:t>los</w:t>
      </w:r>
      <w:r>
        <w:rPr>
          <w:spacing w:val="-24"/>
        </w:rPr>
        <w:t xml:space="preserve"> </w:t>
      </w:r>
      <w:r>
        <w:rPr>
          <w:spacing w:val="-3"/>
        </w:rPr>
        <w:t>Gobiernos</w:t>
      </w:r>
      <w:r>
        <w:rPr>
          <w:spacing w:val="-23"/>
        </w:rPr>
        <w:t xml:space="preserve"> </w:t>
      </w:r>
      <w:r>
        <w:t>de</w:t>
      </w:r>
      <w:r>
        <w:rPr>
          <w:spacing w:val="-24"/>
        </w:rPr>
        <w:t xml:space="preserve"> </w:t>
      </w:r>
      <w:r>
        <w:t>los</w:t>
      </w:r>
      <w:r>
        <w:rPr>
          <w:spacing w:val="-23"/>
        </w:rPr>
        <w:t xml:space="preserve"> </w:t>
      </w:r>
      <w:r>
        <w:rPr>
          <w:spacing w:val="-3"/>
        </w:rPr>
        <w:t>Estados</w:t>
      </w:r>
      <w:r>
        <w:rPr>
          <w:spacing w:val="-24"/>
        </w:rPr>
        <w:t xml:space="preserve"> </w:t>
      </w:r>
      <w:r>
        <w:t>y</w:t>
      </w:r>
      <w:r>
        <w:rPr>
          <w:spacing w:val="-24"/>
        </w:rPr>
        <w:t xml:space="preserve"> </w:t>
      </w:r>
      <w:r>
        <w:t>de</w:t>
      </w:r>
      <w:r>
        <w:rPr>
          <w:spacing w:val="-23"/>
        </w:rPr>
        <w:t xml:space="preserve"> </w:t>
      </w:r>
      <w:r>
        <w:t>los</w:t>
      </w:r>
      <w:r>
        <w:rPr>
          <w:spacing w:val="-27"/>
        </w:rPr>
        <w:t xml:space="preserve"> </w:t>
      </w:r>
      <w:r>
        <w:rPr>
          <w:spacing w:val="-5"/>
        </w:rPr>
        <w:t>Territorios</w:t>
      </w:r>
      <w:r>
        <w:rPr>
          <w:spacing w:val="-23"/>
        </w:rPr>
        <w:t xml:space="preserve"> </w:t>
      </w:r>
      <w:r>
        <w:rPr>
          <w:spacing w:val="-3"/>
        </w:rPr>
        <w:t>se están</w:t>
      </w:r>
      <w:r>
        <w:rPr>
          <w:spacing w:val="-22"/>
        </w:rPr>
        <w:t xml:space="preserve"> </w:t>
      </w:r>
      <w:r>
        <w:rPr>
          <w:spacing w:val="-3"/>
        </w:rPr>
        <w:t>retirando</w:t>
      </w:r>
      <w:r>
        <w:rPr>
          <w:spacing w:val="-21"/>
        </w:rPr>
        <w:t xml:space="preserve"> </w:t>
      </w:r>
      <w:r>
        <w:t>de</w:t>
      </w:r>
      <w:r>
        <w:rPr>
          <w:spacing w:val="-22"/>
        </w:rPr>
        <w:t xml:space="preserve"> </w:t>
      </w:r>
      <w:r>
        <w:t>las</w:t>
      </w:r>
      <w:r>
        <w:rPr>
          <w:spacing w:val="-21"/>
        </w:rPr>
        <w:t xml:space="preserve"> </w:t>
      </w:r>
      <w:r>
        <w:rPr>
          <w:spacing w:val="-3"/>
        </w:rPr>
        <w:t>actividades</w:t>
      </w:r>
      <w:r>
        <w:rPr>
          <w:spacing w:val="-22"/>
        </w:rPr>
        <w:t xml:space="preserve"> </w:t>
      </w:r>
      <w:r>
        <w:rPr>
          <w:spacing w:val="-3"/>
        </w:rPr>
        <w:t>existentes</w:t>
      </w:r>
      <w:r>
        <w:rPr>
          <w:spacing w:val="-21"/>
        </w:rPr>
        <w:t xml:space="preserve"> </w:t>
      </w:r>
      <w:r>
        <w:t>de</w:t>
      </w:r>
      <w:r>
        <w:rPr>
          <w:spacing w:val="-22"/>
        </w:rPr>
        <w:t xml:space="preserve"> </w:t>
      </w:r>
      <w:r>
        <w:rPr>
          <w:spacing w:val="-3"/>
        </w:rPr>
        <w:t>tipo</w:t>
      </w:r>
      <w:r>
        <w:rPr>
          <w:spacing w:val="-21"/>
        </w:rPr>
        <w:t xml:space="preserve"> </w:t>
      </w:r>
      <w:r>
        <w:rPr>
          <w:spacing w:val="-3"/>
        </w:rPr>
        <w:t>ILC.</w:t>
      </w:r>
      <w:r>
        <w:rPr>
          <w:spacing w:val="-21"/>
        </w:rPr>
        <w:t xml:space="preserve"> </w:t>
      </w:r>
      <w:r>
        <w:t>El</w:t>
      </w:r>
      <w:r>
        <w:rPr>
          <w:spacing w:val="-21"/>
        </w:rPr>
        <w:t xml:space="preserve"> </w:t>
      </w:r>
      <w:r>
        <w:t>ILC</w:t>
      </w:r>
      <w:r>
        <w:rPr>
          <w:spacing w:val="-22"/>
        </w:rPr>
        <w:t xml:space="preserve"> </w:t>
      </w:r>
      <w:r>
        <w:t>es</w:t>
      </w:r>
      <w:r>
        <w:rPr>
          <w:spacing w:val="-21"/>
        </w:rPr>
        <w:t xml:space="preserve"> </w:t>
      </w:r>
      <w:r>
        <w:t>un</w:t>
      </w:r>
      <w:r>
        <w:rPr>
          <w:spacing w:val="-21"/>
        </w:rPr>
        <w:t xml:space="preserve"> </w:t>
      </w:r>
      <w:r>
        <w:rPr>
          <w:spacing w:val="-3"/>
        </w:rPr>
        <w:t>proyecto</w:t>
      </w:r>
      <w:r>
        <w:rPr>
          <w:spacing w:val="-22"/>
        </w:rPr>
        <w:t xml:space="preserve"> </w:t>
      </w:r>
      <w:r>
        <w:rPr>
          <w:spacing w:val="-3"/>
        </w:rPr>
        <w:t>enfocado</w:t>
      </w:r>
      <w:r>
        <w:rPr>
          <w:spacing w:val="-21"/>
        </w:rPr>
        <w:t xml:space="preserve"> </w:t>
      </w:r>
      <w:r>
        <w:t>a</w:t>
      </w:r>
      <w:r>
        <w:rPr>
          <w:spacing w:val="-22"/>
        </w:rPr>
        <w:t xml:space="preserve"> </w:t>
      </w:r>
      <w:r>
        <w:rPr>
          <w:spacing w:val="-3"/>
        </w:rPr>
        <w:t>corto</w:t>
      </w:r>
      <w:r>
        <w:rPr>
          <w:spacing w:val="-21"/>
        </w:rPr>
        <w:t xml:space="preserve"> </w:t>
      </w:r>
      <w:r>
        <w:rPr>
          <w:spacing w:val="-3"/>
        </w:rPr>
        <w:t xml:space="preserve">plazo </w:t>
      </w:r>
      <w:r>
        <w:t>y</w:t>
      </w:r>
      <w:r>
        <w:rPr>
          <w:spacing w:val="-20"/>
        </w:rPr>
        <w:t xml:space="preserve"> </w:t>
      </w:r>
      <w:r>
        <w:t>no</w:t>
      </w:r>
      <w:r>
        <w:rPr>
          <w:spacing w:val="-20"/>
        </w:rPr>
        <w:t xml:space="preserve"> </w:t>
      </w:r>
      <w:r>
        <w:rPr>
          <w:spacing w:val="-3"/>
        </w:rPr>
        <w:t>tiene</w:t>
      </w:r>
      <w:r>
        <w:rPr>
          <w:spacing w:val="-19"/>
        </w:rPr>
        <w:t xml:space="preserve"> </w:t>
      </w:r>
      <w:r>
        <w:t>la</w:t>
      </w:r>
      <w:r>
        <w:rPr>
          <w:spacing w:val="-19"/>
        </w:rPr>
        <w:t xml:space="preserve"> </w:t>
      </w:r>
      <w:r>
        <w:rPr>
          <w:spacing w:val="-3"/>
        </w:rPr>
        <w:t>inversión</w:t>
      </w:r>
      <w:r>
        <w:rPr>
          <w:spacing w:val="-20"/>
        </w:rPr>
        <w:t xml:space="preserve"> </w:t>
      </w:r>
      <w:r>
        <w:rPr>
          <w:spacing w:val="-3"/>
        </w:rPr>
        <w:t>necesaria</w:t>
      </w:r>
      <w:r>
        <w:rPr>
          <w:spacing w:val="-20"/>
        </w:rPr>
        <w:t xml:space="preserve"> </w:t>
      </w:r>
      <w:r>
        <w:t>ni</w:t>
      </w:r>
      <w:r>
        <w:rPr>
          <w:spacing w:val="-19"/>
        </w:rPr>
        <w:t xml:space="preserve"> </w:t>
      </w:r>
      <w:r>
        <w:rPr>
          <w:spacing w:val="-3"/>
        </w:rPr>
        <w:t>para</w:t>
      </w:r>
      <w:r>
        <w:rPr>
          <w:spacing w:val="-20"/>
        </w:rPr>
        <w:t xml:space="preserve"> </w:t>
      </w:r>
      <w:r>
        <w:rPr>
          <w:spacing w:val="-3"/>
        </w:rPr>
        <w:t>crear</w:t>
      </w:r>
      <w:r>
        <w:rPr>
          <w:spacing w:val="-20"/>
        </w:rPr>
        <w:t xml:space="preserve"> </w:t>
      </w:r>
      <w:r>
        <w:rPr>
          <w:spacing w:val="-3"/>
        </w:rPr>
        <w:t>comunidades</w:t>
      </w:r>
      <w:r>
        <w:rPr>
          <w:spacing w:val="-19"/>
        </w:rPr>
        <w:t xml:space="preserve"> </w:t>
      </w:r>
      <w:r>
        <w:rPr>
          <w:spacing w:val="-3"/>
        </w:rPr>
        <w:t>comunes</w:t>
      </w:r>
      <w:r>
        <w:rPr>
          <w:spacing w:val="-20"/>
        </w:rPr>
        <w:t xml:space="preserve"> </w:t>
      </w:r>
      <w:r>
        <w:rPr>
          <w:spacing w:val="-3"/>
        </w:rPr>
        <w:t>inclusivas</w:t>
      </w:r>
      <w:r>
        <w:rPr>
          <w:spacing w:val="-20"/>
        </w:rPr>
        <w:t xml:space="preserve"> </w:t>
      </w:r>
      <w:r>
        <w:t>y</w:t>
      </w:r>
      <w:r>
        <w:rPr>
          <w:spacing w:val="-19"/>
        </w:rPr>
        <w:t xml:space="preserve"> </w:t>
      </w:r>
      <w:r>
        <w:rPr>
          <w:spacing w:val="-3"/>
        </w:rPr>
        <w:t>accesibles</w:t>
      </w:r>
      <w:r>
        <w:rPr>
          <w:spacing w:val="-20"/>
        </w:rPr>
        <w:t xml:space="preserve"> </w:t>
      </w:r>
      <w:r>
        <w:t>ni</w:t>
      </w:r>
      <w:r>
        <w:rPr>
          <w:spacing w:val="-20"/>
        </w:rPr>
        <w:t xml:space="preserve"> </w:t>
      </w:r>
      <w:r>
        <w:rPr>
          <w:spacing w:val="-3"/>
        </w:rPr>
        <w:t>para desarrollar</w:t>
      </w:r>
      <w:r>
        <w:rPr>
          <w:spacing w:val="-10"/>
        </w:rPr>
        <w:t xml:space="preserve"> </w:t>
      </w:r>
      <w:r>
        <w:rPr>
          <w:spacing w:val="-3"/>
        </w:rPr>
        <w:t>capacidades</w:t>
      </w:r>
      <w:r>
        <w:rPr>
          <w:spacing w:val="-9"/>
        </w:rPr>
        <w:t xml:space="preserve"> </w:t>
      </w:r>
      <w:r>
        <w:t>en</w:t>
      </w:r>
      <w:r>
        <w:rPr>
          <w:spacing w:val="-9"/>
        </w:rPr>
        <w:t xml:space="preserve"> </w:t>
      </w:r>
      <w:r>
        <w:t>las</w:t>
      </w:r>
      <w:r>
        <w:rPr>
          <w:spacing w:val="-9"/>
        </w:rPr>
        <w:t xml:space="preserve"> </w:t>
      </w:r>
      <w:r>
        <w:rPr>
          <w:spacing w:val="-3"/>
        </w:rPr>
        <w:t>personas</w:t>
      </w:r>
      <w:r>
        <w:rPr>
          <w:spacing w:val="-9"/>
        </w:rPr>
        <w:t xml:space="preserve"> </w:t>
      </w:r>
      <w:r>
        <w:t>con</w:t>
      </w:r>
      <w:r>
        <w:rPr>
          <w:spacing w:val="-10"/>
        </w:rPr>
        <w:t xml:space="preserve"> </w:t>
      </w:r>
      <w:r>
        <w:rPr>
          <w:spacing w:val="-3"/>
        </w:rPr>
        <w:t>discapacidad.</w:t>
      </w:r>
      <w:r>
        <w:rPr>
          <w:spacing w:val="-3"/>
          <w:position w:val="7"/>
          <w:sz w:val="13"/>
        </w:rPr>
        <w:t>43</w:t>
      </w:r>
    </w:p>
    <w:p w:rsidR="007A0A6C" w:rsidRDefault="00660E26">
      <w:pPr>
        <w:pStyle w:val="BodyText"/>
        <w:tabs>
          <w:tab w:val="left" w:pos="1059"/>
        </w:tabs>
        <w:spacing w:before="137" w:line="247" w:lineRule="auto"/>
        <w:ind w:right="850" w:hanging="720"/>
      </w:pPr>
      <w:r>
        <w:rPr>
          <w:spacing w:val="-3"/>
        </w:rPr>
        <w:t>4(c)</w:t>
      </w:r>
      <w:r>
        <w:rPr>
          <w:spacing w:val="-3"/>
        </w:rPr>
        <w:tab/>
      </w:r>
      <w:r>
        <w:t xml:space="preserve">Hay </w:t>
      </w:r>
      <w:r>
        <w:rPr>
          <w:spacing w:val="-3"/>
        </w:rPr>
        <w:t xml:space="preserve">oportunidades limitadas para </w:t>
      </w:r>
      <w:r>
        <w:t xml:space="preserve">que las </w:t>
      </w:r>
      <w:r>
        <w:rPr>
          <w:spacing w:val="-3"/>
        </w:rPr>
        <w:t xml:space="preserve">personas </w:t>
      </w:r>
      <w:r>
        <w:t xml:space="preserve">con </w:t>
      </w:r>
      <w:r>
        <w:rPr>
          <w:spacing w:val="-3"/>
        </w:rPr>
        <w:t xml:space="preserve">discapacidad </w:t>
      </w:r>
      <w:r>
        <w:t xml:space="preserve">y sus </w:t>
      </w:r>
      <w:r>
        <w:rPr>
          <w:spacing w:val="-3"/>
        </w:rPr>
        <w:t>organizaciones de representantes</w:t>
      </w:r>
      <w:r>
        <w:rPr>
          <w:spacing w:val="-24"/>
        </w:rPr>
        <w:t xml:space="preserve"> </w:t>
      </w:r>
      <w:r>
        <w:rPr>
          <w:spacing w:val="-3"/>
        </w:rPr>
        <w:t>controlen</w:t>
      </w:r>
      <w:r>
        <w:rPr>
          <w:spacing w:val="-24"/>
        </w:rPr>
        <w:t xml:space="preserve"> </w:t>
      </w:r>
      <w:r>
        <w:t>y</w:t>
      </w:r>
      <w:r>
        <w:rPr>
          <w:spacing w:val="-23"/>
        </w:rPr>
        <w:t xml:space="preserve"> </w:t>
      </w:r>
      <w:r>
        <w:rPr>
          <w:spacing w:val="-3"/>
        </w:rPr>
        <w:t>evalúen</w:t>
      </w:r>
      <w:r>
        <w:rPr>
          <w:spacing w:val="-24"/>
        </w:rPr>
        <w:t xml:space="preserve"> </w:t>
      </w:r>
      <w:r>
        <w:t>el</w:t>
      </w:r>
      <w:r>
        <w:rPr>
          <w:spacing w:val="-24"/>
        </w:rPr>
        <w:t xml:space="preserve"> </w:t>
      </w:r>
      <w:r>
        <w:rPr>
          <w:spacing w:val="-3"/>
        </w:rPr>
        <w:t>NDIS.</w:t>
      </w:r>
      <w:r>
        <w:rPr>
          <w:spacing w:val="-23"/>
        </w:rPr>
        <w:t xml:space="preserve"> </w:t>
      </w:r>
      <w:r>
        <w:t>Los</w:t>
      </w:r>
      <w:r>
        <w:rPr>
          <w:spacing w:val="-24"/>
        </w:rPr>
        <w:t xml:space="preserve"> </w:t>
      </w:r>
      <w:r>
        <w:rPr>
          <w:spacing w:val="-3"/>
        </w:rPr>
        <w:t>Informes</w:t>
      </w:r>
      <w:r>
        <w:rPr>
          <w:spacing w:val="-23"/>
        </w:rPr>
        <w:t xml:space="preserve"> </w:t>
      </w:r>
      <w:r>
        <w:t>de</w:t>
      </w:r>
      <w:r>
        <w:rPr>
          <w:spacing w:val="-23"/>
        </w:rPr>
        <w:t xml:space="preserve"> </w:t>
      </w:r>
      <w:r>
        <w:rPr>
          <w:spacing w:val="-3"/>
        </w:rPr>
        <w:t>Desempeño</w:t>
      </w:r>
      <w:r>
        <w:rPr>
          <w:spacing w:val="-27"/>
        </w:rPr>
        <w:t xml:space="preserve"> </w:t>
      </w:r>
      <w:r>
        <w:rPr>
          <w:spacing w:val="-4"/>
        </w:rPr>
        <w:t>Trimestrales</w:t>
      </w:r>
      <w:r>
        <w:rPr>
          <w:spacing w:val="-24"/>
        </w:rPr>
        <w:t xml:space="preserve"> </w:t>
      </w:r>
      <w:r>
        <w:t>del</w:t>
      </w:r>
      <w:r>
        <w:rPr>
          <w:spacing w:val="-23"/>
        </w:rPr>
        <w:t xml:space="preserve"> </w:t>
      </w:r>
      <w:r>
        <w:rPr>
          <w:spacing w:val="-3"/>
        </w:rPr>
        <w:t>NDIS</w:t>
      </w:r>
      <w:r>
        <w:rPr>
          <w:spacing w:val="-3"/>
          <w:position w:val="7"/>
          <w:sz w:val="13"/>
        </w:rPr>
        <w:t xml:space="preserve">44 </w:t>
      </w:r>
      <w:r>
        <w:lastRenderedPageBreak/>
        <w:t>no</w:t>
      </w:r>
      <w:r>
        <w:rPr>
          <w:spacing w:val="-25"/>
        </w:rPr>
        <w:t xml:space="preserve"> </w:t>
      </w:r>
      <w:r>
        <w:rPr>
          <w:spacing w:val="-3"/>
        </w:rPr>
        <w:t>brindan</w:t>
      </w:r>
      <w:r>
        <w:rPr>
          <w:spacing w:val="-24"/>
        </w:rPr>
        <w:t xml:space="preserve"> </w:t>
      </w:r>
      <w:r>
        <w:rPr>
          <w:spacing w:val="-3"/>
        </w:rPr>
        <w:t>información</w:t>
      </w:r>
      <w:r>
        <w:rPr>
          <w:spacing w:val="-25"/>
        </w:rPr>
        <w:t xml:space="preserve"> </w:t>
      </w:r>
      <w:r>
        <w:rPr>
          <w:spacing w:val="-3"/>
        </w:rPr>
        <w:t>importante</w:t>
      </w:r>
      <w:r>
        <w:rPr>
          <w:spacing w:val="-24"/>
        </w:rPr>
        <w:t xml:space="preserve"> </w:t>
      </w:r>
      <w:r>
        <w:rPr>
          <w:spacing w:val="-3"/>
        </w:rPr>
        <w:t>desde</w:t>
      </w:r>
      <w:r>
        <w:rPr>
          <w:spacing w:val="-25"/>
        </w:rPr>
        <w:t xml:space="preserve"> </w:t>
      </w:r>
      <w:r>
        <w:t>la</w:t>
      </w:r>
      <w:r>
        <w:rPr>
          <w:spacing w:val="-24"/>
        </w:rPr>
        <w:t xml:space="preserve"> </w:t>
      </w:r>
      <w:r>
        <w:rPr>
          <w:spacing w:val="-3"/>
        </w:rPr>
        <w:t>perspectiva</w:t>
      </w:r>
      <w:r>
        <w:rPr>
          <w:spacing w:val="-24"/>
        </w:rPr>
        <w:t xml:space="preserve"> </w:t>
      </w:r>
      <w:r>
        <w:t>de</w:t>
      </w:r>
      <w:r>
        <w:rPr>
          <w:spacing w:val="-25"/>
        </w:rPr>
        <w:t xml:space="preserve"> </w:t>
      </w:r>
      <w:r>
        <w:t>las</w:t>
      </w:r>
      <w:r>
        <w:rPr>
          <w:spacing w:val="-24"/>
        </w:rPr>
        <w:t xml:space="preserve"> </w:t>
      </w:r>
      <w:r>
        <w:rPr>
          <w:spacing w:val="-3"/>
        </w:rPr>
        <w:t>personas</w:t>
      </w:r>
      <w:r>
        <w:rPr>
          <w:spacing w:val="-25"/>
        </w:rPr>
        <w:t xml:space="preserve"> </w:t>
      </w:r>
      <w:r>
        <w:t>con</w:t>
      </w:r>
      <w:r>
        <w:rPr>
          <w:spacing w:val="-24"/>
        </w:rPr>
        <w:t xml:space="preserve"> </w:t>
      </w:r>
      <w:r>
        <w:rPr>
          <w:spacing w:val="-3"/>
        </w:rPr>
        <w:t>discapacidad</w:t>
      </w:r>
      <w:r>
        <w:rPr>
          <w:spacing w:val="-24"/>
        </w:rPr>
        <w:t xml:space="preserve"> </w:t>
      </w:r>
      <w:r>
        <w:t>y</w:t>
      </w:r>
      <w:r>
        <w:rPr>
          <w:spacing w:val="-25"/>
        </w:rPr>
        <w:t xml:space="preserve"> </w:t>
      </w:r>
      <w:r>
        <w:t>de</w:t>
      </w:r>
      <w:r>
        <w:rPr>
          <w:spacing w:val="-24"/>
        </w:rPr>
        <w:t xml:space="preserve"> </w:t>
      </w:r>
      <w:r>
        <w:rPr>
          <w:spacing w:val="-3"/>
        </w:rPr>
        <w:t>sus</w:t>
      </w:r>
    </w:p>
    <w:p w:rsidR="007A0A6C" w:rsidRDefault="00660E26">
      <w:pPr>
        <w:pStyle w:val="BodyText"/>
        <w:spacing w:line="247" w:lineRule="auto"/>
        <w:ind w:right="247"/>
        <w:rPr>
          <w:sz w:val="13"/>
        </w:rPr>
      </w:pPr>
      <w:r>
        <w:rPr>
          <w:spacing w:val="-3"/>
        </w:rPr>
        <w:t>organizaciones</w:t>
      </w:r>
      <w:r>
        <w:rPr>
          <w:spacing w:val="-29"/>
        </w:rPr>
        <w:t xml:space="preserve"> </w:t>
      </w:r>
      <w:r>
        <w:rPr>
          <w:spacing w:val="-3"/>
        </w:rPr>
        <w:t>representativas.</w:t>
      </w:r>
      <w:r>
        <w:rPr>
          <w:spacing w:val="-29"/>
        </w:rPr>
        <w:t xml:space="preserve"> </w:t>
      </w:r>
      <w:r>
        <w:t>Las</w:t>
      </w:r>
      <w:r>
        <w:rPr>
          <w:spacing w:val="-29"/>
        </w:rPr>
        <w:t xml:space="preserve"> </w:t>
      </w:r>
      <w:r>
        <w:rPr>
          <w:spacing w:val="-3"/>
        </w:rPr>
        <w:t>personas</w:t>
      </w:r>
      <w:r>
        <w:rPr>
          <w:spacing w:val="-29"/>
        </w:rPr>
        <w:t xml:space="preserve"> </w:t>
      </w:r>
      <w:r>
        <w:t>con</w:t>
      </w:r>
      <w:r>
        <w:rPr>
          <w:spacing w:val="-29"/>
        </w:rPr>
        <w:t xml:space="preserve"> </w:t>
      </w:r>
      <w:r>
        <w:rPr>
          <w:spacing w:val="-3"/>
        </w:rPr>
        <w:t>discapacidad</w:t>
      </w:r>
      <w:r>
        <w:rPr>
          <w:spacing w:val="-28"/>
        </w:rPr>
        <w:t xml:space="preserve"> </w:t>
      </w:r>
      <w:r>
        <w:rPr>
          <w:spacing w:val="-3"/>
        </w:rPr>
        <w:t>reconocieron</w:t>
      </w:r>
      <w:r>
        <w:rPr>
          <w:spacing w:val="-29"/>
        </w:rPr>
        <w:t xml:space="preserve"> </w:t>
      </w:r>
      <w:r>
        <w:t>la</w:t>
      </w:r>
      <w:r>
        <w:rPr>
          <w:spacing w:val="-29"/>
        </w:rPr>
        <w:t xml:space="preserve"> </w:t>
      </w:r>
      <w:r>
        <w:rPr>
          <w:spacing w:val="-3"/>
        </w:rPr>
        <w:t>necesidad</w:t>
      </w:r>
      <w:r>
        <w:rPr>
          <w:spacing w:val="-29"/>
        </w:rPr>
        <w:t xml:space="preserve"> </w:t>
      </w:r>
      <w:r>
        <w:t>de</w:t>
      </w:r>
      <w:r>
        <w:rPr>
          <w:spacing w:val="-29"/>
        </w:rPr>
        <w:t xml:space="preserve"> </w:t>
      </w:r>
      <w:r>
        <w:rPr>
          <w:spacing w:val="-3"/>
        </w:rPr>
        <w:t>mejorar</w:t>
      </w:r>
      <w:r>
        <w:rPr>
          <w:spacing w:val="-29"/>
        </w:rPr>
        <w:t xml:space="preserve"> </w:t>
      </w:r>
      <w:r>
        <w:rPr>
          <w:spacing w:val="-3"/>
        </w:rPr>
        <w:t>el informe</w:t>
      </w:r>
      <w:r>
        <w:rPr>
          <w:spacing w:val="-21"/>
        </w:rPr>
        <w:t xml:space="preserve"> </w:t>
      </w:r>
      <w:r>
        <w:rPr>
          <w:spacing w:val="-3"/>
        </w:rPr>
        <w:t>público</w:t>
      </w:r>
      <w:r>
        <w:rPr>
          <w:spacing w:val="-20"/>
        </w:rPr>
        <w:t xml:space="preserve"> </w:t>
      </w:r>
      <w:r>
        <w:t>de</w:t>
      </w:r>
      <w:r>
        <w:rPr>
          <w:spacing w:val="-20"/>
        </w:rPr>
        <w:t xml:space="preserve"> </w:t>
      </w:r>
      <w:r>
        <w:t>los</w:t>
      </w:r>
      <w:r>
        <w:rPr>
          <w:spacing w:val="-20"/>
        </w:rPr>
        <w:t xml:space="preserve"> </w:t>
      </w:r>
      <w:r>
        <w:rPr>
          <w:spacing w:val="-3"/>
        </w:rPr>
        <w:t>procesos</w:t>
      </w:r>
      <w:r>
        <w:rPr>
          <w:spacing w:val="-20"/>
        </w:rPr>
        <w:t xml:space="preserve"> </w:t>
      </w:r>
      <w:r>
        <w:t>de</w:t>
      </w:r>
      <w:r>
        <w:rPr>
          <w:spacing w:val="-20"/>
        </w:rPr>
        <w:t xml:space="preserve"> </w:t>
      </w:r>
      <w:r>
        <w:rPr>
          <w:spacing w:val="-3"/>
        </w:rPr>
        <w:t>revisión</w:t>
      </w:r>
      <w:r>
        <w:rPr>
          <w:spacing w:val="-20"/>
        </w:rPr>
        <w:t xml:space="preserve"> </w:t>
      </w:r>
      <w:r>
        <w:t>del</w:t>
      </w:r>
      <w:r>
        <w:rPr>
          <w:spacing w:val="-20"/>
        </w:rPr>
        <w:t xml:space="preserve"> </w:t>
      </w:r>
      <w:r>
        <w:rPr>
          <w:spacing w:val="-3"/>
        </w:rPr>
        <w:t>NDIS.</w:t>
      </w:r>
      <w:r>
        <w:rPr>
          <w:spacing w:val="-3"/>
          <w:position w:val="7"/>
          <w:sz w:val="13"/>
        </w:rPr>
        <w:t>45</w:t>
      </w:r>
      <w:r>
        <w:rPr>
          <w:spacing w:val="6"/>
          <w:position w:val="7"/>
          <w:sz w:val="13"/>
        </w:rPr>
        <w:t xml:space="preserve"> </w:t>
      </w:r>
      <w:r>
        <w:t>El</w:t>
      </w:r>
      <w:r>
        <w:rPr>
          <w:spacing w:val="-20"/>
        </w:rPr>
        <w:t xml:space="preserve"> </w:t>
      </w:r>
      <w:r>
        <w:rPr>
          <w:spacing w:val="-3"/>
        </w:rPr>
        <w:t>Comité</w:t>
      </w:r>
      <w:r>
        <w:rPr>
          <w:spacing w:val="-20"/>
        </w:rPr>
        <w:t xml:space="preserve"> </w:t>
      </w:r>
      <w:r>
        <w:rPr>
          <w:spacing w:val="-3"/>
        </w:rPr>
        <w:t>Permanente</w:t>
      </w:r>
      <w:r>
        <w:rPr>
          <w:spacing w:val="-20"/>
        </w:rPr>
        <w:t xml:space="preserve"> </w:t>
      </w:r>
      <w:r>
        <w:rPr>
          <w:spacing w:val="-3"/>
        </w:rPr>
        <w:t>Conjunto</w:t>
      </w:r>
      <w:r>
        <w:rPr>
          <w:spacing w:val="-20"/>
        </w:rPr>
        <w:t xml:space="preserve"> </w:t>
      </w:r>
      <w:r>
        <w:rPr>
          <w:spacing w:val="-3"/>
        </w:rPr>
        <w:t>sobre</w:t>
      </w:r>
      <w:r>
        <w:rPr>
          <w:spacing w:val="-20"/>
        </w:rPr>
        <w:t xml:space="preserve"> </w:t>
      </w:r>
      <w:r>
        <w:t>el</w:t>
      </w:r>
      <w:r>
        <w:rPr>
          <w:spacing w:val="-21"/>
        </w:rPr>
        <w:t xml:space="preserve"> </w:t>
      </w:r>
      <w:r>
        <w:rPr>
          <w:spacing w:val="-3"/>
        </w:rPr>
        <w:t>NDIS recomendó</w:t>
      </w:r>
      <w:r>
        <w:rPr>
          <w:spacing w:val="-22"/>
        </w:rPr>
        <w:t xml:space="preserve"> </w:t>
      </w:r>
      <w:r>
        <w:t>que</w:t>
      </w:r>
      <w:r>
        <w:rPr>
          <w:spacing w:val="-22"/>
        </w:rPr>
        <w:t xml:space="preserve"> </w:t>
      </w:r>
      <w:r>
        <w:t>se</w:t>
      </w:r>
      <w:r>
        <w:rPr>
          <w:spacing w:val="-22"/>
        </w:rPr>
        <w:t xml:space="preserve"> </w:t>
      </w:r>
      <w:r>
        <w:rPr>
          <w:spacing w:val="-3"/>
        </w:rPr>
        <w:t>debe</w:t>
      </w:r>
      <w:r>
        <w:rPr>
          <w:spacing w:val="-22"/>
        </w:rPr>
        <w:t xml:space="preserve"> </w:t>
      </w:r>
      <w:r>
        <w:rPr>
          <w:spacing w:val="-3"/>
        </w:rPr>
        <w:t>agregar</w:t>
      </w:r>
      <w:r>
        <w:rPr>
          <w:spacing w:val="-21"/>
        </w:rPr>
        <w:t xml:space="preserve"> </w:t>
      </w:r>
      <w:r>
        <w:t>un</w:t>
      </w:r>
      <w:r>
        <w:rPr>
          <w:spacing w:val="-22"/>
        </w:rPr>
        <w:t xml:space="preserve"> </w:t>
      </w:r>
      <w:r>
        <w:rPr>
          <w:spacing w:val="-3"/>
        </w:rPr>
        <w:t>principio</w:t>
      </w:r>
      <w:r>
        <w:rPr>
          <w:spacing w:val="-22"/>
        </w:rPr>
        <w:t xml:space="preserve"> </w:t>
      </w:r>
      <w:r>
        <w:t>a</w:t>
      </w:r>
      <w:r>
        <w:rPr>
          <w:spacing w:val="-22"/>
        </w:rPr>
        <w:t xml:space="preserve"> </w:t>
      </w:r>
      <w:r>
        <w:t>la</w:t>
      </w:r>
      <w:r>
        <w:rPr>
          <w:spacing w:val="-20"/>
        </w:rPr>
        <w:t xml:space="preserve"> </w:t>
      </w:r>
      <w:r>
        <w:rPr>
          <w:i/>
        </w:rPr>
        <w:t>Ley</w:t>
      </w:r>
      <w:r>
        <w:rPr>
          <w:i/>
          <w:spacing w:val="-22"/>
        </w:rPr>
        <w:t xml:space="preserve"> </w:t>
      </w:r>
      <w:r>
        <w:rPr>
          <w:i/>
        </w:rPr>
        <w:t>del</w:t>
      </w:r>
      <w:r>
        <w:rPr>
          <w:i/>
          <w:spacing w:val="-21"/>
        </w:rPr>
        <w:t xml:space="preserve"> </w:t>
      </w:r>
      <w:r>
        <w:rPr>
          <w:i/>
          <w:spacing w:val="-3"/>
        </w:rPr>
        <w:t>NDIS</w:t>
      </w:r>
      <w:r>
        <w:rPr>
          <w:i/>
          <w:spacing w:val="-21"/>
        </w:rPr>
        <w:t xml:space="preserve"> </w:t>
      </w:r>
      <w:r>
        <w:rPr>
          <w:spacing w:val="-3"/>
        </w:rPr>
        <w:t>para</w:t>
      </w:r>
      <w:r>
        <w:rPr>
          <w:spacing w:val="-22"/>
        </w:rPr>
        <w:t xml:space="preserve"> </w:t>
      </w:r>
      <w:r>
        <w:rPr>
          <w:spacing w:val="-3"/>
        </w:rPr>
        <w:t>garantizar</w:t>
      </w:r>
      <w:r>
        <w:rPr>
          <w:spacing w:val="-21"/>
        </w:rPr>
        <w:t xml:space="preserve"> </w:t>
      </w:r>
      <w:r>
        <w:t>que</w:t>
      </w:r>
      <w:r>
        <w:rPr>
          <w:spacing w:val="-22"/>
        </w:rPr>
        <w:t xml:space="preserve"> </w:t>
      </w:r>
      <w:r>
        <w:t>el</w:t>
      </w:r>
      <w:r>
        <w:rPr>
          <w:spacing w:val="-22"/>
        </w:rPr>
        <w:t xml:space="preserve"> </w:t>
      </w:r>
      <w:r>
        <w:rPr>
          <w:spacing w:val="-3"/>
        </w:rPr>
        <w:t>N</w:t>
      </w:r>
      <w:bookmarkStart w:id="18" w:name="_GoBack"/>
      <w:bookmarkEnd w:id="18"/>
      <w:r>
        <w:rPr>
          <w:spacing w:val="-3"/>
        </w:rPr>
        <w:t>DIA</w:t>
      </w:r>
      <w:r>
        <w:rPr>
          <w:spacing w:val="-30"/>
        </w:rPr>
        <w:t xml:space="preserve"> </w:t>
      </w:r>
      <w:r>
        <w:rPr>
          <w:spacing w:val="-3"/>
        </w:rPr>
        <w:t>colabore</w:t>
      </w:r>
      <w:r>
        <w:rPr>
          <w:spacing w:val="-21"/>
        </w:rPr>
        <w:t xml:space="preserve"> </w:t>
      </w:r>
      <w:r>
        <w:rPr>
          <w:spacing w:val="-3"/>
        </w:rPr>
        <w:t xml:space="preserve">con </w:t>
      </w:r>
      <w:r>
        <w:t>las</w:t>
      </w:r>
      <w:r>
        <w:rPr>
          <w:spacing w:val="-22"/>
        </w:rPr>
        <w:t xml:space="preserve"> </w:t>
      </w:r>
      <w:r>
        <w:rPr>
          <w:spacing w:val="-3"/>
        </w:rPr>
        <w:t>pers</w:t>
      </w:r>
      <w:r w:rsidR="00CA0FE5">
        <w:rPr>
          <w:spacing w:val="-3"/>
        </w:rPr>
        <w:t>xs</w:t>
      </w:r>
      <w:r>
        <w:rPr>
          <w:spacing w:val="-3"/>
        </w:rPr>
        <w:t>onas</w:t>
      </w:r>
      <w:r>
        <w:rPr>
          <w:spacing w:val="-21"/>
        </w:rPr>
        <w:t xml:space="preserve"> </w:t>
      </w:r>
      <w:r>
        <w:t>con</w:t>
      </w:r>
      <w:r>
        <w:rPr>
          <w:spacing w:val="-22"/>
        </w:rPr>
        <w:t xml:space="preserve"> </w:t>
      </w:r>
      <w:r>
        <w:rPr>
          <w:spacing w:val="-3"/>
        </w:rPr>
        <w:t>discapacidad</w:t>
      </w:r>
      <w:r>
        <w:rPr>
          <w:spacing w:val="-21"/>
        </w:rPr>
        <w:t xml:space="preserve"> </w:t>
      </w:r>
      <w:r>
        <w:t>en</w:t>
      </w:r>
      <w:r>
        <w:rPr>
          <w:spacing w:val="-22"/>
        </w:rPr>
        <w:t xml:space="preserve"> </w:t>
      </w:r>
      <w:r>
        <w:t>el</w:t>
      </w:r>
      <w:r>
        <w:rPr>
          <w:spacing w:val="-21"/>
        </w:rPr>
        <w:t xml:space="preserve"> </w:t>
      </w:r>
      <w:r>
        <w:rPr>
          <w:spacing w:val="-3"/>
        </w:rPr>
        <w:t>desarrollo</w:t>
      </w:r>
      <w:r>
        <w:rPr>
          <w:spacing w:val="-22"/>
        </w:rPr>
        <w:t xml:space="preserve"> </w:t>
      </w:r>
      <w:r>
        <w:t>y</w:t>
      </w:r>
      <w:r>
        <w:rPr>
          <w:spacing w:val="-21"/>
        </w:rPr>
        <w:t xml:space="preserve"> </w:t>
      </w:r>
      <w:r>
        <w:t>la</w:t>
      </w:r>
      <w:r>
        <w:rPr>
          <w:spacing w:val="-22"/>
        </w:rPr>
        <w:t xml:space="preserve"> </w:t>
      </w:r>
      <w:r>
        <w:rPr>
          <w:spacing w:val="-3"/>
        </w:rPr>
        <w:t>revisión</w:t>
      </w:r>
      <w:r>
        <w:rPr>
          <w:spacing w:val="-21"/>
        </w:rPr>
        <w:t xml:space="preserve"> </w:t>
      </w:r>
      <w:r>
        <w:t>de</w:t>
      </w:r>
      <w:r>
        <w:rPr>
          <w:spacing w:val="-22"/>
        </w:rPr>
        <w:t xml:space="preserve"> </w:t>
      </w:r>
      <w:r>
        <w:t>sus</w:t>
      </w:r>
      <w:r>
        <w:rPr>
          <w:spacing w:val="-21"/>
        </w:rPr>
        <w:t xml:space="preserve"> </w:t>
      </w:r>
      <w:r>
        <w:rPr>
          <w:spacing w:val="-3"/>
        </w:rPr>
        <w:t>planes</w:t>
      </w:r>
      <w:r>
        <w:rPr>
          <w:spacing w:val="-22"/>
        </w:rPr>
        <w:t xml:space="preserve"> </w:t>
      </w:r>
      <w:r>
        <w:t>y</w:t>
      </w:r>
      <w:r>
        <w:rPr>
          <w:spacing w:val="-21"/>
        </w:rPr>
        <w:t xml:space="preserve"> </w:t>
      </w:r>
      <w:r>
        <w:rPr>
          <w:spacing w:val="-3"/>
        </w:rPr>
        <w:t>directrices</w:t>
      </w:r>
      <w:r>
        <w:rPr>
          <w:spacing w:val="-22"/>
        </w:rPr>
        <w:t xml:space="preserve"> </w:t>
      </w:r>
      <w:r>
        <w:rPr>
          <w:spacing w:val="-3"/>
        </w:rPr>
        <w:t>operacionales.</w:t>
      </w:r>
      <w:r>
        <w:rPr>
          <w:spacing w:val="-3"/>
          <w:position w:val="7"/>
          <w:sz w:val="13"/>
        </w:rPr>
        <w:t>46</w:t>
      </w:r>
    </w:p>
    <w:p w:rsidR="007A0A6C" w:rsidRDefault="007A0A6C">
      <w:pPr>
        <w:spacing w:line="247" w:lineRule="auto"/>
        <w:rPr>
          <w:sz w:val="13"/>
        </w:rPr>
        <w:sectPr w:rsidR="007A0A6C">
          <w:pgSz w:w="11910" w:h="16840"/>
          <w:pgMar w:top="580" w:right="440" w:bottom="540" w:left="380" w:header="0" w:footer="343" w:gutter="0"/>
          <w:cols w:space="720"/>
        </w:sectPr>
      </w:pPr>
    </w:p>
    <w:p w:rsidR="007A0A6C" w:rsidRDefault="00660E26">
      <w:pPr>
        <w:pStyle w:val="Heading2"/>
        <w:tabs>
          <w:tab w:val="left" w:pos="10805"/>
        </w:tabs>
        <w:spacing w:before="82"/>
      </w:pPr>
      <w:r>
        <w:rPr>
          <w:color w:val="FFFFFF"/>
          <w:spacing w:val="-37"/>
          <w:shd w:val="clear" w:color="auto" w:fill="4C418E"/>
        </w:rPr>
        <w:lastRenderedPageBreak/>
        <w:t xml:space="preserve"> </w:t>
      </w:r>
      <w:r>
        <w:rPr>
          <w:color w:val="FFFFFF"/>
          <w:shd w:val="clear" w:color="auto" w:fill="4C418E"/>
        </w:rPr>
        <w:t>Recomendaciones</w:t>
      </w:r>
      <w:r>
        <w:rPr>
          <w:color w:val="FFFFFF"/>
          <w:shd w:val="clear" w:color="auto" w:fill="4C418E"/>
        </w:rPr>
        <w:tab/>
      </w:r>
    </w:p>
    <w:p w:rsidR="007A0A6C" w:rsidRDefault="00660E26">
      <w:pPr>
        <w:pStyle w:val="BodyText"/>
        <w:spacing w:before="179"/>
        <w:ind w:left="340"/>
      </w:pPr>
      <w:r>
        <w:t>Que Australia:</w:t>
      </w:r>
    </w:p>
    <w:p w:rsidR="007A0A6C" w:rsidRDefault="00660E26">
      <w:pPr>
        <w:pStyle w:val="ListParagraph"/>
        <w:numPr>
          <w:ilvl w:val="1"/>
          <w:numId w:val="15"/>
        </w:numPr>
        <w:tabs>
          <w:tab w:val="left" w:pos="1085"/>
        </w:tabs>
        <w:spacing w:before="88"/>
        <w:ind w:hanging="180"/>
      </w:pPr>
      <w:r>
        <w:t>Retire las Declaraciones Interpretativas relativas a los Artículos 12, 17 y 18 de la</w:t>
      </w:r>
      <w:r>
        <w:rPr>
          <w:spacing w:val="-33"/>
        </w:rPr>
        <w:t xml:space="preserve"> </w:t>
      </w:r>
      <w:r>
        <w:t>CRPD.</w:t>
      </w:r>
    </w:p>
    <w:p w:rsidR="007A0A6C" w:rsidRDefault="00660E26">
      <w:pPr>
        <w:pStyle w:val="ListParagraph"/>
        <w:numPr>
          <w:ilvl w:val="1"/>
          <w:numId w:val="15"/>
        </w:numPr>
        <w:tabs>
          <w:tab w:val="left" w:pos="1085"/>
        </w:tabs>
        <w:spacing w:before="124" w:line="244" w:lineRule="auto"/>
        <w:ind w:right="390" w:hanging="180"/>
      </w:pPr>
      <w:r>
        <w:t>En colaboración con las personas con discapacidad, a través de sus organizaciones representativas, establezca un mecanismo de aplicación y supervisión permanente para garantizar la participación productiva en la elaboración e implementación de la legislación y de las políticas para la aplicación de la</w:t>
      </w:r>
      <w:r>
        <w:rPr>
          <w:spacing w:val="-6"/>
        </w:rPr>
        <w:t xml:space="preserve"> </w:t>
      </w:r>
      <w:r>
        <w:t>CRPD.</w:t>
      </w:r>
    </w:p>
    <w:p w:rsidR="007A0A6C" w:rsidRDefault="00660E26">
      <w:pPr>
        <w:pStyle w:val="ListParagraph"/>
        <w:numPr>
          <w:ilvl w:val="1"/>
          <w:numId w:val="15"/>
        </w:numPr>
        <w:tabs>
          <w:tab w:val="left" w:pos="1085"/>
        </w:tabs>
        <w:spacing w:before="124" w:line="244" w:lineRule="auto"/>
        <w:ind w:right="413" w:hanging="180"/>
        <w:jc w:val="both"/>
      </w:pPr>
      <w:r>
        <w:t>Conforme al Comentario General 7 de la CRPD, garantice que las organizaciones representativas de las personas con discapacidad tengan recursos adecuados para participar de manera eficaz en las actividades de aplicación y</w:t>
      </w:r>
      <w:r>
        <w:rPr>
          <w:spacing w:val="-6"/>
        </w:rPr>
        <w:t xml:space="preserve"> </w:t>
      </w:r>
      <w:r>
        <w:t>supervisión.</w:t>
      </w:r>
    </w:p>
    <w:p w:rsidR="007A0A6C" w:rsidRDefault="00660E26">
      <w:pPr>
        <w:pStyle w:val="ListParagraph"/>
        <w:numPr>
          <w:ilvl w:val="1"/>
          <w:numId w:val="15"/>
        </w:numPr>
        <w:tabs>
          <w:tab w:val="left" w:pos="1085"/>
        </w:tabs>
        <w:spacing w:before="123" w:line="244" w:lineRule="auto"/>
        <w:ind w:right="498" w:hanging="180"/>
      </w:pPr>
      <w:r>
        <w:t>Garantice que todas las personas con discapacidad tengan acceso a una defensa independiente, con recursos adecuados para hacer valer y ejercer sus derechos humanos y sus libertades fundamentales en virtud de la</w:t>
      </w:r>
      <w:r>
        <w:rPr>
          <w:spacing w:val="-4"/>
        </w:rPr>
        <w:t xml:space="preserve"> </w:t>
      </w:r>
      <w:r>
        <w:t>CRPD.</w:t>
      </w:r>
    </w:p>
    <w:p w:rsidR="007A0A6C" w:rsidRDefault="00660E26">
      <w:pPr>
        <w:pStyle w:val="ListParagraph"/>
        <w:numPr>
          <w:ilvl w:val="1"/>
          <w:numId w:val="15"/>
        </w:numPr>
        <w:tabs>
          <w:tab w:val="left" w:pos="1085"/>
        </w:tabs>
        <w:spacing w:before="122" w:line="244" w:lineRule="auto"/>
        <w:ind w:right="340" w:hanging="180"/>
      </w:pPr>
      <w:r>
        <w:t>Garantice que la nueva NDS tenga recursos adecuados, sea elaborada en un marco interseccional y contenga resultados mensurables, un marco de responsabilidad, y medidas para garantizar el desglose de datos en todas las áreas de la</w:t>
      </w:r>
      <w:r>
        <w:rPr>
          <w:spacing w:val="-12"/>
        </w:rPr>
        <w:t xml:space="preserve"> </w:t>
      </w:r>
      <w:r>
        <w:t>política.</w:t>
      </w:r>
    </w:p>
    <w:p w:rsidR="007A0A6C" w:rsidRDefault="00660E26">
      <w:pPr>
        <w:pStyle w:val="ListParagraph"/>
        <w:numPr>
          <w:ilvl w:val="1"/>
          <w:numId w:val="15"/>
        </w:numPr>
        <w:tabs>
          <w:tab w:val="left" w:pos="1085"/>
        </w:tabs>
        <w:spacing w:before="123" w:line="244" w:lineRule="auto"/>
        <w:ind w:right="586" w:hanging="180"/>
      </w:pPr>
      <w:r>
        <w:t>Establezca un alto nivel de independencia de la Oficina para la Inclusión de Personas con Discapacidad para impulsar a la NDS en todo el gobierno y para garantizar el cumplimiento de la CRPD.</w:t>
      </w:r>
    </w:p>
    <w:p w:rsidR="007A0A6C" w:rsidRDefault="00660E26">
      <w:pPr>
        <w:pStyle w:val="ListParagraph"/>
        <w:numPr>
          <w:ilvl w:val="1"/>
          <w:numId w:val="15"/>
        </w:numPr>
        <w:tabs>
          <w:tab w:val="left" w:pos="1085"/>
        </w:tabs>
        <w:spacing w:before="122" w:line="242" w:lineRule="auto"/>
        <w:ind w:right="450" w:hanging="180"/>
      </w:pPr>
      <w:r>
        <w:t>Aborde la desigualdad en el NDIS para los grupos marginados y elabore una Estrategia relativa al Género del</w:t>
      </w:r>
      <w:r>
        <w:rPr>
          <w:spacing w:val="-2"/>
        </w:rPr>
        <w:t xml:space="preserve"> </w:t>
      </w:r>
      <w:r>
        <w:t>NDIS.</w:t>
      </w:r>
    </w:p>
    <w:p w:rsidR="007A0A6C" w:rsidRDefault="00660E26">
      <w:pPr>
        <w:pStyle w:val="ListParagraph"/>
        <w:numPr>
          <w:ilvl w:val="1"/>
          <w:numId w:val="15"/>
        </w:numPr>
        <w:tabs>
          <w:tab w:val="left" w:pos="1085"/>
        </w:tabs>
        <w:spacing w:before="126" w:line="242" w:lineRule="auto"/>
        <w:ind w:right="1380" w:hanging="180"/>
      </w:pPr>
      <w:r>
        <w:t>Modifique la Ley del NDIS para incluir un principio de colaboración con las personas con discapacidad y con sus organizaciones</w:t>
      </w:r>
      <w:r>
        <w:rPr>
          <w:spacing w:val="-5"/>
        </w:rPr>
        <w:t xml:space="preserve"> </w:t>
      </w:r>
      <w:r>
        <w:t>representativas.</w:t>
      </w:r>
    </w:p>
    <w:p w:rsidR="007A0A6C" w:rsidRDefault="007A0A6C">
      <w:pPr>
        <w:spacing w:line="242" w:lineRule="auto"/>
        <w:sectPr w:rsidR="007A0A6C">
          <w:pgSz w:w="11910" w:h="16840"/>
          <w:pgMar w:top="640" w:right="440" w:bottom="540" w:left="380" w:header="0" w:footer="343" w:gutter="0"/>
          <w:cols w:space="720"/>
        </w:sectPr>
      </w:pPr>
    </w:p>
    <w:p w:rsidR="007A0A6C" w:rsidRDefault="00660E26">
      <w:pPr>
        <w:pStyle w:val="Heading1"/>
        <w:tabs>
          <w:tab w:val="left" w:pos="10802"/>
        </w:tabs>
      </w:pPr>
      <w:bookmarkStart w:id="19" w:name="Igualdad_y_no_discriminación_(artículo_5"/>
      <w:bookmarkStart w:id="20" w:name="_bookmark6"/>
      <w:bookmarkEnd w:id="19"/>
      <w:bookmarkEnd w:id="20"/>
      <w:r>
        <w:rPr>
          <w:color w:val="FFFFFF"/>
          <w:spacing w:val="-59"/>
          <w:shd w:val="clear" w:color="auto" w:fill="B31D30"/>
        </w:rPr>
        <w:lastRenderedPageBreak/>
        <w:t xml:space="preserve"> </w:t>
      </w:r>
      <w:bookmarkStart w:id="21" w:name="_Toc15026983"/>
      <w:bookmarkStart w:id="22" w:name="_Toc15027123"/>
      <w:r>
        <w:rPr>
          <w:color w:val="FFFFFF"/>
          <w:shd w:val="clear" w:color="auto" w:fill="B31D30"/>
        </w:rPr>
        <w:t>Igualdad y no discriminación (artículo</w:t>
      </w:r>
      <w:r>
        <w:rPr>
          <w:color w:val="FFFFFF"/>
          <w:spacing w:val="-30"/>
          <w:shd w:val="clear" w:color="auto" w:fill="B31D30"/>
        </w:rPr>
        <w:t xml:space="preserve"> </w:t>
      </w:r>
      <w:r>
        <w:rPr>
          <w:color w:val="FFFFFF"/>
          <w:shd w:val="clear" w:color="auto" w:fill="B31D30"/>
        </w:rPr>
        <w:t>5)</w:t>
      </w:r>
      <w:bookmarkEnd w:id="21"/>
      <w:bookmarkEnd w:id="22"/>
      <w:r>
        <w:rPr>
          <w:color w:val="FFFFFF"/>
          <w:shd w:val="clear" w:color="auto" w:fill="B31D30"/>
        </w:rPr>
        <w:tab/>
      </w:r>
    </w:p>
    <w:p w:rsidR="007A0A6C" w:rsidRDefault="00660E26">
      <w:pPr>
        <w:pStyle w:val="ListParagraph"/>
        <w:numPr>
          <w:ilvl w:val="0"/>
          <w:numId w:val="14"/>
        </w:numPr>
        <w:tabs>
          <w:tab w:val="left" w:pos="1059"/>
          <w:tab w:val="left" w:pos="1060"/>
        </w:tabs>
        <w:spacing w:before="181" w:line="247" w:lineRule="auto"/>
        <w:ind w:right="378"/>
        <w:rPr>
          <w:sz w:val="13"/>
        </w:rPr>
      </w:pPr>
      <w:r>
        <w:t>Más de un 75 % de las personas con discapacidad informan que sufren de discriminación debido a su</w:t>
      </w:r>
      <w:r>
        <w:rPr>
          <w:spacing w:val="-1"/>
        </w:rPr>
        <w:t xml:space="preserve"> </w:t>
      </w:r>
      <w:r>
        <w:t>impedimento.</w:t>
      </w:r>
      <w:r>
        <w:rPr>
          <w:position w:val="7"/>
          <w:sz w:val="13"/>
        </w:rPr>
        <w:t>47</w:t>
      </w:r>
    </w:p>
    <w:p w:rsidR="007A0A6C" w:rsidRDefault="00660E26">
      <w:pPr>
        <w:pStyle w:val="BodyText"/>
        <w:spacing w:before="139" w:line="247" w:lineRule="auto"/>
        <w:ind w:right="390"/>
        <w:jc w:val="both"/>
        <w:rPr>
          <w:sz w:val="13"/>
        </w:rPr>
      </w:pPr>
      <w:r>
        <w:t>Dado que no existe una Carta de Derechos o una Ley de Derechos Humanos a nivel federal,</w:t>
      </w:r>
      <w:r>
        <w:rPr>
          <w:position w:val="7"/>
          <w:sz w:val="13"/>
        </w:rPr>
        <w:t xml:space="preserve">48 </w:t>
      </w:r>
      <w:r>
        <w:t>aún existen vacíos legales importantes con respecto a la protección de los derechos humanos para las personas con discapacidad.</w:t>
      </w:r>
      <w:r>
        <w:rPr>
          <w:position w:val="7"/>
          <w:sz w:val="13"/>
        </w:rPr>
        <w:t>49</w:t>
      </w:r>
    </w:p>
    <w:p w:rsidR="007A0A6C" w:rsidRDefault="00660E26">
      <w:pPr>
        <w:pStyle w:val="BodyText"/>
        <w:spacing w:before="138" w:line="247" w:lineRule="auto"/>
        <w:ind w:right="675"/>
      </w:pPr>
      <w:r>
        <w:t xml:space="preserve">La legislación contra la discriminación existente de la </w:t>
      </w:r>
      <w:r>
        <w:rPr>
          <w:i/>
        </w:rPr>
        <w:t xml:space="preserve">Commonwealth </w:t>
      </w:r>
      <w:r>
        <w:t>y de la mayoría de los Estados/Territorios no protege ni contra la discriminación interseccional y sistémica, ni contra los delitos de difamación por razones de discapacidad. No existen medidas legislativas eficaces</w:t>
      </w:r>
    </w:p>
    <w:p w:rsidR="007A0A6C" w:rsidRDefault="00660E26">
      <w:pPr>
        <w:pStyle w:val="BodyText"/>
        <w:spacing w:line="247" w:lineRule="auto"/>
        <w:ind w:right="593"/>
      </w:pPr>
      <w:r>
        <w:t>para abordar la lucha contra la discriminación interseccional. Las DPO y otros grupos no pueden presentar quejas de representantes en virtud de la DDA.</w:t>
      </w:r>
    </w:p>
    <w:p w:rsidR="007A0A6C" w:rsidRDefault="00660E26">
      <w:pPr>
        <w:pStyle w:val="BodyText"/>
        <w:spacing w:before="138" w:line="247" w:lineRule="auto"/>
        <w:ind w:right="519"/>
        <w:rPr>
          <w:sz w:val="13"/>
        </w:rPr>
      </w:pPr>
      <w:r>
        <w:t>La denegación de una adaptación razonable es una forma de discriminación en virtud de la DDA. Sin embargo, en un caso reciente que tuvo lugar en los tribunales</w:t>
      </w:r>
      <w:r>
        <w:rPr>
          <w:position w:val="7"/>
          <w:sz w:val="13"/>
        </w:rPr>
        <w:t xml:space="preserve">50 </w:t>
      </w:r>
      <w:r>
        <w:t>se constató que una persona con discapacidad debía demostrar, a fin de que constituya discriminación, que la denegación del alojamiento razonable se debía al impedimento de la persona. Esto redunda en la ineficacia de la DDA para abordar la denegación de un alojamiento razonable.</w:t>
      </w:r>
      <w:r>
        <w:rPr>
          <w:position w:val="7"/>
          <w:sz w:val="13"/>
        </w:rPr>
        <w:t>51</w:t>
      </w:r>
    </w:p>
    <w:p w:rsidR="007A0A6C" w:rsidRDefault="00660E26">
      <w:pPr>
        <w:pStyle w:val="Heading2"/>
        <w:tabs>
          <w:tab w:val="left" w:pos="10802"/>
        </w:tabs>
        <w:spacing w:before="206"/>
      </w:pPr>
      <w:r>
        <w:rPr>
          <w:color w:val="FFFFFF"/>
          <w:spacing w:val="-37"/>
          <w:shd w:val="clear" w:color="auto" w:fill="4C418E"/>
        </w:rPr>
        <w:t xml:space="preserve"> </w:t>
      </w:r>
      <w:r>
        <w:rPr>
          <w:color w:val="FFFFFF"/>
          <w:shd w:val="clear" w:color="auto" w:fill="4C418E"/>
        </w:rPr>
        <w:t>Recomendaciones</w:t>
      </w:r>
      <w:r>
        <w:rPr>
          <w:color w:val="FFFFFF"/>
          <w:shd w:val="clear" w:color="auto" w:fill="4C418E"/>
        </w:rPr>
        <w:tab/>
      </w:r>
    </w:p>
    <w:p w:rsidR="007A0A6C" w:rsidRDefault="00660E26">
      <w:pPr>
        <w:pStyle w:val="BodyText"/>
        <w:spacing w:before="179"/>
        <w:ind w:left="340"/>
      </w:pPr>
      <w:r>
        <w:t>Que Australia:</w:t>
      </w:r>
    </w:p>
    <w:p w:rsidR="007A0A6C" w:rsidRDefault="00660E26">
      <w:pPr>
        <w:pStyle w:val="ListParagraph"/>
        <w:numPr>
          <w:ilvl w:val="1"/>
          <w:numId w:val="14"/>
        </w:numPr>
        <w:tabs>
          <w:tab w:val="left" w:pos="1085"/>
        </w:tabs>
        <w:spacing w:before="88" w:line="242" w:lineRule="auto"/>
        <w:ind w:right="733" w:hanging="180"/>
      </w:pPr>
      <w:r>
        <w:t>Establezca una Ley de Derechos Humanos legalmente exigible, que incorpore las obligaciones australianas en virtud de la CRPD y de otros tratados sobre derechos</w:t>
      </w:r>
      <w:r>
        <w:rPr>
          <w:spacing w:val="-20"/>
        </w:rPr>
        <w:t xml:space="preserve"> </w:t>
      </w:r>
      <w:r>
        <w:t>humanos.</w:t>
      </w:r>
    </w:p>
    <w:p w:rsidR="007A0A6C" w:rsidRDefault="00660E26">
      <w:pPr>
        <w:pStyle w:val="ListParagraph"/>
        <w:numPr>
          <w:ilvl w:val="1"/>
          <w:numId w:val="14"/>
        </w:numPr>
        <w:tabs>
          <w:tab w:val="left" w:pos="1085"/>
        </w:tabs>
        <w:spacing w:before="126" w:line="244" w:lineRule="auto"/>
        <w:ind w:right="354" w:hanging="180"/>
      </w:pPr>
      <w:r>
        <w:t>Fortalezca las leyes contra la discriminación para abordar la lucha contra la discriminación interseccional; para que se puedan escuchar las quejas por parte de las DPO y de las organizaciones de defensa; y para que se permita la denuncia de delitos motivados por prejuicios y difamación por razones de</w:t>
      </w:r>
      <w:r>
        <w:rPr>
          <w:spacing w:val="-5"/>
        </w:rPr>
        <w:t xml:space="preserve"> </w:t>
      </w:r>
      <w:r>
        <w:t>discapacidad.</w:t>
      </w:r>
    </w:p>
    <w:p w:rsidR="007A0A6C" w:rsidRDefault="00660E26">
      <w:pPr>
        <w:pStyle w:val="ListParagraph"/>
        <w:numPr>
          <w:ilvl w:val="1"/>
          <w:numId w:val="14"/>
        </w:numPr>
        <w:tabs>
          <w:tab w:val="left" w:pos="1085"/>
        </w:tabs>
        <w:spacing w:before="124" w:line="242" w:lineRule="auto"/>
        <w:ind w:right="463" w:hanging="180"/>
      </w:pPr>
      <w:r>
        <w:t>Modifique</w:t>
      </w:r>
      <w:r>
        <w:rPr>
          <w:spacing w:val="-5"/>
        </w:rPr>
        <w:t xml:space="preserve"> </w:t>
      </w:r>
      <w:r>
        <w:t>la</w:t>
      </w:r>
      <w:r>
        <w:rPr>
          <w:spacing w:val="-5"/>
        </w:rPr>
        <w:t xml:space="preserve"> </w:t>
      </w:r>
      <w:r>
        <w:t>DDA</w:t>
      </w:r>
      <w:r>
        <w:rPr>
          <w:spacing w:val="-15"/>
        </w:rPr>
        <w:t xml:space="preserve"> </w:t>
      </w:r>
      <w:r>
        <w:t>para</w:t>
      </w:r>
      <w:r>
        <w:rPr>
          <w:spacing w:val="-5"/>
        </w:rPr>
        <w:t xml:space="preserve"> </w:t>
      </w:r>
      <w:r>
        <w:t>garantizar</w:t>
      </w:r>
      <w:r>
        <w:rPr>
          <w:spacing w:val="-5"/>
        </w:rPr>
        <w:t xml:space="preserve"> </w:t>
      </w:r>
      <w:r>
        <w:t>que</w:t>
      </w:r>
      <w:r>
        <w:rPr>
          <w:spacing w:val="-5"/>
        </w:rPr>
        <w:t xml:space="preserve"> </w:t>
      </w:r>
      <w:r>
        <w:t>las</w:t>
      </w:r>
      <w:r>
        <w:rPr>
          <w:spacing w:val="-5"/>
        </w:rPr>
        <w:t xml:space="preserve"> </w:t>
      </w:r>
      <w:r>
        <w:t>personas</w:t>
      </w:r>
      <w:r>
        <w:rPr>
          <w:spacing w:val="-5"/>
        </w:rPr>
        <w:t xml:space="preserve"> </w:t>
      </w:r>
      <w:r>
        <w:t>con</w:t>
      </w:r>
      <w:r>
        <w:rPr>
          <w:spacing w:val="-4"/>
        </w:rPr>
        <w:t xml:space="preserve"> </w:t>
      </w:r>
      <w:r>
        <w:t>discapacidad</w:t>
      </w:r>
      <w:r>
        <w:rPr>
          <w:spacing w:val="-6"/>
        </w:rPr>
        <w:t xml:space="preserve"> </w:t>
      </w:r>
      <w:r>
        <w:t>puedan</w:t>
      </w:r>
      <w:r>
        <w:rPr>
          <w:spacing w:val="-5"/>
        </w:rPr>
        <w:t xml:space="preserve"> </w:t>
      </w:r>
      <w:r>
        <w:t>presentar</w:t>
      </w:r>
      <w:r>
        <w:rPr>
          <w:spacing w:val="-5"/>
        </w:rPr>
        <w:t xml:space="preserve"> </w:t>
      </w:r>
      <w:r>
        <w:t>quejas</w:t>
      </w:r>
      <w:r>
        <w:rPr>
          <w:spacing w:val="-5"/>
        </w:rPr>
        <w:t xml:space="preserve"> </w:t>
      </w:r>
      <w:r>
        <w:t>de manera eficaz sobre la denegación de un alojamiento</w:t>
      </w:r>
      <w:r>
        <w:rPr>
          <w:spacing w:val="-10"/>
        </w:rPr>
        <w:t xml:space="preserve"> </w:t>
      </w:r>
      <w:r>
        <w:t>razonable.</w:t>
      </w:r>
    </w:p>
    <w:p w:rsidR="007A0A6C" w:rsidRDefault="007A0A6C">
      <w:pPr>
        <w:spacing w:line="242" w:lineRule="auto"/>
        <w:sectPr w:rsidR="007A0A6C">
          <w:pgSz w:w="11910" w:h="16840"/>
          <w:pgMar w:top="620" w:right="440" w:bottom="540" w:left="380" w:header="0" w:footer="343" w:gutter="0"/>
          <w:cols w:space="720"/>
        </w:sectPr>
      </w:pPr>
    </w:p>
    <w:p w:rsidR="007A0A6C" w:rsidRDefault="00660E26">
      <w:pPr>
        <w:pStyle w:val="Heading1"/>
        <w:tabs>
          <w:tab w:val="left" w:pos="10805"/>
        </w:tabs>
      </w:pPr>
      <w:bookmarkStart w:id="23" w:name="Mujeres_con_discapacidad_(artículo_6)"/>
      <w:bookmarkStart w:id="24" w:name="_bookmark7"/>
      <w:bookmarkEnd w:id="23"/>
      <w:bookmarkEnd w:id="24"/>
      <w:r>
        <w:rPr>
          <w:color w:val="FFFFFF"/>
          <w:spacing w:val="-59"/>
          <w:shd w:val="clear" w:color="auto" w:fill="B31D30"/>
        </w:rPr>
        <w:lastRenderedPageBreak/>
        <w:t xml:space="preserve"> </w:t>
      </w:r>
      <w:bookmarkStart w:id="25" w:name="_Toc15026984"/>
      <w:bookmarkStart w:id="26" w:name="_Toc15027124"/>
      <w:r>
        <w:rPr>
          <w:color w:val="FFFFFF"/>
          <w:shd w:val="clear" w:color="auto" w:fill="B31D30"/>
        </w:rPr>
        <w:t>Mujeres con discapacidad (artículo</w:t>
      </w:r>
      <w:r>
        <w:rPr>
          <w:color w:val="FFFFFF"/>
          <w:spacing w:val="-16"/>
          <w:shd w:val="clear" w:color="auto" w:fill="B31D30"/>
        </w:rPr>
        <w:t xml:space="preserve"> </w:t>
      </w:r>
      <w:r>
        <w:rPr>
          <w:color w:val="FFFFFF"/>
          <w:shd w:val="clear" w:color="auto" w:fill="B31D30"/>
        </w:rPr>
        <w:t>6)</w:t>
      </w:r>
      <w:bookmarkEnd w:id="25"/>
      <w:bookmarkEnd w:id="26"/>
      <w:r>
        <w:rPr>
          <w:color w:val="FFFFFF"/>
          <w:shd w:val="clear" w:color="auto" w:fill="B31D30"/>
        </w:rPr>
        <w:tab/>
      </w:r>
    </w:p>
    <w:p w:rsidR="007A0A6C" w:rsidRDefault="00660E26">
      <w:pPr>
        <w:pStyle w:val="ListParagraph"/>
        <w:numPr>
          <w:ilvl w:val="0"/>
          <w:numId w:val="14"/>
        </w:numPr>
        <w:tabs>
          <w:tab w:val="left" w:pos="1059"/>
          <w:tab w:val="left" w:pos="1060"/>
        </w:tabs>
        <w:spacing w:before="185" w:line="249" w:lineRule="auto"/>
        <w:ind w:right="661"/>
        <w:rPr>
          <w:sz w:val="13"/>
        </w:rPr>
      </w:pPr>
      <w:r>
        <w:t>A pesar de las recomendaciones del Comité de la CRPD,</w:t>
      </w:r>
      <w:r>
        <w:rPr>
          <w:position w:val="7"/>
          <w:sz w:val="13"/>
        </w:rPr>
        <w:t xml:space="preserve">52 </w:t>
      </w:r>
      <w:r>
        <w:t>de otros organismos del tratado y de mecanismos</w:t>
      </w:r>
      <w:r>
        <w:rPr>
          <w:position w:val="7"/>
          <w:sz w:val="13"/>
        </w:rPr>
        <w:t xml:space="preserve">53 </w:t>
      </w:r>
      <w:r>
        <w:t>de las Naciones Unidas, aún queda pendiente una legislación nacional sobre la prevención de todas las formas de violencia basada en el</w:t>
      </w:r>
      <w:r>
        <w:rPr>
          <w:spacing w:val="-13"/>
        </w:rPr>
        <w:t xml:space="preserve"> </w:t>
      </w:r>
      <w:r>
        <w:t>género.</w:t>
      </w:r>
      <w:r>
        <w:rPr>
          <w:position w:val="7"/>
          <w:sz w:val="13"/>
        </w:rPr>
        <w:t>54</w:t>
      </w:r>
    </w:p>
    <w:p w:rsidR="007A0A6C" w:rsidRDefault="00660E26">
      <w:pPr>
        <w:pStyle w:val="BodyText"/>
        <w:spacing w:before="143" w:line="249" w:lineRule="auto"/>
        <w:ind w:right="359"/>
      </w:pPr>
      <w:r>
        <w:t xml:space="preserve">El </w:t>
      </w:r>
      <w:r>
        <w:rPr>
          <w:i/>
        </w:rPr>
        <w:t>Plan Nacional para Reducir la Violencia contra las Mujeres y sus Hijos(as) 2010-2022</w:t>
      </w:r>
      <w:r>
        <w:rPr>
          <w:position w:val="7"/>
          <w:sz w:val="13"/>
        </w:rPr>
        <w:t xml:space="preserve">55 </w:t>
      </w:r>
      <w:r>
        <w:t xml:space="preserve">es el principal marco político de Australia diseñado para prevenir la violencia contra las mujeres. El </w:t>
      </w:r>
      <w:r>
        <w:rPr>
          <w:i/>
        </w:rPr>
        <w:t xml:space="preserve">Plan Nacional </w:t>
      </w:r>
      <w:r>
        <w:t>solo aborda el abuso sexual y la violencia familiar/doméstica en el contexto de violencia en parejas íntimas.</w:t>
      </w:r>
      <w:r>
        <w:rPr>
          <w:position w:val="7"/>
          <w:sz w:val="13"/>
        </w:rPr>
        <w:t xml:space="preserve">56 </w:t>
      </w:r>
      <w:r>
        <w:t>Oculta y torna invisibles las formas estructurales e institucionales de la violencia basada en el género con relación a la ley, el estado y la cultura de que las mujeres con discapacidad no solo la sufren, y</w:t>
      </w:r>
      <w:r>
        <w:rPr>
          <w:position w:val="7"/>
          <w:sz w:val="13"/>
        </w:rPr>
        <w:t xml:space="preserve">3 </w:t>
      </w:r>
      <w:r>
        <w:t>sino que también corren más riesgo.</w:t>
      </w:r>
      <w:r>
        <w:rPr>
          <w:position w:val="7"/>
          <w:sz w:val="13"/>
        </w:rPr>
        <w:t xml:space="preserve">57 </w:t>
      </w:r>
      <w:r>
        <w:t>Excluye las violaciones</w:t>
      </w:r>
    </w:p>
    <w:p w:rsidR="007A0A6C" w:rsidRDefault="00660E26">
      <w:pPr>
        <w:pStyle w:val="BodyText"/>
        <w:spacing w:before="5" w:line="249" w:lineRule="auto"/>
        <w:ind w:right="850"/>
        <w:rPr>
          <w:sz w:val="13"/>
        </w:rPr>
      </w:pPr>
      <w:r>
        <w:t>a los derechos reproductivos y muchos de los entornos y espacios en los que las mujeres con discapacidad sufren la violencia.</w:t>
      </w:r>
      <w:r>
        <w:rPr>
          <w:position w:val="7"/>
          <w:sz w:val="13"/>
        </w:rPr>
        <w:t>58</w:t>
      </w:r>
    </w:p>
    <w:p w:rsidR="007A0A6C" w:rsidRDefault="00660E26">
      <w:pPr>
        <w:pStyle w:val="BodyText"/>
        <w:spacing w:before="142" w:line="249" w:lineRule="auto"/>
        <w:ind w:right="494"/>
        <w:rPr>
          <w:sz w:val="13"/>
        </w:rPr>
      </w:pPr>
      <w:r>
        <w:t>Las campañas nacionales de concienciación para abordar la violencia contra las mujeres no incluyen a las mujeres con discapacidad.</w:t>
      </w:r>
      <w:r>
        <w:rPr>
          <w:position w:val="7"/>
          <w:sz w:val="13"/>
        </w:rPr>
        <w:t xml:space="preserve">59 </w:t>
      </w:r>
      <w:r>
        <w:t>Existen graves restricciones metodológicas en los principales instrumentos de la encuesta utilizados para recopilar datos sobre violencia contra las mujeres que dan como resultado</w:t>
      </w:r>
      <w:r>
        <w:rPr>
          <w:position w:val="7"/>
          <w:sz w:val="13"/>
        </w:rPr>
        <w:t xml:space="preserve">60 </w:t>
      </w:r>
      <w:r>
        <w:t>bajos niveles significativos de representación de mujeres con discapacidad en los estudios basados en poblaciones con respecto a la frecuencia de la violencia doméstica y familiar, y al abuso sexual.</w:t>
      </w:r>
      <w:r>
        <w:rPr>
          <w:position w:val="7"/>
          <w:sz w:val="13"/>
        </w:rPr>
        <w:t>61</w:t>
      </w:r>
    </w:p>
    <w:p w:rsidR="007A0A6C" w:rsidRDefault="00660E26">
      <w:pPr>
        <w:pStyle w:val="BodyText"/>
        <w:spacing w:before="146" w:line="249" w:lineRule="auto"/>
        <w:ind w:right="247"/>
      </w:pPr>
      <w:r>
        <w:t>La respuesta principal del servicio nacional de Australia para abordar y prevenir la violencia contra las mujeres es a través de su servicio 1800RESPECT,</w:t>
      </w:r>
      <w:r>
        <w:rPr>
          <w:position w:val="7"/>
          <w:sz w:val="13"/>
        </w:rPr>
        <w:t xml:space="preserve">62 </w:t>
      </w:r>
      <w:r>
        <w:t>que se estableció en 2010 en virtud</w:t>
      </w:r>
    </w:p>
    <w:p w:rsidR="007A0A6C" w:rsidRDefault="00660E26">
      <w:pPr>
        <w:pStyle w:val="BodyText"/>
        <w:spacing w:before="1" w:line="249" w:lineRule="auto"/>
        <w:ind w:right="347"/>
        <w:rPr>
          <w:sz w:val="13"/>
        </w:rPr>
      </w:pPr>
      <w:r>
        <w:t xml:space="preserve">del </w:t>
      </w:r>
      <w:r>
        <w:rPr>
          <w:i/>
        </w:rPr>
        <w:t xml:space="preserve">Plan Nacional </w:t>
      </w:r>
      <w:r>
        <w:t>para brindar asesoramiento terapéutico confidencial, telefónico y en línea, e información y servicio de derivación. Hay limitaciones importantes en el 1800RESPECT para las mujeres con discapacidad, dado que el servicio se concentra en la violencia ‘doméstica’ y ‘familiar’, y en el abuso sexual en el contexto de una pareja íntima o en la violencia conyugal que se produce en entornos familiares entre cónyuges o parejas actuales o anteriores.</w:t>
      </w:r>
      <w:r>
        <w:rPr>
          <w:position w:val="7"/>
          <w:sz w:val="13"/>
        </w:rPr>
        <w:t>63</w:t>
      </w:r>
    </w:p>
    <w:p w:rsidR="007A0A6C" w:rsidRDefault="00660E26">
      <w:pPr>
        <w:pStyle w:val="BodyText"/>
        <w:spacing w:before="145" w:line="249" w:lineRule="auto"/>
        <w:ind w:right="717"/>
        <w:jc w:val="both"/>
      </w:pPr>
      <w:r>
        <w:t>Recientemente, se tomaron algunas medidas y hubo iniciativas</w:t>
      </w:r>
      <w:r>
        <w:rPr>
          <w:position w:val="7"/>
          <w:sz w:val="13"/>
        </w:rPr>
        <w:t xml:space="preserve">64 </w:t>
      </w:r>
      <w:r>
        <w:t xml:space="preserve">bien recibidas para mejorar el apoyo y los servicios para las mujeres con discapacidad en virtud del </w:t>
      </w:r>
      <w:r>
        <w:rPr>
          <w:i/>
        </w:rPr>
        <w:t>Plan Nacional</w:t>
      </w:r>
      <w:r>
        <w:t>, pero estas han sido iniciativas aisladas y mayormente enfocadas en el proyecto, y no eran sistemáticas</w:t>
      </w:r>
    </w:p>
    <w:p w:rsidR="007A0A6C" w:rsidRDefault="00660E26">
      <w:pPr>
        <w:pStyle w:val="BodyText"/>
        <w:spacing w:before="3" w:line="249" w:lineRule="auto"/>
        <w:ind w:right="334"/>
      </w:pPr>
      <w:r>
        <w:t>e integrales a nivel nacional. Además, la financiación para estas iniciativas le ha sido dada a grandes empresas con fines de lucro y a otros organismos gubernamentales,</w:t>
      </w:r>
      <w:r>
        <w:rPr>
          <w:position w:val="7"/>
          <w:sz w:val="13"/>
        </w:rPr>
        <w:t xml:space="preserve">65 </w:t>
      </w:r>
      <w:r>
        <w:t>y no se les ha dado financiación directa a las DPO.</w:t>
      </w:r>
    </w:p>
    <w:p w:rsidR="007A0A6C" w:rsidRDefault="00660E26">
      <w:pPr>
        <w:pStyle w:val="BodyText"/>
        <w:spacing w:before="142" w:line="249" w:lineRule="auto"/>
        <w:ind w:right="850"/>
        <w:rPr>
          <w:sz w:val="13"/>
        </w:rPr>
      </w:pPr>
      <w:r>
        <w:t>Hay una falta de experiencia y una gama de barreras estructurales con respecto a la violencia doméstica, al abuso sexual y a los servicios para casos de crisis de mujeres que impiden las respuestas adecuadas para ayudar a las mujeres con discapacidad.</w:t>
      </w:r>
      <w:r>
        <w:rPr>
          <w:position w:val="7"/>
          <w:sz w:val="13"/>
        </w:rPr>
        <w:t>66</w:t>
      </w:r>
    </w:p>
    <w:p w:rsidR="007A0A6C" w:rsidRDefault="00660E26">
      <w:pPr>
        <w:pStyle w:val="BodyText"/>
        <w:spacing w:before="143" w:line="249" w:lineRule="auto"/>
        <w:ind w:right="288"/>
        <w:rPr>
          <w:sz w:val="13"/>
        </w:rPr>
      </w:pPr>
      <w:r>
        <w:t>Hay oportunidades limitadas para que las mujeres con discapacidad participen en la elaboración de políticas con respecto a los derechos de las mujeres y a la igualdad de género.</w:t>
      </w:r>
      <w:r>
        <w:rPr>
          <w:position w:val="7"/>
          <w:sz w:val="13"/>
        </w:rPr>
        <w:t xml:space="preserve">67 </w:t>
      </w:r>
      <w:r>
        <w:t>Las mujeres con discapacidad son marginadas de las iniciativas para controlar la implementación de la CEDAW y no hay respaldo gubernamental que les permita a las mujeres con discapacidad asistir o participar en la Comisión de la Condición de la Mujer (CSW).</w:t>
      </w:r>
      <w:r>
        <w:rPr>
          <w:position w:val="7"/>
          <w:sz w:val="13"/>
        </w:rPr>
        <w:t>68</w:t>
      </w:r>
    </w:p>
    <w:p w:rsidR="007A0A6C" w:rsidRDefault="00660E26">
      <w:pPr>
        <w:pStyle w:val="Heading2"/>
        <w:tabs>
          <w:tab w:val="left" w:pos="10805"/>
        </w:tabs>
        <w:spacing w:before="210"/>
      </w:pPr>
      <w:r>
        <w:rPr>
          <w:color w:val="FFFFFF"/>
          <w:spacing w:val="-37"/>
          <w:shd w:val="clear" w:color="auto" w:fill="4C418E"/>
        </w:rPr>
        <w:t xml:space="preserve"> </w:t>
      </w:r>
      <w:r>
        <w:rPr>
          <w:color w:val="FFFFFF"/>
          <w:shd w:val="clear" w:color="auto" w:fill="4C418E"/>
        </w:rPr>
        <w:t>Recomendaciones</w:t>
      </w:r>
      <w:r>
        <w:rPr>
          <w:color w:val="FFFFFF"/>
          <w:shd w:val="clear" w:color="auto" w:fill="4C418E"/>
        </w:rPr>
        <w:tab/>
      </w:r>
    </w:p>
    <w:p w:rsidR="007A0A6C" w:rsidRDefault="00660E26">
      <w:pPr>
        <w:pStyle w:val="BodyText"/>
        <w:spacing w:before="179"/>
        <w:ind w:left="340"/>
      </w:pPr>
      <w:r>
        <w:t>Que Australia:</w:t>
      </w:r>
    </w:p>
    <w:p w:rsidR="007A0A6C" w:rsidRDefault="00660E26">
      <w:pPr>
        <w:pStyle w:val="ListParagraph"/>
        <w:numPr>
          <w:ilvl w:val="1"/>
          <w:numId w:val="14"/>
        </w:numPr>
        <w:tabs>
          <w:tab w:val="left" w:pos="1085"/>
        </w:tabs>
        <w:spacing w:before="92" w:line="244" w:lineRule="auto"/>
        <w:ind w:right="817" w:hanging="180"/>
      </w:pPr>
      <w:r>
        <w:t>Elabore y promulgue legislación nacional sobre la prevención de todas las formas de violencia basadas en el</w:t>
      </w:r>
      <w:r>
        <w:rPr>
          <w:spacing w:val="-4"/>
        </w:rPr>
        <w:t xml:space="preserve"> </w:t>
      </w:r>
      <w:r>
        <w:t>género.</w:t>
      </w:r>
    </w:p>
    <w:p w:rsidR="007A0A6C" w:rsidRDefault="00660E26">
      <w:pPr>
        <w:pStyle w:val="ListParagraph"/>
        <w:numPr>
          <w:ilvl w:val="1"/>
          <w:numId w:val="14"/>
        </w:numPr>
        <w:tabs>
          <w:tab w:val="left" w:pos="1085"/>
        </w:tabs>
        <w:spacing w:before="129" w:line="247" w:lineRule="auto"/>
        <w:ind w:right="356" w:hanging="180"/>
      </w:pPr>
      <w:r>
        <w:t xml:space="preserve">Garantice que el </w:t>
      </w:r>
      <w:r>
        <w:rPr>
          <w:i/>
        </w:rPr>
        <w:t xml:space="preserve">Plan Nacional para Reducir la Violencia contra las Mujeres y sus Hijos(as) </w:t>
      </w:r>
      <w:r>
        <w:t>incluya todas las formas de violencia basadas en el género, independientemente del entorno y de los perpetradores de dicha</w:t>
      </w:r>
      <w:r>
        <w:rPr>
          <w:spacing w:val="-4"/>
        </w:rPr>
        <w:t xml:space="preserve"> </w:t>
      </w:r>
      <w:r>
        <w:t>violencia.</w:t>
      </w:r>
    </w:p>
    <w:p w:rsidR="007A0A6C" w:rsidRDefault="00660E26">
      <w:pPr>
        <w:pStyle w:val="ListParagraph"/>
        <w:numPr>
          <w:ilvl w:val="1"/>
          <w:numId w:val="14"/>
        </w:numPr>
        <w:tabs>
          <w:tab w:val="left" w:pos="1085"/>
        </w:tabs>
        <w:spacing w:before="126" w:line="244" w:lineRule="auto"/>
        <w:ind w:right="585" w:hanging="180"/>
      </w:pPr>
      <w:r>
        <w:t>Aborde las restricciones metodológicas en los instrumentos para recopilación de datos utilizados para recabar datos sobre violencia contra las</w:t>
      </w:r>
      <w:r>
        <w:rPr>
          <w:spacing w:val="-4"/>
        </w:rPr>
        <w:t xml:space="preserve"> </w:t>
      </w:r>
      <w:r>
        <w:t>mujeres.</w:t>
      </w:r>
    </w:p>
    <w:p w:rsidR="007A0A6C" w:rsidRDefault="004638C1">
      <w:pPr>
        <w:pStyle w:val="BodyText"/>
        <w:spacing w:before="6"/>
        <w:ind w:left="0"/>
      </w:pPr>
      <w:r>
        <w:pict>
          <v:line id="_x0000_s1036" alt="" style="position:absolute;z-index:-251659776;mso-wrap-edited:f;mso-width-percent:0;mso-height-percent:0;mso-wrap-distance-left:0;mso-wrap-distance-right:0;mso-position-horizontal-relative:page;mso-width-percent:0;mso-height-percent:0" from="36pt,15.45pt" to="94.5pt,15.45pt" strokeweight="1pt">
            <w10:wrap type="topAndBottom" anchorx="page"/>
          </v:line>
        </w:pict>
      </w:r>
    </w:p>
    <w:p w:rsidR="007A0A6C" w:rsidRDefault="00660E26">
      <w:pPr>
        <w:pStyle w:val="ListParagraph"/>
        <w:numPr>
          <w:ilvl w:val="0"/>
          <w:numId w:val="16"/>
        </w:numPr>
        <w:tabs>
          <w:tab w:val="left" w:pos="625"/>
        </w:tabs>
        <w:spacing w:before="34"/>
        <w:ind w:left="624" w:hanging="284"/>
        <w:rPr>
          <w:sz w:val="16"/>
        </w:rPr>
      </w:pPr>
      <w:r>
        <w:rPr>
          <w:sz w:val="16"/>
        </w:rPr>
        <w:t>A los fines de este informe, el término ‘mujeres con discapacidad’ incluye niñas con</w:t>
      </w:r>
      <w:r>
        <w:rPr>
          <w:spacing w:val="-31"/>
          <w:sz w:val="16"/>
        </w:rPr>
        <w:t xml:space="preserve"> </w:t>
      </w:r>
      <w:r>
        <w:rPr>
          <w:sz w:val="16"/>
        </w:rPr>
        <w:t>discapacidad.</w:t>
      </w:r>
    </w:p>
    <w:p w:rsidR="007A0A6C" w:rsidRDefault="007A0A6C">
      <w:pPr>
        <w:rPr>
          <w:sz w:val="16"/>
        </w:rPr>
        <w:sectPr w:rsidR="007A0A6C">
          <w:pgSz w:w="11910" w:h="16840"/>
          <w:pgMar w:top="620" w:right="440" w:bottom="540" w:left="380" w:header="0" w:footer="343" w:gutter="0"/>
          <w:cols w:space="720"/>
        </w:sectPr>
      </w:pPr>
    </w:p>
    <w:p w:rsidR="007A0A6C" w:rsidRDefault="00660E26">
      <w:pPr>
        <w:pStyle w:val="ListParagraph"/>
        <w:numPr>
          <w:ilvl w:val="1"/>
          <w:numId w:val="16"/>
        </w:numPr>
        <w:tabs>
          <w:tab w:val="left" w:pos="1085"/>
        </w:tabs>
        <w:spacing w:before="77" w:line="242" w:lineRule="auto"/>
        <w:ind w:right="707" w:hanging="180"/>
      </w:pPr>
      <w:r>
        <w:lastRenderedPageBreak/>
        <w:t>Asegure que los servicios para la violencia basada en el género incluyan a mujeres y niñas con discapacidad.</w:t>
      </w:r>
    </w:p>
    <w:p w:rsidR="007A0A6C" w:rsidRDefault="00660E26">
      <w:pPr>
        <w:pStyle w:val="ListParagraph"/>
        <w:numPr>
          <w:ilvl w:val="1"/>
          <w:numId w:val="16"/>
        </w:numPr>
        <w:tabs>
          <w:tab w:val="left" w:pos="1085"/>
        </w:tabs>
        <w:spacing w:before="126" w:line="242" w:lineRule="auto"/>
        <w:ind w:right="292" w:hanging="180"/>
      </w:pPr>
      <w:r>
        <w:t>Financie y apoye a las DPO para formular e implementar iniciativas para abordar la violencia contra las mujeres con</w:t>
      </w:r>
      <w:r>
        <w:rPr>
          <w:spacing w:val="-2"/>
        </w:rPr>
        <w:t xml:space="preserve"> </w:t>
      </w:r>
      <w:r>
        <w:t>discapacidad.</w:t>
      </w:r>
    </w:p>
    <w:p w:rsidR="007A0A6C" w:rsidRDefault="00660E26">
      <w:pPr>
        <w:pStyle w:val="ListParagraph"/>
        <w:numPr>
          <w:ilvl w:val="1"/>
          <w:numId w:val="16"/>
        </w:numPr>
        <w:tabs>
          <w:tab w:val="left" w:pos="1085"/>
        </w:tabs>
        <w:spacing w:before="125" w:line="242" w:lineRule="auto"/>
        <w:ind w:right="1050" w:hanging="180"/>
      </w:pPr>
      <w:r>
        <w:t>Apoye adecuadamente a las organizaciones y redes de mujeres con discapacidad para que participen en todas las iniciativas para fomentar la igualdad de</w:t>
      </w:r>
      <w:r>
        <w:rPr>
          <w:spacing w:val="-17"/>
        </w:rPr>
        <w:t xml:space="preserve"> </w:t>
      </w:r>
      <w:r>
        <w:t>género.</w:t>
      </w:r>
    </w:p>
    <w:p w:rsidR="007A0A6C" w:rsidRDefault="007A0A6C">
      <w:pPr>
        <w:spacing w:line="242" w:lineRule="auto"/>
        <w:sectPr w:rsidR="007A0A6C">
          <w:pgSz w:w="11910" w:h="16840"/>
          <w:pgMar w:top="560" w:right="440" w:bottom="540" w:left="380" w:header="0" w:footer="343" w:gutter="0"/>
          <w:cols w:space="720"/>
        </w:sectPr>
      </w:pPr>
    </w:p>
    <w:p w:rsidR="007A0A6C" w:rsidRDefault="00660E26">
      <w:pPr>
        <w:pStyle w:val="Heading1"/>
        <w:tabs>
          <w:tab w:val="left" w:pos="10805"/>
        </w:tabs>
      </w:pPr>
      <w:bookmarkStart w:id="27" w:name="Niños(as)_con_discapacidad_(artículo_7)"/>
      <w:bookmarkStart w:id="28" w:name="_bookmark8"/>
      <w:bookmarkEnd w:id="27"/>
      <w:bookmarkEnd w:id="28"/>
      <w:r>
        <w:rPr>
          <w:color w:val="FFFFFF"/>
          <w:spacing w:val="-59"/>
          <w:shd w:val="clear" w:color="auto" w:fill="B31D30"/>
        </w:rPr>
        <w:lastRenderedPageBreak/>
        <w:t xml:space="preserve"> </w:t>
      </w:r>
      <w:bookmarkStart w:id="29" w:name="_Toc15026985"/>
      <w:bookmarkStart w:id="30" w:name="_Toc15027125"/>
      <w:r>
        <w:rPr>
          <w:color w:val="FFFFFF"/>
          <w:shd w:val="clear" w:color="auto" w:fill="B31D30"/>
        </w:rPr>
        <w:t>Niños(as) con discapacidad (artículo</w:t>
      </w:r>
      <w:r>
        <w:rPr>
          <w:color w:val="FFFFFF"/>
          <w:spacing w:val="-3"/>
          <w:shd w:val="clear" w:color="auto" w:fill="B31D30"/>
        </w:rPr>
        <w:t xml:space="preserve"> </w:t>
      </w:r>
      <w:r>
        <w:rPr>
          <w:color w:val="FFFFFF"/>
          <w:shd w:val="clear" w:color="auto" w:fill="B31D30"/>
        </w:rPr>
        <w:t>7)</w:t>
      </w:r>
      <w:bookmarkEnd w:id="29"/>
      <w:bookmarkEnd w:id="30"/>
      <w:r>
        <w:rPr>
          <w:color w:val="FFFFFF"/>
          <w:shd w:val="clear" w:color="auto" w:fill="B31D30"/>
        </w:rPr>
        <w:tab/>
      </w:r>
    </w:p>
    <w:p w:rsidR="007A0A6C" w:rsidRDefault="00660E26">
      <w:pPr>
        <w:pStyle w:val="BodyText"/>
        <w:spacing w:before="161" w:line="247" w:lineRule="auto"/>
        <w:ind w:right="385" w:hanging="720"/>
      </w:pPr>
      <w:r>
        <w:t>7(a)(b) No se dispone de políticas o programas que aborden el avance y la promoción de los derechos de los(las) niños(as) con discapacidad, incluso con respecto a la expresión de sus opiniones sobre todos los problemas que les conciernen. Cuando la discapacidad recibe una atención superficial, a menudo se la encuadra desde la perspectiva del riesgo y se pone énfasis en reducir la incidencia de la discapacidad. No existe una definición o un marco conceptual consensuado a nivel nacional con respecto al principio de los ‘mejores intereses del niño’, hecho que da como resultado una aplicación heterogénea en todas las jurisdicciones de Australia.</w:t>
      </w:r>
    </w:p>
    <w:p w:rsidR="007A0A6C" w:rsidRDefault="00660E26">
      <w:pPr>
        <w:pStyle w:val="BodyText"/>
        <w:spacing w:before="96" w:line="247" w:lineRule="auto"/>
        <w:ind w:right="300"/>
      </w:pPr>
      <w:r>
        <w:t xml:space="preserve">El </w:t>
      </w:r>
      <w:r>
        <w:rPr>
          <w:i/>
        </w:rPr>
        <w:t>Marco Nacional para la Protección de los Niños de Australia 2009-2020</w:t>
      </w:r>
      <w:r>
        <w:rPr>
          <w:position w:val="7"/>
          <w:sz w:val="13"/>
        </w:rPr>
        <w:t xml:space="preserve">69 </w:t>
      </w:r>
      <w:r>
        <w:t>es el marco político nacional para garantizar la seguridad y el bienestar de los(las) niños(as) en Australia. Sin embargo, a los niños con discapacidad se les presta una atención mínima según dicho Marco, ellos están segregados de las cuestiones más amplias concernientes al bienestar del niño, y de las acciones a tomar con respecto a la discapacidad no están focalizadas en el niño.</w:t>
      </w:r>
      <w:r>
        <w:rPr>
          <w:position w:val="7"/>
          <w:sz w:val="13"/>
        </w:rPr>
        <w:t xml:space="preserve">70 </w:t>
      </w:r>
      <w:r>
        <w:t>El Marco vence en 2020 y no hay indicios de un nuevo Marco nacional.</w:t>
      </w:r>
    </w:p>
    <w:p w:rsidR="007A0A6C" w:rsidRDefault="00660E26">
      <w:pPr>
        <w:pStyle w:val="BodyText"/>
        <w:spacing w:before="137" w:line="247" w:lineRule="auto"/>
        <w:ind w:right="385"/>
      </w:pPr>
      <w:r>
        <w:t>En 2013, se designó un Comisionado Nacional para la Infancia y, hasta la fecha, aún no se ha completado un trabajo sustantivo que describa, investigue, promueva y proteja los derechos de los niños con discapacidad.</w:t>
      </w:r>
    </w:p>
    <w:p w:rsidR="007A0A6C" w:rsidRDefault="00660E26">
      <w:pPr>
        <w:pStyle w:val="BodyText"/>
        <w:tabs>
          <w:tab w:val="left" w:pos="1059"/>
        </w:tabs>
        <w:spacing w:before="138" w:line="247" w:lineRule="auto"/>
        <w:ind w:right="334" w:hanging="720"/>
      </w:pPr>
      <w:r>
        <w:t>7(c)</w:t>
      </w:r>
      <w:r>
        <w:tab/>
        <w:t>Australia carece de un mecanismo integral para recopilar datos de niños y jóvenes con discapacidad. Los datos recopilados sobre el cuidado fuera de su hogar no están desglosados por discapacidad.</w:t>
      </w:r>
      <w:r>
        <w:rPr>
          <w:spacing w:val="-6"/>
        </w:rPr>
        <w:t xml:space="preserve"> </w:t>
      </w:r>
      <w:r>
        <w:t>El</w:t>
      </w:r>
      <w:r>
        <w:rPr>
          <w:spacing w:val="-4"/>
        </w:rPr>
        <w:t xml:space="preserve"> </w:t>
      </w:r>
      <w:r>
        <w:t>informe</w:t>
      </w:r>
      <w:r>
        <w:rPr>
          <w:spacing w:val="-5"/>
        </w:rPr>
        <w:t xml:space="preserve"> </w:t>
      </w:r>
      <w:r>
        <w:t>de</w:t>
      </w:r>
      <w:r>
        <w:rPr>
          <w:spacing w:val="-5"/>
        </w:rPr>
        <w:t xml:space="preserve"> </w:t>
      </w:r>
      <w:r>
        <w:t>la</w:t>
      </w:r>
      <w:r>
        <w:rPr>
          <w:spacing w:val="-5"/>
        </w:rPr>
        <w:t xml:space="preserve"> </w:t>
      </w:r>
      <w:r>
        <w:t>protección</w:t>
      </w:r>
      <w:r>
        <w:rPr>
          <w:spacing w:val="-5"/>
        </w:rPr>
        <w:t xml:space="preserve"> </w:t>
      </w:r>
      <w:r>
        <w:t>nacional</w:t>
      </w:r>
      <w:r>
        <w:rPr>
          <w:spacing w:val="-5"/>
        </w:rPr>
        <w:t xml:space="preserve"> </w:t>
      </w:r>
      <w:r>
        <w:t>del</w:t>
      </w:r>
      <w:r>
        <w:rPr>
          <w:spacing w:val="-5"/>
        </w:rPr>
        <w:t xml:space="preserve"> </w:t>
      </w:r>
      <w:r>
        <w:t>niño</w:t>
      </w:r>
      <w:r>
        <w:rPr>
          <w:spacing w:val="-6"/>
        </w:rPr>
        <w:t xml:space="preserve"> </w:t>
      </w:r>
      <w:r>
        <w:t>no</w:t>
      </w:r>
      <w:r>
        <w:rPr>
          <w:spacing w:val="-5"/>
        </w:rPr>
        <w:t xml:space="preserve"> </w:t>
      </w:r>
      <w:r>
        <w:t>incluye</w:t>
      </w:r>
      <w:r>
        <w:rPr>
          <w:spacing w:val="-5"/>
        </w:rPr>
        <w:t xml:space="preserve"> </w:t>
      </w:r>
      <w:r>
        <w:t>la</w:t>
      </w:r>
      <w:r>
        <w:rPr>
          <w:spacing w:val="-5"/>
        </w:rPr>
        <w:t xml:space="preserve"> </w:t>
      </w:r>
      <w:r>
        <w:t>condición</w:t>
      </w:r>
      <w:r>
        <w:rPr>
          <w:spacing w:val="-4"/>
        </w:rPr>
        <w:t xml:space="preserve"> </w:t>
      </w:r>
      <w:r>
        <w:t>de</w:t>
      </w:r>
      <w:r>
        <w:rPr>
          <w:spacing w:val="-5"/>
        </w:rPr>
        <w:t xml:space="preserve"> </w:t>
      </w:r>
      <w:r>
        <w:t>discapacidad.</w:t>
      </w:r>
    </w:p>
    <w:p w:rsidR="007A0A6C" w:rsidRDefault="00660E26">
      <w:pPr>
        <w:pStyle w:val="BodyText"/>
        <w:spacing w:before="98" w:line="247" w:lineRule="auto"/>
        <w:ind w:right="404" w:hanging="720"/>
      </w:pPr>
      <w:r>
        <w:t xml:space="preserve">7(d)(e) En 2019, los </w:t>
      </w:r>
      <w:r>
        <w:rPr>
          <w:i/>
        </w:rPr>
        <w:t>Principios Nacionales para las Organizaciones de Niños Seguros</w:t>
      </w:r>
      <w:r>
        <w:rPr>
          <w:position w:val="7"/>
          <w:sz w:val="13"/>
        </w:rPr>
        <w:t xml:space="preserve">71 </w:t>
      </w:r>
      <w:r>
        <w:t>fueron avalados por el Consejo de Gobiernos de Australia. Los Principios están destinados a brindar un enfoque uniforme a nivel nacional para desarrollar culturas organizativas que fomenten la seguridad y el bienestar del niño. No obstante, estas no son obligatorias.</w:t>
      </w:r>
    </w:p>
    <w:p w:rsidR="007A0A6C" w:rsidRDefault="00660E26">
      <w:pPr>
        <w:pStyle w:val="BodyText"/>
        <w:spacing w:before="98" w:line="247" w:lineRule="auto"/>
        <w:ind w:right="286"/>
        <w:rPr>
          <w:sz w:val="13"/>
        </w:rPr>
      </w:pPr>
      <w:r>
        <w:t>Más de un tercio de los niños que están en lugares de cuidado fuera de su hogar son indígenas. En comparación con los niños no indígenas, los niños indígenas tienen diez veces más probabilidades de estar al cuidado fuera de su hogar y nueve veces más de probabilidades de tener órdenes de protección y cuidado.</w:t>
      </w:r>
      <w:r>
        <w:rPr>
          <w:position w:val="7"/>
          <w:sz w:val="13"/>
        </w:rPr>
        <w:t xml:space="preserve">72 </w:t>
      </w:r>
      <w:r>
        <w:t>Aún queda apoyo adecuado culturalmente inadecuado disponible para los niños indígenas con discapacidad y sus familias.</w:t>
      </w:r>
      <w:r>
        <w:rPr>
          <w:position w:val="7"/>
          <w:sz w:val="13"/>
        </w:rPr>
        <w:t>73</w:t>
      </w:r>
    </w:p>
    <w:p w:rsidR="007A0A6C" w:rsidRDefault="00660E26">
      <w:pPr>
        <w:pStyle w:val="Heading2"/>
        <w:tabs>
          <w:tab w:val="left" w:pos="10805"/>
        </w:tabs>
      </w:pPr>
      <w:r>
        <w:rPr>
          <w:color w:val="FFFFFF"/>
          <w:spacing w:val="-37"/>
          <w:shd w:val="clear" w:color="auto" w:fill="4C418E"/>
        </w:rPr>
        <w:t xml:space="preserve"> </w:t>
      </w:r>
      <w:r>
        <w:rPr>
          <w:color w:val="FFFFFF"/>
          <w:shd w:val="clear" w:color="auto" w:fill="4C418E"/>
        </w:rPr>
        <w:t>Recomendaciones</w:t>
      </w:r>
      <w:r>
        <w:rPr>
          <w:color w:val="FFFFFF"/>
          <w:shd w:val="clear" w:color="auto" w:fill="4C418E"/>
        </w:rPr>
        <w:tab/>
      </w:r>
    </w:p>
    <w:p w:rsidR="007A0A6C" w:rsidRDefault="00660E26">
      <w:pPr>
        <w:pStyle w:val="BodyText"/>
        <w:spacing w:before="179"/>
        <w:ind w:left="340"/>
      </w:pPr>
      <w:r>
        <w:t>Que Australia:</w:t>
      </w:r>
    </w:p>
    <w:p w:rsidR="007A0A6C" w:rsidRDefault="00660E26">
      <w:pPr>
        <w:pStyle w:val="ListParagraph"/>
        <w:numPr>
          <w:ilvl w:val="1"/>
          <w:numId w:val="16"/>
        </w:numPr>
        <w:tabs>
          <w:tab w:val="left" w:pos="1085"/>
        </w:tabs>
        <w:spacing w:before="88" w:line="242" w:lineRule="auto"/>
        <w:ind w:right="293" w:hanging="180"/>
      </w:pPr>
      <w:r>
        <w:t>Incorpore los derechos de la CRPD, incluido el principio del mejor interés del niño, en la legislación, las políticas y los programas que se aplican a los niños y</w:t>
      </w:r>
      <w:r>
        <w:rPr>
          <w:spacing w:val="-17"/>
        </w:rPr>
        <w:t xml:space="preserve"> </w:t>
      </w:r>
      <w:r>
        <w:t>jóvenes.</w:t>
      </w:r>
    </w:p>
    <w:p w:rsidR="007A0A6C" w:rsidRDefault="00660E26">
      <w:pPr>
        <w:pStyle w:val="ListParagraph"/>
        <w:numPr>
          <w:ilvl w:val="1"/>
          <w:numId w:val="16"/>
        </w:numPr>
        <w:tabs>
          <w:tab w:val="left" w:pos="1085"/>
        </w:tabs>
        <w:spacing w:before="126" w:line="244" w:lineRule="auto"/>
        <w:ind w:right="903" w:hanging="180"/>
      </w:pPr>
      <w:r>
        <w:t>Elabore estrategias y mecanismos integrales para garantizar que los niños y jóvenes con discapacidad puedan participar en consultas, procesos de toma de decisiones y desarrollo de políticas que afecten su</w:t>
      </w:r>
      <w:r>
        <w:rPr>
          <w:spacing w:val="-4"/>
        </w:rPr>
        <w:t xml:space="preserve"> </w:t>
      </w:r>
      <w:r>
        <w:t>vida.</w:t>
      </w:r>
    </w:p>
    <w:p w:rsidR="007A0A6C" w:rsidRDefault="00660E26">
      <w:pPr>
        <w:pStyle w:val="ListParagraph"/>
        <w:numPr>
          <w:ilvl w:val="1"/>
          <w:numId w:val="16"/>
        </w:numPr>
        <w:tabs>
          <w:tab w:val="left" w:pos="1085"/>
        </w:tabs>
        <w:spacing w:before="122" w:line="242" w:lineRule="auto"/>
        <w:ind w:right="560" w:hanging="180"/>
      </w:pPr>
      <w:r>
        <w:t>Aborde la representación desproporcionada de niños indígenas que estén en lugares de cuidado fuera de su hogar y que tengan órdenes de protección y</w:t>
      </w:r>
      <w:r>
        <w:rPr>
          <w:spacing w:val="-11"/>
        </w:rPr>
        <w:t xml:space="preserve"> </w:t>
      </w:r>
      <w:r>
        <w:t>cuidado.</w:t>
      </w:r>
    </w:p>
    <w:p w:rsidR="007A0A6C" w:rsidRDefault="00660E26">
      <w:pPr>
        <w:pStyle w:val="ListParagraph"/>
        <w:numPr>
          <w:ilvl w:val="1"/>
          <w:numId w:val="16"/>
        </w:numPr>
        <w:tabs>
          <w:tab w:val="left" w:pos="1085"/>
        </w:tabs>
        <w:spacing w:before="126" w:line="242" w:lineRule="auto"/>
        <w:ind w:right="1354" w:hanging="180"/>
      </w:pPr>
      <w:r>
        <w:t>Financie adecuadamente para dar respuestas y ayuda local y comunitaria, culturalmente apropiadas, para los niños indígenas con</w:t>
      </w:r>
      <w:r>
        <w:rPr>
          <w:spacing w:val="-9"/>
        </w:rPr>
        <w:t xml:space="preserve"> </w:t>
      </w:r>
      <w:r>
        <w:t>discapacidad.</w:t>
      </w:r>
    </w:p>
    <w:p w:rsidR="007A0A6C" w:rsidRDefault="007A0A6C">
      <w:pPr>
        <w:spacing w:line="242" w:lineRule="auto"/>
        <w:sectPr w:rsidR="007A0A6C">
          <w:pgSz w:w="11910" w:h="16840"/>
          <w:pgMar w:top="640" w:right="440" w:bottom="540" w:left="380" w:header="0" w:footer="343" w:gutter="0"/>
          <w:cols w:space="720"/>
        </w:sectPr>
      </w:pPr>
    </w:p>
    <w:p w:rsidR="007A0A6C" w:rsidRDefault="00660E26">
      <w:pPr>
        <w:pStyle w:val="Heading1"/>
        <w:tabs>
          <w:tab w:val="left" w:pos="10805"/>
        </w:tabs>
      </w:pPr>
      <w:bookmarkStart w:id="31" w:name="Generar_conciencia_(artículo_8)"/>
      <w:bookmarkStart w:id="32" w:name="_bookmark9"/>
      <w:bookmarkEnd w:id="31"/>
      <w:bookmarkEnd w:id="32"/>
      <w:r>
        <w:rPr>
          <w:color w:val="FFFFFF"/>
          <w:spacing w:val="-59"/>
          <w:shd w:val="clear" w:color="auto" w:fill="B31D30"/>
        </w:rPr>
        <w:lastRenderedPageBreak/>
        <w:t xml:space="preserve"> </w:t>
      </w:r>
      <w:bookmarkStart w:id="33" w:name="_Toc15026986"/>
      <w:bookmarkStart w:id="34" w:name="_Toc15027126"/>
      <w:r>
        <w:rPr>
          <w:color w:val="FFFFFF"/>
          <w:shd w:val="clear" w:color="auto" w:fill="B31D30"/>
        </w:rPr>
        <w:t>Generar conciencia (artículo</w:t>
      </w:r>
      <w:r>
        <w:rPr>
          <w:color w:val="FFFFFF"/>
          <w:spacing w:val="-19"/>
          <w:shd w:val="clear" w:color="auto" w:fill="B31D30"/>
        </w:rPr>
        <w:t xml:space="preserve"> </w:t>
      </w:r>
      <w:r>
        <w:rPr>
          <w:color w:val="FFFFFF"/>
          <w:shd w:val="clear" w:color="auto" w:fill="B31D30"/>
        </w:rPr>
        <w:t>8)</w:t>
      </w:r>
      <w:bookmarkEnd w:id="33"/>
      <w:bookmarkEnd w:id="34"/>
      <w:r>
        <w:rPr>
          <w:color w:val="FFFFFF"/>
          <w:shd w:val="clear" w:color="auto" w:fill="B31D30"/>
        </w:rPr>
        <w:tab/>
      </w:r>
    </w:p>
    <w:p w:rsidR="007A0A6C" w:rsidRDefault="00660E26">
      <w:pPr>
        <w:pStyle w:val="BodyText"/>
        <w:spacing w:before="192" w:line="276" w:lineRule="auto"/>
        <w:ind w:left="1080" w:right="354" w:hanging="740"/>
      </w:pPr>
      <w:r>
        <w:t>8(a)(b) No se dispone de una estrategia nacional cuya meta sea generar conciencia sobre los derechos de</w:t>
      </w:r>
      <w:r>
        <w:rPr>
          <w:spacing w:val="-3"/>
        </w:rPr>
        <w:t xml:space="preserve"> </w:t>
      </w:r>
      <w:r>
        <w:t>las</w:t>
      </w:r>
      <w:r>
        <w:rPr>
          <w:spacing w:val="-3"/>
        </w:rPr>
        <w:t xml:space="preserve"> </w:t>
      </w:r>
      <w:r>
        <w:t>personas</w:t>
      </w:r>
      <w:r>
        <w:rPr>
          <w:spacing w:val="-3"/>
        </w:rPr>
        <w:t xml:space="preserve"> </w:t>
      </w:r>
      <w:r>
        <w:t>con</w:t>
      </w:r>
      <w:r>
        <w:rPr>
          <w:spacing w:val="-2"/>
        </w:rPr>
        <w:t xml:space="preserve"> </w:t>
      </w:r>
      <w:r>
        <w:t>discapacidad.</w:t>
      </w:r>
      <w:r>
        <w:rPr>
          <w:spacing w:val="-3"/>
        </w:rPr>
        <w:t xml:space="preserve"> </w:t>
      </w:r>
      <w:r>
        <w:t>Si</w:t>
      </w:r>
      <w:r>
        <w:rPr>
          <w:spacing w:val="-2"/>
        </w:rPr>
        <w:t xml:space="preserve"> </w:t>
      </w:r>
      <w:r>
        <w:t>bien</w:t>
      </w:r>
      <w:r>
        <w:rPr>
          <w:spacing w:val="-3"/>
        </w:rPr>
        <w:t xml:space="preserve"> </w:t>
      </w:r>
      <w:r>
        <w:t>el</w:t>
      </w:r>
      <w:r>
        <w:rPr>
          <w:spacing w:val="-3"/>
        </w:rPr>
        <w:t xml:space="preserve"> </w:t>
      </w:r>
      <w:r>
        <w:t>Gobierno</w:t>
      </w:r>
      <w:r>
        <w:rPr>
          <w:spacing w:val="-2"/>
        </w:rPr>
        <w:t xml:space="preserve"> </w:t>
      </w:r>
      <w:r>
        <w:t>de</w:t>
      </w:r>
      <w:r>
        <w:rPr>
          <w:spacing w:val="-14"/>
        </w:rPr>
        <w:t xml:space="preserve"> </w:t>
      </w:r>
      <w:r>
        <w:t>Australia</w:t>
      </w:r>
      <w:r>
        <w:rPr>
          <w:spacing w:val="-2"/>
        </w:rPr>
        <w:t xml:space="preserve"> </w:t>
      </w:r>
      <w:r>
        <w:t>fomenta</w:t>
      </w:r>
      <w:r>
        <w:rPr>
          <w:spacing w:val="-2"/>
        </w:rPr>
        <w:t xml:space="preserve"> </w:t>
      </w:r>
      <w:r>
        <w:t>la</w:t>
      </w:r>
      <w:r>
        <w:rPr>
          <w:spacing w:val="-3"/>
        </w:rPr>
        <w:t xml:space="preserve"> </w:t>
      </w:r>
      <w:r>
        <w:t>concienciación</w:t>
      </w:r>
      <w:r>
        <w:rPr>
          <w:spacing w:val="-2"/>
        </w:rPr>
        <w:t xml:space="preserve"> </w:t>
      </w:r>
      <w:r>
        <w:t>de</w:t>
      </w:r>
      <w:r>
        <w:rPr>
          <w:spacing w:val="-3"/>
        </w:rPr>
        <w:t xml:space="preserve"> </w:t>
      </w:r>
      <w:r>
        <w:t>la</w:t>
      </w:r>
    </w:p>
    <w:p w:rsidR="007A0A6C" w:rsidRDefault="00660E26">
      <w:pPr>
        <w:pStyle w:val="BodyText"/>
        <w:spacing w:line="276" w:lineRule="auto"/>
        <w:ind w:left="1080" w:right="292"/>
        <w:rPr>
          <w:sz w:val="13"/>
        </w:rPr>
      </w:pPr>
      <w:r>
        <w:t>discapacidad en el Día Internacional de las Personas con Discapacidad, las actividades no siempre reflejan un enfoque basado en los derechos humanos en cuanto a la discapacidad; en 2018, se dejaron de otorgar, sin mediar consulta, los Premios Nacionales para la Discapacidad.</w:t>
      </w:r>
      <w:r>
        <w:rPr>
          <w:position w:val="7"/>
          <w:sz w:val="13"/>
        </w:rPr>
        <w:t>74,75</w:t>
      </w:r>
    </w:p>
    <w:p w:rsidR="007A0A6C" w:rsidRDefault="00660E26">
      <w:pPr>
        <w:pStyle w:val="BodyText"/>
        <w:spacing w:before="97" w:line="276" w:lineRule="auto"/>
        <w:ind w:right="247"/>
      </w:pPr>
      <w:r>
        <w:t>Desde el período del último informe, se dejaron de financiar varias iniciativas</w:t>
      </w:r>
      <w:r>
        <w:rPr>
          <w:position w:val="7"/>
          <w:sz w:val="13"/>
        </w:rPr>
        <w:t xml:space="preserve">76 </w:t>
      </w:r>
      <w:r>
        <w:t>para generar conciencia a nivel nacional.</w:t>
      </w:r>
    </w:p>
    <w:p w:rsidR="007A0A6C" w:rsidRDefault="00660E26">
      <w:pPr>
        <w:pStyle w:val="BodyText"/>
        <w:spacing w:before="139" w:line="276" w:lineRule="auto"/>
        <w:ind w:right="336"/>
        <w:rPr>
          <w:sz w:val="13"/>
        </w:rPr>
      </w:pPr>
      <w:r>
        <w:t xml:space="preserve">El </w:t>
      </w:r>
      <w:r>
        <w:rPr>
          <w:i/>
        </w:rPr>
        <w:t>Plan de la Segunda Implementación de la NDS (2015–2018)</w:t>
      </w:r>
      <w:r>
        <w:rPr>
          <w:position w:val="7"/>
          <w:sz w:val="13"/>
        </w:rPr>
        <w:t xml:space="preserve">77 </w:t>
      </w:r>
      <w:r>
        <w:t>priorizaba las ‘actividades de comunicación’ como un área para ‘aumentar el esfuerzo nacional’.</w:t>
      </w:r>
      <w:r>
        <w:rPr>
          <w:position w:val="7"/>
          <w:sz w:val="13"/>
        </w:rPr>
        <w:t xml:space="preserve">78 </w:t>
      </w:r>
      <w:r>
        <w:t>Hasta la fecha, no existen actividades realizadas relacionadas con esta prioridad, y una evaluación de la NDS de 2018 detectó que se podría mejorar la concienciación pública esclareciendo las responsabilidades de los entes para fomentar la conciencia y el compromiso para respaldar las campañas de concienciación públicas.</w:t>
      </w:r>
      <w:r>
        <w:rPr>
          <w:position w:val="7"/>
          <w:sz w:val="13"/>
        </w:rPr>
        <w:t>79</w:t>
      </w:r>
    </w:p>
    <w:p w:rsidR="007A0A6C" w:rsidRDefault="00660E26">
      <w:pPr>
        <w:pStyle w:val="BodyText"/>
        <w:tabs>
          <w:tab w:val="left" w:pos="1079"/>
        </w:tabs>
        <w:spacing w:before="137" w:line="276" w:lineRule="auto"/>
        <w:ind w:left="1080" w:right="626" w:hanging="740"/>
      </w:pPr>
      <w:r>
        <w:t>8(c)</w:t>
      </w:r>
      <w:r>
        <w:tab/>
        <w:t>No existe ni un mecanismo formal ni recursos adecuados para la participación de las personas con discapacidad -a través de sus organizaciones representativas- en el diseño, la aplicación, la supervisión y la evaluación de las campañas que generen concienciación y</w:t>
      </w:r>
      <w:r>
        <w:rPr>
          <w:spacing w:val="-21"/>
        </w:rPr>
        <w:t xml:space="preserve"> </w:t>
      </w:r>
      <w:r>
        <w:t>estrategias.</w:t>
      </w:r>
    </w:p>
    <w:p w:rsidR="007A0A6C" w:rsidRDefault="00660E26">
      <w:pPr>
        <w:pStyle w:val="Heading2"/>
        <w:tabs>
          <w:tab w:val="left" w:pos="10805"/>
        </w:tabs>
        <w:spacing w:before="168"/>
      </w:pPr>
      <w:r>
        <w:rPr>
          <w:color w:val="FFFFFF"/>
          <w:spacing w:val="-37"/>
          <w:shd w:val="clear" w:color="auto" w:fill="4C418E"/>
        </w:rPr>
        <w:t xml:space="preserve"> </w:t>
      </w:r>
      <w:r>
        <w:rPr>
          <w:color w:val="FFFFFF"/>
          <w:shd w:val="clear" w:color="auto" w:fill="4C418E"/>
        </w:rPr>
        <w:t>Recomendaciones</w:t>
      </w:r>
      <w:r>
        <w:rPr>
          <w:color w:val="FFFFFF"/>
          <w:shd w:val="clear" w:color="auto" w:fill="4C418E"/>
        </w:rPr>
        <w:tab/>
      </w:r>
    </w:p>
    <w:p w:rsidR="007A0A6C" w:rsidRDefault="00660E26">
      <w:pPr>
        <w:pStyle w:val="BodyText"/>
        <w:spacing w:before="209"/>
        <w:ind w:left="340"/>
      </w:pPr>
      <w:r>
        <w:t>Que</w:t>
      </w:r>
      <w:r>
        <w:rPr>
          <w:spacing w:val="-12"/>
        </w:rPr>
        <w:t xml:space="preserve"> </w:t>
      </w:r>
      <w:r>
        <w:t>Australia:</w:t>
      </w:r>
    </w:p>
    <w:p w:rsidR="007A0A6C" w:rsidRDefault="00660E26">
      <w:pPr>
        <w:pStyle w:val="ListParagraph"/>
        <w:numPr>
          <w:ilvl w:val="1"/>
          <w:numId w:val="16"/>
        </w:numPr>
        <w:tabs>
          <w:tab w:val="left" w:pos="1085"/>
        </w:tabs>
        <w:spacing w:before="119" w:line="268" w:lineRule="auto"/>
        <w:ind w:right="586" w:hanging="180"/>
      </w:pPr>
      <w:r>
        <w:t>Elabore una estrategia gubernamental en toda la nación para promover las imágenes positivas y los derechos humanos de las personas con discapacidad en consonancia con la</w:t>
      </w:r>
      <w:r>
        <w:rPr>
          <w:spacing w:val="-29"/>
        </w:rPr>
        <w:t xml:space="preserve"> </w:t>
      </w:r>
      <w:r>
        <w:t>CRPD.</w:t>
      </w:r>
    </w:p>
    <w:p w:rsidR="007A0A6C" w:rsidRDefault="007A0A6C">
      <w:pPr>
        <w:spacing w:line="268" w:lineRule="auto"/>
        <w:sectPr w:rsidR="007A0A6C">
          <w:pgSz w:w="11910" w:h="16840"/>
          <w:pgMar w:top="640" w:right="440" w:bottom="540" w:left="380" w:header="0" w:footer="343" w:gutter="0"/>
          <w:cols w:space="720"/>
        </w:sectPr>
      </w:pPr>
    </w:p>
    <w:p w:rsidR="007A0A6C" w:rsidRDefault="00660E26">
      <w:pPr>
        <w:pStyle w:val="Heading1"/>
        <w:tabs>
          <w:tab w:val="left" w:pos="10805"/>
        </w:tabs>
      </w:pPr>
      <w:bookmarkStart w:id="35" w:name="Accesibilidad_(artículo_9)"/>
      <w:bookmarkStart w:id="36" w:name="_bookmark10"/>
      <w:bookmarkEnd w:id="35"/>
      <w:bookmarkEnd w:id="36"/>
      <w:r>
        <w:rPr>
          <w:color w:val="FFFFFF"/>
          <w:spacing w:val="-59"/>
          <w:shd w:val="clear" w:color="auto" w:fill="B31D30"/>
        </w:rPr>
        <w:lastRenderedPageBreak/>
        <w:t xml:space="preserve"> </w:t>
      </w:r>
      <w:bookmarkStart w:id="37" w:name="_Toc15026987"/>
      <w:bookmarkStart w:id="38" w:name="_Toc15027127"/>
      <w:r>
        <w:rPr>
          <w:color w:val="FFFFFF"/>
          <w:shd w:val="clear" w:color="auto" w:fill="B31D30"/>
        </w:rPr>
        <w:t>Accesibilidad (artículo</w:t>
      </w:r>
      <w:r>
        <w:rPr>
          <w:color w:val="FFFFFF"/>
          <w:spacing w:val="-13"/>
          <w:shd w:val="clear" w:color="auto" w:fill="B31D30"/>
        </w:rPr>
        <w:t xml:space="preserve"> </w:t>
      </w:r>
      <w:r>
        <w:rPr>
          <w:color w:val="FFFFFF"/>
          <w:shd w:val="clear" w:color="auto" w:fill="B31D30"/>
        </w:rPr>
        <w:t>9)</w:t>
      </w:r>
      <w:bookmarkEnd w:id="37"/>
      <w:bookmarkEnd w:id="38"/>
      <w:r>
        <w:rPr>
          <w:color w:val="FFFFFF"/>
          <w:shd w:val="clear" w:color="auto" w:fill="B31D30"/>
        </w:rPr>
        <w:tab/>
      </w:r>
    </w:p>
    <w:p w:rsidR="007A0A6C" w:rsidRDefault="00660E26">
      <w:pPr>
        <w:pStyle w:val="ListParagraph"/>
        <w:numPr>
          <w:ilvl w:val="0"/>
          <w:numId w:val="13"/>
        </w:numPr>
        <w:tabs>
          <w:tab w:val="left" w:pos="1059"/>
          <w:tab w:val="left" w:pos="1060"/>
        </w:tabs>
        <w:spacing w:before="161" w:line="247" w:lineRule="auto"/>
        <w:ind w:right="415"/>
        <w:rPr>
          <w:sz w:val="13"/>
        </w:rPr>
      </w:pPr>
      <w:r>
        <w:t xml:space="preserve">Hubo tres revisiones de las </w:t>
      </w:r>
      <w:r>
        <w:rPr>
          <w:i/>
        </w:rPr>
        <w:t xml:space="preserve">Normas sobre Discapacidad para </w:t>
      </w:r>
      <w:r>
        <w:rPr>
          <w:i/>
          <w:spacing w:val="-5"/>
        </w:rPr>
        <w:t xml:space="preserve">Tener </w:t>
      </w:r>
      <w:r>
        <w:rPr>
          <w:i/>
        </w:rPr>
        <w:t>Acceso al Transporte Público (2002)</w:t>
      </w:r>
      <w:r>
        <w:rPr>
          <w:position w:val="7"/>
          <w:sz w:val="13"/>
        </w:rPr>
        <w:t xml:space="preserve">80 </w:t>
      </w:r>
      <w:r>
        <w:t>y cada revisión recomendaba el establecimiento de un marco nacional para el informe sobre cumplimiento. El Gobierno de Australia no ha actuado con respecto a esta</w:t>
      </w:r>
      <w:r>
        <w:rPr>
          <w:spacing w:val="-34"/>
        </w:rPr>
        <w:t xml:space="preserve"> </w:t>
      </w:r>
      <w:r>
        <w:t>recomendación.</w:t>
      </w:r>
      <w:r>
        <w:rPr>
          <w:position w:val="7"/>
          <w:sz w:val="13"/>
        </w:rPr>
        <w:t>81</w:t>
      </w:r>
      <w:r>
        <w:rPr>
          <w:sz w:val="13"/>
        </w:rPr>
        <w:t xml:space="preserve"> </w:t>
      </w:r>
      <w:r>
        <w:t>El transporte accesible sigue siendo un problema clave para las personas con</w:t>
      </w:r>
      <w:r>
        <w:rPr>
          <w:spacing w:val="-32"/>
        </w:rPr>
        <w:t xml:space="preserve"> </w:t>
      </w:r>
      <w:r>
        <w:t>discapacidad.</w:t>
      </w:r>
      <w:r>
        <w:rPr>
          <w:position w:val="7"/>
          <w:sz w:val="13"/>
        </w:rPr>
        <w:t>82</w:t>
      </w:r>
    </w:p>
    <w:p w:rsidR="007A0A6C" w:rsidRDefault="00660E26">
      <w:pPr>
        <w:pStyle w:val="BodyText"/>
        <w:spacing w:before="138" w:line="247" w:lineRule="auto"/>
        <w:ind w:right="495"/>
        <w:rPr>
          <w:sz w:val="13"/>
        </w:rPr>
      </w:pPr>
      <w:r>
        <w:t xml:space="preserve">Se carece de una estructura de gobernanza coherente para avanzar en la reforma de las </w:t>
      </w:r>
      <w:r>
        <w:rPr>
          <w:i/>
        </w:rPr>
        <w:t xml:space="preserve">Normas sobre Discapacidad (acceso a predios: edificios) de 2010. </w:t>
      </w:r>
      <w:r>
        <w:t>No se dispone de un marco coherente a nivel estado y territorio para recopilar datos relacionados con el desempeño de las Normas en los Predios; además no existe ni comprensión ni concienciación adecuada de las Normas.</w:t>
      </w:r>
      <w:r>
        <w:rPr>
          <w:position w:val="7"/>
          <w:sz w:val="13"/>
        </w:rPr>
        <w:t xml:space="preserve">83 </w:t>
      </w:r>
      <w:r>
        <w:t>Un porcentaje importante del entorno construido existente sigue siendo inaccesible.</w:t>
      </w:r>
      <w:r>
        <w:rPr>
          <w:position w:val="7"/>
          <w:sz w:val="13"/>
        </w:rPr>
        <w:t>84</w:t>
      </w:r>
    </w:p>
    <w:p w:rsidR="007A0A6C" w:rsidRDefault="00660E26">
      <w:pPr>
        <w:spacing w:before="137" w:line="247" w:lineRule="auto"/>
        <w:ind w:left="1060" w:right="473"/>
      </w:pPr>
      <w:r>
        <w:t xml:space="preserve">La DDA no abarca las </w:t>
      </w:r>
      <w:r>
        <w:rPr>
          <w:i/>
        </w:rPr>
        <w:t>Normas Nacionales para los Servicios de Discapacidad (2013)</w:t>
      </w:r>
      <w:r>
        <w:t>.</w:t>
      </w:r>
      <w:r>
        <w:rPr>
          <w:position w:val="7"/>
          <w:sz w:val="13"/>
        </w:rPr>
        <w:t xml:space="preserve">85 </w:t>
      </w:r>
      <w:r>
        <w:t>La supervisión y el cumplimiento están terciarizados a un organismo de certificación independiente.</w:t>
      </w:r>
      <w:r>
        <w:rPr>
          <w:position w:val="7"/>
          <w:sz w:val="13"/>
        </w:rPr>
        <w:t xml:space="preserve">86 </w:t>
      </w:r>
      <w:r>
        <w:t>No hay información pública sobre el cumplimiento del servicio con las Normas.</w:t>
      </w:r>
    </w:p>
    <w:p w:rsidR="007A0A6C" w:rsidRDefault="00660E26">
      <w:pPr>
        <w:pStyle w:val="ListParagraph"/>
        <w:numPr>
          <w:ilvl w:val="0"/>
          <w:numId w:val="13"/>
        </w:numPr>
        <w:tabs>
          <w:tab w:val="left" w:pos="1059"/>
          <w:tab w:val="left" w:pos="1060"/>
        </w:tabs>
        <w:spacing w:before="138" w:line="247" w:lineRule="auto"/>
        <w:ind w:right="307"/>
        <w:rPr>
          <w:sz w:val="13"/>
        </w:rPr>
      </w:pPr>
      <w:r>
        <w:t xml:space="preserve">La DDA y la </w:t>
      </w:r>
      <w:r>
        <w:rPr>
          <w:i/>
        </w:rPr>
        <w:t xml:space="preserve">NDS </w:t>
      </w:r>
      <w:r>
        <w:t>siguen siendo el principal marco legislativo y político diseñado para incrementar la igualdad de accesos para las personas con discapacidad. No obstante, aún queda pendiente la accesibilidad al transporte, al entorno construido, a las viviendas, a la información y a los modos de comunicación.</w:t>
      </w:r>
      <w:r>
        <w:rPr>
          <w:position w:val="7"/>
          <w:sz w:val="13"/>
        </w:rPr>
        <w:t xml:space="preserve">87 </w:t>
      </w:r>
      <w:r>
        <w:t>Se registró un impacto mínimo en lo referente al aumento de la igualdad de acceso para las personas con</w:t>
      </w:r>
      <w:r>
        <w:rPr>
          <w:spacing w:val="-5"/>
        </w:rPr>
        <w:t xml:space="preserve"> </w:t>
      </w:r>
      <w:r>
        <w:t>discapacidad.</w:t>
      </w:r>
      <w:r>
        <w:rPr>
          <w:position w:val="7"/>
          <w:sz w:val="13"/>
        </w:rPr>
        <w:t>88</w:t>
      </w:r>
    </w:p>
    <w:p w:rsidR="007A0A6C" w:rsidRDefault="00660E26">
      <w:pPr>
        <w:pStyle w:val="ListParagraph"/>
        <w:numPr>
          <w:ilvl w:val="0"/>
          <w:numId w:val="13"/>
        </w:numPr>
        <w:tabs>
          <w:tab w:val="left" w:pos="1059"/>
          <w:tab w:val="left" w:pos="1060"/>
        </w:tabs>
        <w:spacing w:before="138" w:line="247" w:lineRule="auto"/>
        <w:ind w:right="428"/>
        <w:rPr>
          <w:sz w:val="13"/>
        </w:rPr>
      </w:pPr>
      <w:r>
        <w:t xml:space="preserve">No hay requisitos de acceso nacional obligatorios para la vivienda. Las </w:t>
      </w:r>
      <w:r>
        <w:rPr>
          <w:i/>
        </w:rPr>
        <w:t>Directrices de Diseño de Viviendas Habitables</w:t>
      </w:r>
      <w:r>
        <w:rPr>
          <w:position w:val="7"/>
          <w:sz w:val="13"/>
        </w:rPr>
        <w:t xml:space="preserve">89 </w:t>
      </w:r>
      <w:r>
        <w:t>plantean objetivos que aspiran a lograr que todas las casas nuevas tengan un diseño estándar de vivienda habitable acordado para 2020.</w:t>
      </w:r>
      <w:r>
        <w:rPr>
          <w:position w:val="7"/>
          <w:sz w:val="13"/>
        </w:rPr>
        <w:t xml:space="preserve">90 </w:t>
      </w:r>
      <w:r>
        <w:t>Se estima que solo un 5 % de la construcción de viviendas nuevas cumplirá con las normas para 2020.</w:t>
      </w:r>
      <w:r>
        <w:rPr>
          <w:position w:val="7"/>
          <w:sz w:val="13"/>
        </w:rPr>
        <w:t xml:space="preserve">91 </w:t>
      </w:r>
      <w:r>
        <w:t xml:space="preserve">Es necesario que se logre un cambio en la intervención reguladora a través del </w:t>
      </w:r>
      <w:r>
        <w:rPr>
          <w:i/>
        </w:rPr>
        <w:t>Código Nacional de</w:t>
      </w:r>
      <w:r>
        <w:rPr>
          <w:i/>
          <w:spacing w:val="-31"/>
        </w:rPr>
        <w:t xml:space="preserve"> </w:t>
      </w:r>
      <w:r>
        <w:rPr>
          <w:i/>
        </w:rPr>
        <w:t>Construcción</w:t>
      </w:r>
      <w:r>
        <w:t>.</w:t>
      </w:r>
      <w:r>
        <w:rPr>
          <w:position w:val="7"/>
          <w:sz w:val="13"/>
        </w:rPr>
        <w:t>92,93</w:t>
      </w:r>
    </w:p>
    <w:p w:rsidR="007A0A6C" w:rsidRDefault="00660E26">
      <w:pPr>
        <w:pStyle w:val="Heading2"/>
        <w:tabs>
          <w:tab w:val="left" w:pos="10805"/>
        </w:tabs>
        <w:spacing w:before="206"/>
      </w:pPr>
      <w:r>
        <w:rPr>
          <w:color w:val="FFFFFF"/>
          <w:spacing w:val="-37"/>
          <w:shd w:val="clear" w:color="auto" w:fill="4C418E"/>
        </w:rPr>
        <w:t xml:space="preserve"> </w:t>
      </w:r>
      <w:r>
        <w:rPr>
          <w:color w:val="FFFFFF"/>
          <w:shd w:val="clear" w:color="auto" w:fill="4C418E"/>
        </w:rPr>
        <w:t>Recomendaciones</w:t>
      </w:r>
      <w:r>
        <w:rPr>
          <w:color w:val="FFFFFF"/>
          <w:shd w:val="clear" w:color="auto" w:fill="4C418E"/>
        </w:rPr>
        <w:tab/>
      </w:r>
    </w:p>
    <w:p w:rsidR="007A0A6C" w:rsidRDefault="00660E26">
      <w:pPr>
        <w:pStyle w:val="BodyText"/>
        <w:spacing w:before="179"/>
        <w:ind w:left="340"/>
      </w:pPr>
      <w:r>
        <w:t>Que Australia:</w:t>
      </w:r>
    </w:p>
    <w:p w:rsidR="007A0A6C" w:rsidRDefault="00660E26">
      <w:pPr>
        <w:pStyle w:val="ListParagraph"/>
        <w:numPr>
          <w:ilvl w:val="1"/>
          <w:numId w:val="13"/>
        </w:numPr>
        <w:tabs>
          <w:tab w:val="left" w:pos="1085"/>
        </w:tabs>
        <w:spacing w:before="88" w:line="244" w:lineRule="auto"/>
        <w:ind w:right="645" w:hanging="180"/>
      </w:pPr>
      <w:r>
        <w:t xml:space="preserve">Establezca y promulgue un marco nacional para informar sobre el cumplimiento obligatorio relativo a las </w:t>
      </w:r>
      <w:r>
        <w:rPr>
          <w:i/>
        </w:rPr>
        <w:t>Normas sobre discapacidad para tener acceso al transporte público</w:t>
      </w:r>
      <w:r>
        <w:t xml:space="preserve">; las </w:t>
      </w:r>
      <w:r>
        <w:rPr>
          <w:i/>
        </w:rPr>
        <w:t>Normas sobre discapacidad (acceso a predios: edificios)</w:t>
      </w:r>
      <w:r>
        <w:t xml:space="preserve">; y las </w:t>
      </w:r>
      <w:r>
        <w:rPr>
          <w:i/>
        </w:rPr>
        <w:t>Normas nacionales sobre los servicios de discapacidad</w:t>
      </w:r>
      <w:r>
        <w:t>.</w:t>
      </w:r>
    </w:p>
    <w:p w:rsidR="007A0A6C" w:rsidRDefault="00660E26">
      <w:pPr>
        <w:pStyle w:val="ListParagraph"/>
        <w:numPr>
          <w:ilvl w:val="1"/>
          <w:numId w:val="13"/>
        </w:numPr>
        <w:tabs>
          <w:tab w:val="left" w:pos="1085"/>
        </w:tabs>
        <w:spacing w:before="125" w:line="242" w:lineRule="auto"/>
        <w:ind w:right="804" w:hanging="180"/>
      </w:pPr>
      <w:r>
        <w:t xml:space="preserve">Modifique el </w:t>
      </w:r>
      <w:r>
        <w:rPr>
          <w:i/>
        </w:rPr>
        <w:t xml:space="preserve">Código Nacional de Construcción </w:t>
      </w:r>
      <w:r>
        <w:t>para exigir las condiciones de acceso mínimo a todas las viviendas nuevas y a las sustancialmente</w:t>
      </w:r>
      <w:r>
        <w:rPr>
          <w:spacing w:val="-6"/>
        </w:rPr>
        <w:t xml:space="preserve"> </w:t>
      </w:r>
      <w:r>
        <w:t>modificadas.</w:t>
      </w:r>
    </w:p>
    <w:p w:rsidR="007A0A6C" w:rsidRDefault="00660E26">
      <w:pPr>
        <w:pStyle w:val="ListParagraph"/>
        <w:numPr>
          <w:ilvl w:val="1"/>
          <w:numId w:val="13"/>
        </w:numPr>
        <w:tabs>
          <w:tab w:val="left" w:pos="1085"/>
        </w:tabs>
        <w:spacing w:before="125" w:line="242" w:lineRule="auto"/>
        <w:ind w:right="278" w:hanging="180"/>
      </w:pPr>
      <w:r>
        <w:t>Incorpore medidas para abordar el cumplimiento de la totalidad de las obligaciones de accesibilidad en virtud del Artículo 9 de la</w:t>
      </w:r>
      <w:r>
        <w:rPr>
          <w:spacing w:val="-18"/>
        </w:rPr>
        <w:t xml:space="preserve"> </w:t>
      </w:r>
      <w:r>
        <w:t>CRPD.</w:t>
      </w:r>
    </w:p>
    <w:p w:rsidR="007A0A6C" w:rsidRDefault="007A0A6C">
      <w:pPr>
        <w:spacing w:line="242" w:lineRule="auto"/>
        <w:sectPr w:rsidR="007A0A6C">
          <w:pgSz w:w="11910" w:h="16840"/>
          <w:pgMar w:top="640" w:right="440" w:bottom="540" w:left="380" w:header="0" w:footer="343" w:gutter="0"/>
          <w:cols w:space="720"/>
        </w:sectPr>
      </w:pPr>
    </w:p>
    <w:p w:rsidR="007A0A6C" w:rsidRDefault="00660E26">
      <w:pPr>
        <w:pStyle w:val="Heading1"/>
        <w:tabs>
          <w:tab w:val="left" w:pos="10802"/>
        </w:tabs>
        <w:ind w:left="337"/>
      </w:pPr>
      <w:bookmarkStart w:id="39" w:name="Derecho_a_la_vida_(artículo_10)"/>
      <w:bookmarkStart w:id="40" w:name="_bookmark11"/>
      <w:bookmarkEnd w:id="39"/>
      <w:bookmarkEnd w:id="40"/>
      <w:r>
        <w:rPr>
          <w:color w:val="FFFFFF"/>
          <w:spacing w:val="-59"/>
          <w:shd w:val="clear" w:color="auto" w:fill="B31D30"/>
        </w:rPr>
        <w:lastRenderedPageBreak/>
        <w:t xml:space="preserve"> </w:t>
      </w:r>
      <w:bookmarkStart w:id="41" w:name="_Toc15026988"/>
      <w:bookmarkStart w:id="42" w:name="_Toc15027128"/>
      <w:r>
        <w:rPr>
          <w:color w:val="FFFFFF"/>
          <w:shd w:val="clear" w:color="auto" w:fill="B31D30"/>
        </w:rPr>
        <w:t>Derecho a la vida (artículo</w:t>
      </w:r>
      <w:r>
        <w:rPr>
          <w:color w:val="FFFFFF"/>
          <w:spacing w:val="-26"/>
          <w:shd w:val="clear" w:color="auto" w:fill="B31D30"/>
        </w:rPr>
        <w:t xml:space="preserve"> </w:t>
      </w:r>
      <w:r>
        <w:rPr>
          <w:color w:val="FFFFFF"/>
          <w:spacing w:val="-3"/>
          <w:shd w:val="clear" w:color="auto" w:fill="B31D30"/>
        </w:rPr>
        <w:t>10)</w:t>
      </w:r>
      <w:bookmarkEnd w:id="41"/>
      <w:bookmarkEnd w:id="42"/>
      <w:r>
        <w:rPr>
          <w:color w:val="FFFFFF"/>
          <w:spacing w:val="-3"/>
          <w:shd w:val="clear" w:color="auto" w:fill="B31D30"/>
        </w:rPr>
        <w:tab/>
      </w:r>
    </w:p>
    <w:p w:rsidR="007A0A6C" w:rsidRDefault="00660E26">
      <w:pPr>
        <w:pStyle w:val="BodyText"/>
        <w:spacing w:before="181" w:line="247" w:lineRule="auto"/>
        <w:ind w:left="1057" w:right="1084"/>
        <w:rPr>
          <w:sz w:val="13"/>
        </w:rPr>
      </w:pPr>
      <w:r>
        <w:t>Las personas con discapacidad tienen una esperanza de vida de hasta 20 años menos que aquellas sin discapacidad.</w:t>
      </w:r>
      <w:r>
        <w:rPr>
          <w:position w:val="7"/>
          <w:sz w:val="13"/>
        </w:rPr>
        <w:t>94</w:t>
      </w:r>
    </w:p>
    <w:p w:rsidR="007A0A6C" w:rsidRDefault="00660E26">
      <w:pPr>
        <w:pStyle w:val="BodyText"/>
        <w:spacing w:before="139" w:line="247" w:lineRule="auto"/>
        <w:ind w:left="1057" w:right="384"/>
        <w:rPr>
          <w:sz w:val="13"/>
        </w:rPr>
      </w:pPr>
      <w:r>
        <w:t>La menor esperanza de vida tiene un mayor impacto sobre las personas indígenas con discapacidad. La tasa de discapacidad de las personas indígenas, incluidos los niños,</w:t>
      </w:r>
      <w:r>
        <w:rPr>
          <w:position w:val="7"/>
          <w:sz w:val="13"/>
        </w:rPr>
        <w:t xml:space="preserve">95 </w:t>
      </w:r>
      <w:r>
        <w:t>es del doble que la de la población en general.</w:t>
      </w:r>
      <w:r>
        <w:rPr>
          <w:position w:val="7"/>
          <w:sz w:val="13"/>
        </w:rPr>
        <w:t xml:space="preserve">96 </w:t>
      </w:r>
      <w:r>
        <w:t>La brecha entre la esperanza de vida de los australianos indígenas y la de los no indígenas es de aproximadamente 10,6 años para los hombres y 9,5 años para las mujeres.</w:t>
      </w:r>
      <w:r>
        <w:rPr>
          <w:position w:val="7"/>
          <w:sz w:val="13"/>
        </w:rPr>
        <w:t xml:space="preserve">97 </w:t>
      </w:r>
      <w:r>
        <w:t>Los niños indígenas tienen el doble de probabilidad que los niños no indígenas de morir antes de la edad de cinco años.</w:t>
      </w:r>
      <w:r>
        <w:rPr>
          <w:position w:val="7"/>
          <w:sz w:val="13"/>
        </w:rPr>
        <w:t>98</w:t>
      </w:r>
    </w:p>
    <w:p w:rsidR="007A0A6C" w:rsidRDefault="00660E26">
      <w:pPr>
        <w:pStyle w:val="BodyText"/>
        <w:spacing w:before="137" w:line="247" w:lineRule="auto"/>
        <w:ind w:left="1057" w:right="474"/>
        <w:rPr>
          <w:sz w:val="13"/>
        </w:rPr>
      </w:pPr>
      <w:r>
        <w:t>En 2017, el suicidio estaba entre las causas más importantes de muerte entre los niños indígenas de entre 5 y 17 años.</w:t>
      </w:r>
      <w:r>
        <w:rPr>
          <w:position w:val="7"/>
          <w:sz w:val="13"/>
        </w:rPr>
        <w:t xml:space="preserve">99 </w:t>
      </w:r>
      <w:r>
        <w:t>Los niños indígenas que tienen entre 10 y 14 años mueren por suicidio a una tasa de un 8,4 mayor que la de los niños no indígenas.</w:t>
      </w:r>
      <w:r>
        <w:rPr>
          <w:position w:val="7"/>
          <w:sz w:val="13"/>
        </w:rPr>
        <w:t>100</w:t>
      </w:r>
    </w:p>
    <w:p w:rsidR="007A0A6C" w:rsidRDefault="00660E26">
      <w:pPr>
        <w:pStyle w:val="BodyText"/>
        <w:spacing w:before="138" w:line="247" w:lineRule="auto"/>
        <w:ind w:left="1057" w:right="247"/>
        <w:rPr>
          <w:sz w:val="13"/>
        </w:rPr>
      </w:pPr>
      <w:r>
        <w:t>El suicidio sigue siendo la causa principal de muerte entre las personas que tienen entre 15 y 44 años,</w:t>
      </w:r>
      <w:r>
        <w:rPr>
          <w:position w:val="7"/>
          <w:sz w:val="13"/>
        </w:rPr>
        <w:t xml:space="preserve">101 </w:t>
      </w:r>
      <w:r>
        <w:t>lo que equivale a más de ocho muertes por suicidio por día.</w:t>
      </w:r>
      <w:r>
        <w:rPr>
          <w:position w:val="7"/>
          <w:sz w:val="13"/>
        </w:rPr>
        <w:t xml:space="preserve">102 </w:t>
      </w:r>
      <w:r>
        <w:t>La tasa de suicidio entre las personas indígenas es más del doble que la tasa nacional.</w:t>
      </w:r>
      <w:r>
        <w:rPr>
          <w:position w:val="7"/>
          <w:sz w:val="13"/>
        </w:rPr>
        <w:t xml:space="preserve">103 </w:t>
      </w:r>
      <w:r>
        <w:t>Una cantidad alarmante de personas con discapacidad expresan ideas de suicidio, en su mayoría debidas a la falta de apoyo, a la pobreza y al aislamiento.</w:t>
      </w:r>
      <w:r>
        <w:rPr>
          <w:position w:val="7"/>
          <w:sz w:val="13"/>
        </w:rPr>
        <w:t>104</w:t>
      </w:r>
    </w:p>
    <w:p w:rsidR="007A0A6C" w:rsidRDefault="00660E26">
      <w:pPr>
        <w:pStyle w:val="BodyText"/>
        <w:spacing w:before="137" w:line="247" w:lineRule="auto"/>
        <w:ind w:left="1057" w:right="417"/>
        <w:jc w:val="both"/>
        <w:rPr>
          <w:sz w:val="13"/>
        </w:rPr>
      </w:pPr>
      <w:r>
        <w:t>En comparación con la población en general, las personas con discapacidad intelectual tienen una esperanza de vida promedio de hasta 26 años menos</w:t>
      </w:r>
      <w:r>
        <w:rPr>
          <w:position w:val="7"/>
          <w:sz w:val="13"/>
        </w:rPr>
        <w:t xml:space="preserve">105 </w:t>
      </w:r>
      <w:r>
        <w:t>y tienen el doble de probabilidad de morir por causas potencialmente evitables.</w:t>
      </w:r>
      <w:r>
        <w:rPr>
          <w:position w:val="7"/>
          <w:sz w:val="13"/>
        </w:rPr>
        <w:t>106</w:t>
      </w:r>
    </w:p>
    <w:p w:rsidR="007A0A6C" w:rsidRDefault="00660E26">
      <w:pPr>
        <w:pStyle w:val="BodyText"/>
        <w:spacing w:before="138" w:line="247" w:lineRule="auto"/>
        <w:ind w:left="1057" w:right="967"/>
        <w:jc w:val="both"/>
        <w:rPr>
          <w:sz w:val="13"/>
        </w:rPr>
      </w:pPr>
      <w:r>
        <w:t>La tasa de muertes prematuras y evitables de las personas con discapacidad en entornos de asistencia es alarmantemente elevada. Más de la mitad de todas las muertes en entornos de asistencia son consideradas como inesperadas y potencialmente evitables.</w:t>
      </w:r>
      <w:r>
        <w:rPr>
          <w:position w:val="7"/>
          <w:sz w:val="13"/>
        </w:rPr>
        <w:t>107</w:t>
      </w:r>
    </w:p>
    <w:p w:rsidR="007A0A6C" w:rsidRDefault="00660E26">
      <w:pPr>
        <w:pStyle w:val="Heading2"/>
        <w:tabs>
          <w:tab w:val="left" w:pos="10802"/>
        </w:tabs>
        <w:spacing w:before="208"/>
        <w:ind w:left="337"/>
      </w:pPr>
      <w:r>
        <w:rPr>
          <w:color w:val="FFFFFF"/>
          <w:spacing w:val="-37"/>
          <w:shd w:val="clear" w:color="auto" w:fill="4C418E"/>
        </w:rPr>
        <w:t xml:space="preserve"> </w:t>
      </w:r>
      <w:r>
        <w:rPr>
          <w:color w:val="FFFFFF"/>
          <w:shd w:val="clear" w:color="auto" w:fill="4C418E"/>
        </w:rPr>
        <w:t>Recomendaciones</w:t>
      </w:r>
      <w:r>
        <w:rPr>
          <w:color w:val="FFFFFF"/>
          <w:shd w:val="clear" w:color="auto" w:fill="4C418E"/>
        </w:rPr>
        <w:tab/>
      </w:r>
    </w:p>
    <w:p w:rsidR="007A0A6C" w:rsidRDefault="00660E26">
      <w:pPr>
        <w:pStyle w:val="BodyText"/>
        <w:spacing w:before="179"/>
        <w:ind w:left="337"/>
      </w:pPr>
      <w:r>
        <w:t>Que Australia:</w:t>
      </w:r>
    </w:p>
    <w:p w:rsidR="007A0A6C" w:rsidRDefault="00660E26">
      <w:pPr>
        <w:pStyle w:val="ListParagraph"/>
        <w:numPr>
          <w:ilvl w:val="1"/>
          <w:numId w:val="13"/>
        </w:numPr>
        <w:tabs>
          <w:tab w:val="left" w:pos="1082"/>
        </w:tabs>
        <w:spacing w:before="88" w:line="242" w:lineRule="auto"/>
        <w:ind w:left="1057" w:right="340" w:hanging="180"/>
      </w:pPr>
      <w:r>
        <w:t>En consulta con las personas indígenas, elabore medidas para abordar la alta tasa de suicidio, con medidas específicas para los niños</w:t>
      </w:r>
      <w:r>
        <w:rPr>
          <w:spacing w:val="-6"/>
        </w:rPr>
        <w:t xml:space="preserve"> </w:t>
      </w:r>
      <w:r>
        <w:t>indígenas.</w:t>
      </w:r>
    </w:p>
    <w:p w:rsidR="007A0A6C" w:rsidRDefault="00660E26">
      <w:pPr>
        <w:pStyle w:val="ListParagraph"/>
        <w:numPr>
          <w:ilvl w:val="1"/>
          <w:numId w:val="13"/>
        </w:numPr>
        <w:tabs>
          <w:tab w:val="left" w:pos="1082"/>
        </w:tabs>
        <w:spacing w:before="126" w:line="242" w:lineRule="auto"/>
        <w:ind w:left="1057" w:right="1160" w:hanging="180"/>
      </w:pPr>
      <w:r>
        <w:t xml:space="preserve">Garantice que el </w:t>
      </w:r>
      <w:r>
        <w:rPr>
          <w:i/>
        </w:rPr>
        <w:t xml:space="preserve">Plan Nacional de Salud Mental y Prevención del Suicidio </w:t>
      </w:r>
      <w:r>
        <w:t>incluya medidas específicas para las personas con</w:t>
      </w:r>
      <w:r>
        <w:rPr>
          <w:spacing w:val="-7"/>
        </w:rPr>
        <w:t xml:space="preserve"> </w:t>
      </w:r>
      <w:r>
        <w:t>discapacidad.</w:t>
      </w:r>
    </w:p>
    <w:p w:rsidR="007A0A6C" w:rsidRDefault="00660E26">
      <w:pPr>
        <w:pStyle w:val="ListParagraph"/>
        <w:numPr>
          <w:ilvl w:val="1"/>
          <w:numId w:val="13"/>
        </w:numPr>
        <w:tabs>
          <w:tab w:val="left" w:pos="1082"/>
        </w:tabs>
        <w:spacing w:before="126" w:line="244" w:lineRule="auto"/>
        <w:ind w:left="1057" w:right="379" w:hanging="180"/>
      </w:pPr>
      <w:r>
        <w:t>Garantice que la formación de los profesionales sanitarios incluya la educación sobre los derechos humanos de las personas con discapacidad, en cuanto al derecho a la vida y al acceso a la atención y tratamiento adecuados para cubrir sus necesidades</w:t>
      </w:r>
      <w:r>
        <w:rPr>
          <w:spacing w:val="-9"/>
        </w:rPr>
        <w:t xml:space="preserve"> </w:t>
      </w:r>
      <w:r>
        <w:t>vitales.</w:t>
      </w:r>
    </w:p>
    <w:p w:rsidR="007A0A6C" w:rsidRDefault="007A0A6C">
      <w:pPr>
        <w:spacing w:line="244" w:lineRule="auto"/>
        <w:sectPr w:rsidR="007A0A6C">
          <w:pgSz w:w="11910" w:h="16840"/>
          <w:pgMar w:top="620" w:right="440" w:bottom="540" w:left="380" w:header="0" w:footer="343" w:gutter="0"/>
          <w:cols w:space="720"/>
        </w:sectPr>
      </w:pPr>
    </w:p>
    <w:p w:rsidR="007A0A6C" w:rsidRDefault="004638C1">
      <w:pPr>
        <w:pStyle w:val="BodyText"/>
        <w:ind w:left="337"/>
        <w:rPr>
          <w:sz w:val="20"/>
        </w:rPr>
      </w:pPr>
      <w:r>
        <w:rPr>
          <w:sz w:val="20"/>
        </w:rPr>
      </w:r>
      <w:r>
        <w:rPr>
          <w:sz w:val="20"/>
        </w:rPr>
        <w:pict>
          <v:shape id="_x0000_s1035" type="#_x0000_t202" alt="" style="width:523.3pt;height:57.2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b31d30" stroked="f">
            <v:textbox inset="0,0,0,0">
              <w:txbxContent>
                <w:p w:rsidR="007A0A6C" w:rsidRDefault="00660E26">
                  <w:pPr>
                    <w:spacing w:before="38" w:line="230" w:lineRule="auto"/>
                    <w:ind w:left="59" w:right="1148"/>
                    <w:rPr>
                      <w:rFonts w:ascii="Raleway-SemiBold" w:hAnsi="Raleway-SemiBold"/>
                      <w:b/>
                      <w:sz w:val="48"/>
                    </w:rPr>
                  </w:pPr>
                  <w:bookmarkStart w:id="43" w:name="Situaciones_de_riesgo_y_emergencias_huma"/>
                  <w:bookmarkStart w:id="44" w:name="_bookmark12"/>
                  <w:bookmarkEnd w:id="43"/>
                  <w:bookmarkEnd w:id="44"/>
                  <w:r>
                    <w:rPr>
                      <w:rFonts w:ascii="Raleway-SemiBold" w:hAnsi="Raleway-SemiBold"/>
                      <w:b/>
                      <w:color w:val="FFFFFF"/>
                      <w:sz w:val="48"/>
                    </w:rPr>
                    <w:t>Situaciones de riesgo y emergencias humanitarias (artículo 11)</w:t>
                  </w:r>
                </w:p>
              </w:txbxContent>
            </v:textbox>
            <w10:anchorlock/>
          </v:shape>
        </w:pict>
      </w:r>
    </w:p>
    <w:p w:rsidR="007A0A6C" w:rsidRDefault="00660E26">
      <w:pPr>
        <w:pStyle w:val="ListParagraph"/>
        <w:numPr>
          <w:ilvl w:val="0"/>
          <w:numId w:val="13"/>
        </w:numPr>
        <w:tabs>
          <w:tab w:val="left" w:pos="1057"/>
          <w:tab w:val="left" w:pos="1058"/>
        </w:tabs>
        <w:spacing w:before="117" w:line="247" w:lineRule="auto"/>
        <w:ind w:left="1057" w:right="357"/>
        <w:rPr>
          <w:sz w:val="13"/>
        </w:rPr>
      </w:pPr>
      <w:r>
        <w:t>No existen normas de gestión uniformes ante casos de emergencia a nivel nacional que garanticen el acceso a la ayuda adecuada para la discapacidad y para las personas con discapacidad específica para situaciones de</w:t>
      </w:r>
      <w:r>
        <w:rPr>
          <w:spacing w:val="-5"/>
        </w:rPr>
        <w:t xml:space="preserve"> </w:t>
      </w:r>
      <w:r>
        <w:t>emergencia.</w:t>
      </w:r>
      <w:r>
        <w:rPr>
          <w:position w:val="7"/>
          <w:sz w:val="13"/>
        </w:rPr>
        <w:t>108</w:t>
      </w:r>
    </w:p>
    <w:p w:rsidR="007A0A6C" w:rsidRDefault="00660E26">
      <w:pPr>
        <w:pStyle w:val="BodyText"/>
        <w:spacing w:before="138" w:line="247" w:lineRule="auto"/>
        <w:ind w:left="1057"/>
      </w:pPr>
      <w:r>
        <w:t>El Departamento de Asuntos Interiores está liderando la denuncia de Australia contra el Marco de Sendai</w:t>
      </w:r>
      <w:r>
        <w:rPr>
          <w:position w:val="7"/>
          <w:sz w:val="13"/>
        </w:rPr>
        <w:t xml:space="preserve">109 </w:t>
      </w:r>
      <w:r>
        <w:t>y llevando a cabo la implementación</w:t>
      </w:r>
      <w:r>
        <w:rPr>
          <w:position w:val="7"/>
          <w:sz w:val="13"/>
        </w:rPr>
        <w:t xml:space="preserve">110 </w:t>
      </w:r>
      <w:r>
        <w:t>a nivel nacional; sin embargo, no se dispone de un mecanismo para la participación de las personas con discapacidad.</w:t>
      </w:r>
    </w:p>
    <w:p w:rsidR="007A0A6C" w:rsidRDefault="00660E26">
      <w:pPr>
        <w:pStyle w:val="BodyText"/>
        <w:spacing w:before="138" w:line="247" w:lineRule="auto"/>
        <w:ind w:left="1057" w:right="339"/>
        <w:rPr>
          <w:sz w:val="13"/>
        </w:rPr>
      </w:pPr>
      <w:r>
        <w:t>Los efectos del cambio climático están exacerbando las desigualdades económicas y sociales, que ya contribuyen a profundas desigualdades para las personas con discapacidad, específicamente, para las personas indígenas con discapacidad en áreas remotas.</w:t>
      </w:r>
      <w:r>
        <w:rPr>
          <w:position w:val="7"/>
          <w:sz w:val="13"/>
        </w:rPr>
        <w:t>111</w:t>
      </w:r>
    </w:p>
    <w:p w:rsidR="007A0A6C" w:rsidRDefault="00660E26">
      <w:pPr>
        <w:pStyle w:val="Heading2"/>
        <w:tabs>
          <w:tab w:val="left" w:pos="10802"/>
        </w:tabs>
        <w:spacing w:before="208"/>
        <w:ind w:left="337"/>
      </w:pPr>
      <w:r>
        <w:rPr>
          <w:color w:val="FFFFFF"/>
          <w:spacing w:val="-37"/>
          <w:shd w:val="clear" w:color="auto" w:fill="4C418E"/>
        </w:rPr>
        <w:t xml:space="preserve"> </w:t>
      </w:r>
      <w:r>
        <w:rPr>
          <w:color w:val="FFFFFF"/>
          <w:shd w:val="clear" w:color="auto" w:fill="4C418E"/>
        </w:rPr>
        <w:t>Recomendaciones</w:t>
      </w:r>
      <w:r>
        <w:rPr>
          <w:color w:val="FFFFFF"/>
          <w:shd w:val="clear" w:color="auto" w:fill="4C418E"/>
        </w:rPr>
        <w:tab/>
      </w:r>
    </w:p>
    <w:p w:rsidR="007A0A6C" w:rsidRDefault="00660E26">
      <w:pPr>
        <w:pStyle w:val="BodyText"/>
        <w:spacing w:before="179"/>
        <w:ind w:left="337"/>
      </w:pPr>
      <w:r>
        <w:t>Que Australia:</w:t>
      </w:r>
    </w:p>
    <w:p w:rsidR="007A0A6C" w:rsidRDefault="00660E26">
      <w:pPr>
        <w:pStyle w:val="ListParagraph"/>
        <w:numPr>
          <w:ilvl w:val="1"/>
          <w:numId w:val="13"/>
        </w:numPr>
        <w:tabs>
          <w:tab w:val="left" w:pos="1082"/>
        </w:tabs>
        <w:spacing w:before="88" w:line="242" w:lineRule="auto"/>
        <w:ind w:left="1057" w:right="674" w:hanging="180"/>
      </w:pPr>
      <w:r>
        <w:t>Establezca un mecanismo para que las personas con discapacidad participen en la aplicación y supervisión del Marco de</w:t>
      </w:r>
      <w:r>
        <w:rPr>
          <w:spacing w:val="-3"/>
        </w:rPr>
        <w:t xml:space="preserve"> </w:t>
      </w:r>
      <w:r>
        <w:t>Sendai.</w:t>
      </w:r>
    </w:p>
    <w:p w:rsidR="007A0A6C" w:rsidRDefault="007A0A6C">
      <w:pPr>
        <w:spacing w:line="242" w:lineRule="auto"/>
        <w:sectPr w:rsidR="007A0A6C">
          <w:pgSz w:w="11910" w:h="16840"/>
          <w:pgMar w:top="700" w:right="440" w:bottom="540" w:left="380" w:header="0" w:footer="343" w:gutter="0"/>
          <w:cols w:space="720"/>
        </w:sectPr>
      </w:pPr>
    </w:p>
    <w:p w:rsidR="007A0A6C" w:rsidRDefault="004638C1">
      <w:pPr>
        <w:pStyle w:val="BodyText"/>
        <w:ind w:left="340"/>
        <w:rPr>
          <w:sz w:val="20"/>
        </w:rPr>
      </w:pPr>
      <w:r>
        <w:rPr>
          <w:sz w:val="20"/>
        </w:rPr>
      </w:r>
      <w:r>
        <w:rPr>
          <w:sz w:val="20"/>
        </w:rPr>
        <w:pict>
          <v:shape id="_x0000_s1034" type="#_x0000_t202" alt="" style="width:523.3pt;height:57.2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b31d30" stroked="f">
            <v:textbox inset="0,0,0,0">
              <w:txbxContent>
                <w:p w:rsidR="007A0A6C" w:rsidRDefault="00660E26">
                  <w:pPr>
                    <w:spacing w:before="38" w:line="230" w:lineRule="auto"/>
                    <w:ind w:left="60" w:right="496"/>
                    <w:rPr>
                      <w:rFonts w:ascii="Raleway-SemiBold" w:hAnsi="Raleway-SemiBold"/>
                      <w:b/>
                      <w:sz w:val="48"/>
                    </w:rPr>
                  </w:pPr>
                  <w:bookmarkStart w:id="45" w:name="Igual_reconocimiento_como_persona_ante_l"/>
                  <w:bookmarkStart w:id="46" w:name="_bookmark13"/>
                  <w:bookmarkEnd w:id="45"/>
                  <w:bookmarkEnd w:id="46"/>
                  <w:r>
                    <w:rPr>
                      <w:rFonts w:ascii="Raleway-SemiBold" w:hAnsi="Raleway-SemiBold"/>
                      <w:b/>
                      <w:color w:val="FFFFFF"/>
                      <w:sz w:val="48"/>
                    </w:rPr>
                    <w:t>Igual reconocimiento como persona ante la ley (artículo 12)</w:t>
                  </w:r>
                </w:p>
              </w:txbxContent>
            </v:textbox>
            <w10:anchorlock/>
          </v:shape>
        </w:pict>
      </w:r>
    </w:p>
    <w:p w:rsidR="007A0A6C" w:rsidRDefault="00660E26">
      <w:pPr>
        <w:tabs>
          <w:tab w:val="left" w:pos="1059"/>
        </w:tabs>
        <w:spacing w:before="117" w:line="247" w:lineRule="auto"/>
        <w:ind w:left="1060" w:right="578" w:hanging="720"/>
        <w:rPr>
          <w:i/>
        </w:rPr>
      </w:pPr>
      <w:r>
        <w:t>13(a)</w:t>
      </w:r>
      <w:r>
        <w:tab/>
        <w:t xml:space="preserve">El Informe </w:t>
      </w:r>
      <w:r>
        <w:rPr>
          <w:i/>
        </w:rPr>
        <w:t>‘Igualdad, Capacidad y Discapacidad en las Leyes de la Commonwealth’</w:t>
      </w:r>
      <w:r>
        <w:rPr>
          <w:position w:val="7"/>
          <w:sz w:val="13"/>
        </w:rPr>
        <w:t xml:space="preserve">112 </w:t>
      </w:r>
      <w:r>
        <w:t xml:space="preserve">fue propuesto en el Parlamento en 2014. Una recomendación clave fue la reforma de los marcos legales y de las leyes estaduales y territoriales de la </w:t>
      </w:r>
      <w:r>
        <w:rPr>
          <w:i/>
        </w:rPr>
        <w:t>Commonwealth</w:t>
      </w:r>
      <w:r>
        <w:rPr>
          <w:position w:val="7"/>
          <w:sz w:val="13"/>
        </w:rPr>
        <w:t xml:space="preserve">113 </w:t>
      </w:r>
      <w:r>
        <w:t>concernientes a la toma de</w:t>
      </w:r>
      <w:r>
        <w:rPr>
          <w:spacing w:val="-5"/>
        </w:rPr>
        <w:t xml:space="preserve"> </w:t>
      </w:r>
      <w:r>
        <w:t>decisiones</w:t>
      </w:r>
      <w:r>
        <w:rPr>
          <w:spacing w:val="-4"/>
        </w:rPr>
        <w:t xml:space="preserve"> </w:t>
      </w:r>
      <w:r>
        <w:t>de</w:t>
      </w:r>
      <w:r>
        <w:rPr>
          <w:spacing w:val="-4"/>
        </w:rPr>
        <w:t xml:space="preserve"> </w:t>
      </w:r>
      <w:r>
        <w:t>las</w:t>
      </w:r>
      <w:r>
        <w:rPr>
          <w:spacing w:val="-4"/>
        </w:rPr>
        <w:t xml:space="preserve"> </w:t>
      </w:r>
      <w:r>
        <w:t>personas</w:t>
      </w:r>
      <w:r>
        <w:rPr>
          <w:spacing w:val="-4"/>
        </w:rPr>
        <w:t xml:space="preserve"> </w:t>
      </w:r>
      <w:r>
        <w:t>basada</w:t>
      </w:r>
      <w:r>
        <w:rPr>
          <w:spacing w:val="-4"/>
        </w:rPr>
        <w:t xml:space="preserve"> </w:t>
      </w:r>
      <w:r>
        <w:t>en</w:t>
      </w:r>
      <w:r>
        <w:rPr>
          <w:spacing w:val="-4"/>
        </w:rPr>
        <w:t xml:space="preserve"> </w:t>
      </w:r>
      <w:r>
        <w:t>las</w:t>
      </w:r>
      <w:r>
        <w:rPr>
          <w:spacing w:val="-2"/>
        </w:rPr>
        <w:t xml:space="preserve"> </w:t>
      </w:r>
      <w:r>
        <w:rPr>
          <w:i/>
        </w:rPr>
        <w:t>Directrices</w:t>
      </w:r>
      <w:r>
        <w:rPr>
          <w:i/>
          <w:spacing w:val="-4"/>
        </w:rPr>
        <w:t xml:space="preserve"> </w:t>
      </w:r>
      <w:r>
        <w:rPr>
          <w:i/>
        </w:rPr>
        <w:t>y</w:t>
      </w:r>
      <w:r>
        <w:rPr>
          <w:i/>
          <w:spacing w:val="-3"/>
        </w:rPr>
        <w:t xml:space="preserve"> </w:t>
      </w:r>
      <w:r>
        <w:rPr>
          <w:i/>
        </w:rPr>
        <w:t>Principios</w:t>
      </w:r>
      <w:r>
        <w:rPr>
          <w:i/>
          <w:spacing w:val="-3"/>
        </w:rPr>
        <w:t xml:space="preserve"> </w:t>
      </w:r>
      <w:r>
        <w:rPr>
          <w:i/>
        </w:rPr>
        <w:t>Nacionales</w:t>
      </w:r>
      <w:r>
        <w:rPr>
          <w:i/>
          <w:spacing w:val="-4"/>
        </w:rPr>
        <w:t xml:space="preserve"> </w:t>
      </w:r>
      <w:r>
        <w:rPr>
          <w:i/>
        </w:rPr>
        <w:t>para</w:t>
      </w:r>
      <w:r>
        <w:rPr>
          <w:i/>
          <w:spacing w:val="-5"/>
        </w:rPr>
        <w:t xml:space="preserve"> </w:t>
      </w:r>
      <w:r>
        <w:rPr>
          <w:i/>
        </w:rPr>
        <w:t>la</w:t>
      </w:r>
      <w:r>
        <w:rPr>
          <w:i/>
          <w:spacing w:val="-4"/>
        </w:rPr>
        <w:t xml:space="preserve"> </w:t>
      </w:r>
      <w:r>
        <w:rPr>
          <w:i/>
          <w:spacing w:val="-6"/>
        </w:rPr>
        <w:t>Toma</w:t>
      </w:r>
      <w:r>
        <w:rPr>
          <w:i/>
          <w:spacing w:val="-4"/>
        </w:rPr>
        <w:t xml:space="preserve"> </w:t>
      </w:r>
      <w:r>
        <w:rPr>
          <w:i/>
        </w:rPr>
        <w:t>de</w:t>
      </w:r>
    </w:p>
    <w:p w:rsidR="007A0A6C" w:rsidRDefault="00660E26">
      <w:pPr>
        <w:pStyle w:val="BodyText"/>
        <w:spacing w:line="247" w:lineRule="auto"/>
        <w:ind w:right="336"/>
      </w:pPr>
      <w:r>
        <w:rPr>
          <w:i/>
        </w:rPr>
        <w:t xml:space="preserve">Decisiones </w:t>
      </w:r>
      <w:r>
        <w:t>para implementar mecanismos avalados de toma de decisiones basados en la voluntad y las preferencias de las personas con discapacidad. Cinco años más tarde, aún no hay respuesta del gobierno con respecto a este Informe.</w:t>
      </w:r>
    </w:p>
    <w:p w:rsidR="007A0A6C" w:rsidRDefault="00660E26">
      <w:pPr>
        <w:pStyle w:val="BodyText"/>
        <w:tabs>
          <w:tab w:val="left" w:pos="1059"/>
        </w:tabs>
        <w:spacing w:before="96" w:line="247" w:lineRule="auto"/>
        <w:ind w:right="715" w:hanging="720"/>
      </w:pPr>
      <w:r>
        <w:t>13(b)</w:t>
      </w:r>
      <w:r>
        <w:tab/>
        <w:t>No hay una formación integral en todos los niveles nacionales estatales y territoriales para todos los participantes sobre el reconocimiento a la capacidad jurídica de las personas con discapacidad. Una serie de leyes, políticas y prácticas de Australia, que incluyen leyes en materia de tutela, administración del patrimonio y salud mental niegan el reconocimiento de las personas</w:t>
      </w:r>
      <w:r>
        <w:rPr>
          <w:spacing w:val="-5"/>
        </w:rPr>
        <w:t xml:space="preserve"> </w:t>
      </w:r>
      <w:r>
        <w:t>con</w:t>
      </w:r>
      <w:r>
        <w:rPr>
          <w:spacing w:val="-4"/>
        </w:rPr>
        <w:t xml:space="preserve"> </w:t>
      </w:r>
      <w:r>
        <w:t>discapacidad</w:t>
      </w:r>
      <w:r>
        <w:rPr>
          <w:spacing w:val="-5"/>
        </w:rPr>
        <w:t xml:space="preserve"> </w:t>
      </w:r>
      <w:r>
        <w:t>como</w:t>
      </w:r>
      <w:r>
        <w:rPr>
          <w:spacing w:val="-3"/>
        </w:rPr>
        <w:t xml:space="preserve"> </w:t>
      </w:r>
      <w:r>
        <w:t>personas</w:t>
      </w:r>
      <w:r>
        <w:rPr>
          <w:spacing w:val="-5"/>
        </w:rPr>
        <w:t xml:space="preserve"> </w:t>
      </w:r>
      <w:r>
        <w:t>iguales</w:t>
      </w:r>
      <w:r>
        <w:rPr>
          <w:spacing w:val="-5"/>
        </w:rPr>
        <w:t xml:space="preserve"> </w:t>
      </w:r>
      <w:r>
        <w:t>ante</w:t>
      </w:r>
      <w:r>
        <w:rPr>
          <w:spacing w:val="-4"/>
        </w:rPr>
        <w:t xml:space="preserve"> </w:t>
      </w:r>
      <w:r>
        <w:t>la</w:t>
      </w:r>
      <w:r>
        <w:rPr>
          <w:spacing w:val="-5"/>
        </w:rPr>
        <w:t xml:space="preserve"> ley,</w:t>
      </w:r>
      <w:r>
        <w:rPr>
          <w:spacing w:val="-4"/>
        </w:rPr>
        <w:t xml:space="preserve"> </w:t>
      </w:r>
      <w:r>
        <w:t>y</w:t>
      </w:r>
      <w:r>
        <w:rPr>
          <w:spacing w:val="-3"/>
        </w:rPr>
        <w:t xml:space="preserve"> </w:t>
      </w:r>
      <w:r>
        <w:t>niegan</w:t>
      </w:r>
      <w:r>
        <w:rPr>
          <w:spacing w:val="-5"/>
        </w:rPr>
        <w:t xml:space="preserve"> </w:t>
      </w:r>
      <w:r>
        <w:t>la</w:t>
      </w:r>
      <w:r>
        <w:rPr>
          <w:spacing w:val="-5"/>
        </w:rPr>
        <w:t xml:space="preserve"> </w:t>
      </w:r>
      <w:r>
        <w:t>posibilidad</w:t>
      </w:r>
      <w:r>
        <w:rPr>
          <w:spacing w:val="-4"/>
        </w:rPr>
        <w:t xml:space="preserve"> </w:t>
      </w:r>
      <w:r>
        <w:t>de</w:t>
      </w:r>
      <w:r>
        <w:rPr>
          <w:spacing w:val="-5"/>
        </w:rPr>
        <w:t xml:space="preserve"> </w:t>
      </w:r>
      <w:r>
        <w:t>dichas</w:t>
      </w:r>
    </w:p>
    <w:p w:rsidR="007A0A6C" w:rsidRDefault="00660E26">
      <w:pPr>
        <w:pStyle w:val="BodyText"/>
        <w:spacing w:line="247" w:lineRule="auto"/>
        <w:ind w:right="300"/>
      </w:pPr>
      <w:r>
        <w:t>personas a ejercer el derecho a su capacidad jurídica. Australia sigue confiando en su Declaración Interpretativa para insistir en el hecho de que este marco legislativo y político cumple con el artículo 12, a pesar del hecho de que viola, es incongruente o no cumple con las obligaciones de la CRPD según se describe en el Comentario General Núm. 1.</w:t>
      </w:r>
    </w:p>
    <w:p w:rsidR="007A0A6C" w:rsidRDefault="00660E26">
      <w:pPr>
        <w:pStyle w:val="Heading2"/>
        <w:tabs>
          <w:tab w:val="left" w:pos="10805"/>
        </w:tabs>
        <w:spacing w:before="164"/>
      </w:pPr>
      <w:r>
        <w:rPr>
          <w:color w:val="FFFFFF"/>
          <w:spacing w:val="-37"/>
          <w:shd w:val="clear" w:color="auto" w:fill="4C418E"/>
        </w:rPr>
        <w:t xml:space="preserve"> </w:t>
      </w:r>
      <w:r>
        <w:rPr>
          <w:color w:val="FFFFFF"/>
          <w:shd w:val="clear" w:color="auto" w:fill="4C418E"/>
        </w:rPr>
        <w:t>Recomendaciones</w:t>
      </w:r>
      <w:r>
        <w:rPr>
          <w:color w:val="FFFFFF"/>
          <w:shd w:val="clear" w:color="auto" w:fill="4C418E"/>
        </w:rPr>
        <w:tab/>
      </w:r>
    </w:p>
    <w:p w:rsidR="007A0A6C" w:rsidRDefault="00660E26">
      <w:pPr>
        <w:pStyle w:val="BodyText"/>
        <w:spacing w:before="179"/>
        <w:ind w:left="340"/>
      </w:pPr>
      <w:r>
        <w:t>Que Australia:</w:t>
      </w:r>
    </w:p>
    <w:p w:rsidR="007A0A6C" w:rsidRDefault="00660E26">
      <w:pPr>
        <w:pStyle w:val="ListParagraph"/>
        <w:numPr>
          <w:ilvl w:val="1"/>
          <w:numId w:val="13"/>
        </w:numPr>
        <w:tabs>
          <w:tab w:val="left" w:pos="1085"/>
        </w:tabs>
        <w:spacing w:before="88" w:line="244" w:lineRule="auto"/>
        <w:ind w:right="989" w:hanging="180"/>
      </w:pPr>
      <w:r>
        <w:t>Modifique, derogue o anule aquellas leyes o políticas, y neutralice toda práctica o costumbre que tenga por objeto o efecto negar o disminuir el reconocimiento de cualquier persona con discapacidad como persona ante la</w:t>
      </w:r>
      <w:r>
        <w:rPr>
          <w:spacing w:val="-6"/>
        </w:rPr>
        <w:t xml:space="preserve"> </w:t>
      </w:r>
      <w:r>
        <w:rPr>
          <w:spacing w:val="-5"/>
        </w:rPr>
        <w:t>ley.</w:t>
      </w:r>
    </w:p>
    <w:p w:rsidR="007A0A6C" w:rsidRDefault="00660E26">
      <w:pPr>
        <w:pStyle w:val="ListParagraph"/>
        <w:numPr>
          <w:ilvl w:val="1"/>
          <w:numId w:val="13"/>
        </w:numPr>
        <w:tabs>
          <w:tab w:val="left" w:pos="1085"/>
        </w:tabs>
        <w:spacing w:before="123" w:line="242" w:lineRule="auto"/>
        <w:ind w:right="365" w:hanging="180"/>
      </w:pPr>
      <w:r>
        <w:t xml:space="preserve">Implemente las recomendaciones del Informe de 2014 </w:t>
      </w:r>
      <w:r>
        <w:rPr>
          <w:i/>
        </w:rPr>
        <w:t>‘Igualdad, Capacidad y Discapacidad en las Leyes de la</w:t>
      </w:r>
      <w:r>
        <w:rPr>
          <w:i/>
          <w:spacing w:val="-4"/>
        </w:rPr>
        <w:t xml:space="preserve"> </w:t>
      </w:r>
      <w:r>
        <w:rPr>
          <w:i/>
        </w:rPr>
        <w:t>Commonwealth’</w:t>
      </w:r>
      <w:r>
        <w:t>.</w:t>
      </w:r>
    </w:p>
    <w:p w:rsidR="007A0A6C" w:rsidRDefault="007A0A6C">
      <w:pPr>
        <w:spacing w:line="242" w:lineRule="auto"/>
        <w:sectPr w:rsidR="007A0A6C">
          <w:pgSz w:w="11910" w:h="16840"/>
          <w:pgMar w:top="700" w:right="440" w:bottom="540" w:left="380" w:header="0" w:footer="343" w:gutter="0"/>
          <w:cols w:space="720"/>
        </w:sectPr>
      </w:pPr>
    </w:p>
    <w:p w:rsidR="007A0A6C" w:rsidRDefault="00660E26">
      <w:pPr>
        <w:pStyle w:val="Heading1"/>
        <w:tabs>
          <w:tab w:val="left" w:pos="10805"/>
        </w:tabs>
      </w:pPr>
      <w:bookmarkStart w:id="47" w:name="Acceso_a_la_justicia_(artículo_13)"/>
      <w:bookmarkStart w:id="48" w:name="_bookmark14"/>
      <w:bookmarkEnd w:id="47"/>
      <w:bookmarkEnd w:id="48"/>
      <w:r>
        <w:rPr>
          <w:color w:val="FFFFFF"/>
          <w:spacing w:val="-59"/>
          <w:shd w:val="clear" w:color="auto" w:fill="B31D30"/>
        </w:rPr>
        <w:lastRenderedPageBreak/>
        <w:t xml:space="preserve"> </w:t>
      </w:r>
      <w:bookmarkStart w:id="49" w:name="_Toc15026989"/>
      <w:bookmarkStart w:id="50" w:name="_Toc15027129"/>
      <w:r>
        <w:rPr>
          <w:color w:val="FFFFFF"/>
          <w:spacing w:val="-3"/>
          <w:shd w:val="clear" w:color="auto" w:fill="B31D30"/>
        </w:rPr>
        <w:t xml:space="preserve">Acceso </w:t>
      </w:r>
      <w:r>
        <w:rPr>
          <w:color w:val="FFFFFF"/>
          <w:shd w:val="clear" w:color="auto" w:fill="B31D30"/>
        </w:rPr>
        <w:t>a la justicia (artículo</w:t>
      </w:r>
      <w:r>
        <w:rPr>
          <w:color w:val="FFFFFF"/>
          <w:spacing w:val="8"/>
          <w:shd w:val="clear" w:color="auto" w:fill="B31D30"/>
        </w:rPr>
        <w:t xml:space="preserve"> </w:t>
      </w:r>
      <w:r>
        <w:rPr>
          <w:color w:val="FFFFFF"/>
          <w:shd w:val="clear" w:color="auto" w:fill="B31D30"/>
        </w:rPr>
        <w:t>13)</w:t>
      </w:r>
      <w:bookmarkEnd w:id="49"/>
      <w:bookmarkEnd w:id="50"/>
      <w:r>
        <w:rPr>
          <w:color w:val="FFFFFF"/>
          <w:shd w:val="clear" w:color="auto" w:fill="B31D30"/>
        </w:rPr>
        <w:tab/>
      </w:r>
    </w:p>
    <w:p w:rsidR="007A0A6C" w:rsidRDefault="00660E26">
      <w:pPr>
        <w:pStyle w:val="ListParagraph"/>
        <w:numPr>
          <w:ilvl w:val="0"/>
          <w:numId w:val="12"/>
        </w:numPr>
        <w:tabs>
          <w:tab w:val="left" w:pos="1159"/>
          <w:tab w:val="left" w:pos="1160"/>
        </w:tabs>
        <w:spacing w:before="162" w:line="247" w:lineRule="auto"/>
        <w:ind w:right="447"/>
        <w:rPr>
          <w:sz w:val="13"/>
        </w:rPr>
      </w:pPr>
      <w:r>
        <w:t>No existen datos desglosados uniformes a nivel nacional sobre la cantidad de personas con discapacidad en el sistema de justicia penal, a pesar de que los datos disponibles indican una importante</w:t>
      </w:r>
      <w:r>
        <w:rPr>
          <w:spacing w:val="-29"/>
        </w:rPr>
        <w:t xml:space="preserve"> </w:t>
      </w:r>
      <w:r>
        <w:t>representación</w:t>
      </w:r>
      <w:r>
        <w:rPr>
          <w:spacing w:val="-29"/>
        </w:rPr>
        <w:t xml:space="preserve"> </w:t>
      </w:r>
      <w:r>
        <w:t>desproporcionada,</w:t>
      </w:r>
      <w:r>
        <w:rPr>
          <w:spacing w:val="-29"/>
        </w:rPr>
        <w:t xml:space="preserve"> </w:t>
      </w:r>
      <w:r>
        <w:t>específicamente</w:t>
      </w:r>
      <w:r>
        <w:rPr>
          <w:spacing w:val="-29"/>
        </w:rPr>
        <w:t xml:space="preserve"> </w:t>
      </w:r>
      <w:r>
        <w:t>para</w:t>
      </w:r>
      <w:r>
        <w:rPr>
          <w:spacing w:val="-29"/>
        </w:rPr>
        <w:t xml:space="preserve"> </w:t>
      </w:r>
      <w:r>
        <w:t>las</w:t>
      </w:r>
      <w:r>
        <w:rPr>
          <w:spacing w:val="-28"/>
        </w:rPr>
        <w:t xml:space="preserve"> </w:t>
      </w:r>
      <w:r>
        <w:t>personas</w:t>
      </w:r>
      <w:r>
        <w:rPr>
          <w:spacing w:val="-29"/>
        </w:rPr>
        <w:t xml:space="preserve"> </w:t>
      </w:r>
      <w:r>
        <w:t>con</w:t>
      </w:r>
      <w:r>
        <w:rPr>
          <w:spacing w:val="-29"/>
        </w:rPr>
        <w:t xml:space="preserve"> </w:t>
      </w:r>
      <w:r>
        <w:t>discapacidad cognitiva y</w:t>
      </w:r>
      <w:r>
        <w:rPr>
          <w:spacing w:val="-6"/>
        </w:rPr>
        <w:t xml:space="preserve"> </w:t>
      </w:r>
      <w:r>
        <w:t>psicosocial.</w:t>
      </w:r>
      <w:r>
        <w:rPr>
          <w:position w:val="7"/>
          <w:sz w:val="13"/>
        </w:rPr>
        <w:t>114</w:t>
      </w:r>
    </w:p>
    <w:p w:rsidR="007A0A6C" w:rsidRDefault="00660E26">
      <w:pPr>
        <w:pStyle w:val="BodyText"/>
        <w:spacing w:before="102" w:line="247" w:lineRule="auto"/>
        <w:ind w:left="1160"/>
        <w:rPr>
          <w:sz w:val="13"/>
        </w:rPr>
      </w:pPr>
      <w:r>
        <w:t>Los jóvenes indígenas, específicamente aquellos con discapacidad, están representados desproporcionadamente en el sistema judicial juvenil, que incluye la supervisión basada en la detención</w:t>
      </w:r>
      <w:r>
        <w:rPr>
          <w:spacing w:val="-14"/>
        </w:rPr>
        <w:t xml:space="preserve"> </w:t>
      </w:r>
      <w:r>
        <w:t>(24</w:t>
      </w:r>
      <w:r>
        <w:rPr>
          <w:spacing w:val="-14"/>
        </w:rPr>
        <w:t xml:space="preserve"> </w:t>
      </w:r>
      <w:r>
        <w:t>veces</w:t>
      </w:r>
      <w:r>
        <w:rPr>
          <w:spacing w:val="-13"/>
        </w:rPr>
        <w:t xml:space="preserve"> </w:t>
      </w:r>
      <w:r>
        <w:t>mayor</w:t>
      </w:r>
      <w:r>
        <w:rPr>
          <w:spacing w:val="-14"/>
        </w:rPr>
        <w:t xml:space="preserve"> </w:t>
      </w:r>
      <w:r>
        <w:t>que</w:t>
      </w:r>
      <w:r>
        <w:rPr>
          <w:spacing w:val="-14"/>
        </w:rPr>
        <w:t xml:space="preserve"> </w:t>
      </w:r>
      <w:r>
        <w:t>la</w:t>
      </w:r>
      <w:r>
        <w:rPr>
          <w:spacing w:val="-13"/>
        </w:rPr>
        <w:t xml:space="preserve"> </w:t>
      </w:r>
      <w:r>
        <w:t>tasa</w:t>
      </w:r>
      <w:r>
        <w:rPr>
          <w:spacing w:val="-14"/>
        </w:rPr>
        <w:t xml:space="preserve"> </w:t>
      </w:r>
      <w:r>
        <w:t>de</w:t>
      </w:r>
      <w:r>
        <w:rPr>
          <w:spacing w:val="-14"/>
        </w:rPr>
        <w:t xml:space="preserve"> </w:t>
      </w:r>
      <w:r>
        <w:t>los</w:t>
      </w:r>
      <w:r>
        <w:rPr>
          <w:spacing w:val="-13"/>
        </w:rPr>
        <w:t xml:space="preserve"> </w:t>
      </w:r>
      <w:r>
        <w:t>jóvenes</w:t>
      </w:r>
      <w:r>
        <w:rPr>
          <w:spacing w:val="-14"/>
        </w:rPr>
        <w:t xml:space="preserve"> </w:t>
      </w:r>
      <w:r>
        <w:t>no</w:t>
      </w:r>
      <w:r>
        <w:rPr>
          <w:spacing w:val="-14"/>
        </w:rPr>
        <w:t xml:space="preserve"> </w:t>
      </w:r>
      <w:r>
        <w:t>indígenas)</w:t>
      </w:r>
      <w:r>
        <w:rPr>
          <w:spacing w:val="-13"/>
        </w:rPr>
        <w:t xml:space="preserve"> </w:t>
      </w:r>
      <w:r>
        <w:t>y</w:t>
      </w:r>
      <w:r>
        <w:rPr>
          <w:spacing w:val="-14"/>
        </w:rPr>
        <w:t xml:space="preserve"> </w:t>
      </w:r>
      <w:r>
        <w:t>la</w:t>
      </w:r>
      <w:r>
        <w:rPr>
          <w:spacing w:val="-13"/>
        </w:rPr>
        <w:t xml:space="preserve"> </w:t>
      </w:r>
      <w:r>
        <w:t>supervisión</w:t>
      </w:r>
      <w:r>
        <w:rPr>
          <w:spacing w:val="-14"/>
        </w:rPr>
        <w:t xml:space="preserve"> </w:t>
      </w:r>
      <w:r>
        <w:t>basada</w:t>
      </w:r>
      <w:r>
        <w:rPr>
          <w:spacing w:val="-14"/>
        </w:rPr>
        <w:t xml:space="preserve"> </w:t>
      </w:r>
      <w:r>
        <w:t>en</w:t>
      </w:r>
      <w:r>
        <w:rPr>
          <w:spacing w:val="-13"/>
        </w:rPr>
        <w:t xml:space="preserve"> </w:t>
      </w:r>
      <w:r>
        <w:t>la comunidad</w:t>
      </w:r>
      <w:r>
        <w:rPr>
          <w:spacing w:val="-6"/>
        </w:rPr>
        <w:t xml:space="preserve"> </w:t>
      </w:r>
      <w:r>
        <w:t>(17</w:t>
      </w:r>
      <w:r>
        <w:rPr>
          <w:spacing w:val="-5"/>
        </w:rPr>
        <w:t xml:space="preserve"> </w:t>
      </w:r>
      <w:r>
        <w:t>veces</w:t>
      </w:r>
      <w:r>
        <w:rPr>
          <w:spacing w:val="-6"/>
        </w:rPr>
        <w:t xml:space="preserve"> </w:t>
      </w:r>
      <w:r>
        <w:t>mayor</w:t>
      </w:r>
      <w:r>
        <w:rPr>
          <w:spacing w:val="-5"/>
        </w:rPr>
        <w:t xml:space="preserve"> </w:t>
      </w:r>
      <w:r>
        <w:t>que</w:t>
      </w:r>
      <w:r>
        <w:rPr>
          <w:spacing w:val="-5"/>
        </w:rPr>
        <w:t xml:space="preserve"> </w:t>
      </w:r>
      <w:r>
        <w:t>la</w:t>
      </w:r>
      <w:r>
        <w:rPr>
          <w:spacing w:val="-6"/>
        </w:rPr>
        <w:t xml:space="preserve"> </w:t>
      </w:r>
      <w:r>
        <w:t>tasa</w:t>
      </w:r>
      <w:r>
        <w:rPr>
          <w:spacing w:val="-5"/>
        </w:rPr>
        <w:t xml:space="preserve"> </w:t>
      </w:r>
      <w:r>
        <w:t>para</w:t>
      </w:r>
      <w:r>
        <w:rPr>
          <w:spacing w:val="-5"/>
        </w:rPr>
        <w:t xml:space="preserve"> </w:t>
      </w:r>
      <w:r>
        <w:t>los</w:t>
      </w:r>
      <w:r>
        <w:rPr>
          <w:spacing w:val="-6"/>
        </w:rPr>
        <w:t xml:space="preserve"> </w:t>
      </w:r>
      <w:r>
        <w:t>jóvenes</w:t>
      </w:r>
      <w:r>
        <w:rPr>
          <w:spacing w:val="-5"/>
        </w:rPr>
        <w:t xml:space="preserve"> </w:t>
      </w:r>
      <w:r>
        <w:t>no</w:t>
      </w:r>
      <w:r>
        <w:rPr>
          <w:spacing w:val="-5"/>
        </w:rPr>
        <w:t xml:space="preserve"> </w:t>
      </w:r>
      <w:r>
        <w:t>indígenas).</w:t>
      </w:r>
      <w:r>
        <w:rPr>
          <w:position w:val="7"/>
          <w:sz w:val="13"/>
        </w:rPr>
        <w:t>115</w:t>
      </w:r>
    </w:p>
    <w:p w:rsidR="007A0A6C" w:rsidRDefault="00660E26">
      <w:pPr>
        <w:pStyle w:val="BodyText"/>
        <w:spacing w:before="142" w:line="247" w:lineRule="auto"/>
        <w:ind w:left="1160" w:right="334"/>
      </w:pPr>
      <w:r>
        <w:t>Las</w:t>
      </w:r>
      <w:r>
        <w:rPr>
          <w:spacing w:val="-19"/>
        </w:rPr>
        <w:t xml:space="preserve"> </w:t>
      </w:r>
      <w:r>
        <w:t>personas</w:t>
      </w:r>
      <w:r>
        <w:rPr>
          <w:spacing w:val="-19"/>
        </w:rPr>
        <w:t xml:space="preserve"> </w:t>
      </w:r>
      <w:r>
        <w:t>indígenas</w:t>
      </w:r>
      <w:r>
        <w:rPr>
          <w:spacing w:val="-18"/>
        </w:rPr>
        <w:t xml:space="preserve"> </w:t>
      </w:r>
      <w:r>
        <w:t>con</w:t>
      </w:r>
      <w:r>
        <w:rPr>
          <w:spacing w:val="-19"/>
        </w:rPr>
        <w:t xml:space="preserve"> </w:t>
      </w:r>
      <w:r>
        <w:t>discapacidad</w:t>
      </w:r>
      <w:r>
        <w:rPr>
          <w:spacing w:val="-18"/>
        </w:rPr>
        <w:t xml:space="preserve"> </w:t>
      </w:r>
      <w:r>
        <w:t>tienen</w:t>
      </w:r>
      <w:r>
        <w:rPr>
          <w:spacing w:val="-19"/>
        </w:rPr>
        <w:t xml:space="preserve"> </w:t>
      </w:r>
      <w:r>
        <w:t>14</w:t>
      </w:r>
      <w:r>
        <w:rPr>
          <w:spacing w:val="-18"/>
        </w:rPr>
        <w:t xml:space="preserve"> </w:t>
      </w:r>
      <w:r>
        <w:t>veces</w:t>
      </w:r>
      <w:r>
        <w:rPr>
          <w:spacing w:val="-19"/>
        </w:rPr>
        <w:t xml:space="preserve"> </w:t>
      </w:r>
      <w:r>
        <w:t>más</w:t>
      </w:r>
      <w:r>
        <w:rPr>
          <w:spacing w:val="-18"/>
        </w:rPr>
        <w:t xml:space="preserve"> </w:t>
      </w:r>
      <w:r>
        <w:t>de</w:t>
      </w:r>
      <w:r>
        <w:rPr>
          <w:spacing w:val="-19"/>
        </w:rPr>
        <w:t xml:space="preserve"> </w:t>
      </w:r>
      <w:r>
        <w:t>probabilidad</w:t>
      </w:r>
      <w:r>
        <w:rPr>
          <w:spacing w:val="-18"/>
        </w:rPr>
        <w:t xml:space="preserve"> </w:t>
      </w:r>
      <w:r>
        <w:t>de</w:t>
      </w:r>
      <w:r>
        <w:rPr>
          <w:spacing w:val="-19"/>
        </w:rPr>
        <w:t xml:space="preserve"> </w:t>
      </w:r>
      <w:r>
        <w:t>ser</w:t>
      </w:r>
      <w:r>
        <w:rPr>
          <w:spacing w:val="-18"/>
        </w:rPr>
        <w:t xml:space="preserve"> </w:t>
      </w:r>
      <w:r>
        <w:t>encarcelados que el resto de la población.</w:t>
      </w:r>
      <w:r>
        <w:rPr>
          <w:position w:val="7"/>
          <w:sz w:val="13"/>
        </w:rPr>
        <w:t xml:space="preserve">116 </w:t>
      </w:r>
      <w:r>
        <w:t>El 50 % de la población total encarcelada da cuenta de un historial de</w:t>
      </w:r>
      <w:r>
        <w:rPr>
          <w:spacing w:val="-15"/>
        </w:rPr>
        <w:t xml:space="preserve"> </w:t>
      </w:r>
      <w:r>
        <w:t>discapacidad</w:t>
      </w:r>
      <w:r>
        <w:rPr>
          <w:spacing w:val="-14"/>
        </w:rPr>
        <w:t xml:space="preserve"> </w:t>
      </w:r>
      <w:r>
        <w:t>psicosocial,</w:t>
      </w:r>
      <w:r>
        <w:rPr>
          <w:position w:val="7"/>
          <w:sz w:val="13"/>
        </w:rPr>
        <w:t>117</w:t>
      </w:r>
      <w:r>
        <w:rPr>
          <w:spacing w:val="11"/>
          <w:position w:val="7"/>
          <w:sz w:val="13"/>
        </w:rPr>
        <w:t xml:space="preserve"> </w:t>
      </w:r>
      <w:r>
        <w:t>casi</w:t>
      </w:r>
      <w:r>
        <w:rPr>
          <w:spacing w:val="-15"/>
        </w:rPr>
        <w:t xml:space="preserve"> </w:t>
      </w:r>
      <w:r>
        <w:t>un</w:t>
      </w:r>
      <w:r>
        <w:rPr>
          <w:spacing w:val="-14"/>
        </w:rPr>
        <w:t xml:space="preserve"> </w:t>
      </w:r>
      <w:r>
        <w:t>tercio</w:t>
      </w:r>
      <w:r>
        <w:rPr>
          <w:spacing w:val="-15"/>
        </w:rPr>
        <w:t xml:space="preserve"> </w:t>
      </w:r>
      <w:r>
        <w:t>da</w:t>
      </w:r>
      <w:r>
        <w:rPr>
          <w:spacing w:val="-14"/>
        </w:rPr>
        <w:t xml:space="preserve"> </w:t>
      </w:r>
      <w:r>
        <w:t>cuenta</w:t>
      </w:r>
      <w:r>
        <w:rPr>
          <w:spacing w:val="-14"/>
        </w:rPr>
        <w:t xml:space="preserve"> </w:t>
      </w:r>
      <w:r>
        <w:t>de</w:t>
      </w:r>
      <w:r>
        <w:rPr>
          <w:spacing w:val="-15"/>
        </w:rPr>
        <w:t xml:space="preserve"> </w:t>
      </w:r>
      <w:r>
        <w:t>una</w:t>
      </w:r>
      <w:r>
        <w:rPr>
          <w:spacing w:val="-14"/>
        </w:rPr>
        <w:t xml:space="preserve"> </w:t>
      </w:r>
      <w:r>
        <w:t>discapacidad,</w:t>
      </w:r>
      <w:r>
        <w:rPr>
          <w:position w:val="7"/>
          <w:sz w:val="13"/>
        </w:rPr>
        <w:t>118</w:t>
      </w:r>
      <w:r>
        <w:rPr>
          <w:spacing w:val="11"/>
          <w:position w:val="7"/>
          <w:sz w:val="13"/>
        </w:rPr>
        <w:t xml:space="preserve"> </w:t>
      </w:r>
      <w:r>
        <w:t>y</w:t>
      </w:r>
      <w:r>
        <w:rPr>
          <w:spacing w:val="-15"/>
        </w:rPr>
        <w:t xml:space="preserve"> </w:t>
      </w:r>
      <w:r>
        <w:t>el</w:t>
      </w:r>
      <w:r>
        <w:rPr>
          <w:spacing w:val="-14"/>
        </w:rPr>
        <w:t xml:space="preserve"> </w:t>
      </w:r>
      <w:r>
        <w:t>25</w:t>
      </w:r>
      <w:r>
        <w:rPr>
          <w:spacing w:val="-14"/>
        </w:rPr>
        <w:t xml:space="preserve"> </w:t>
      </w:r>
      <w:r>
        <w:t>%–30</w:t>
      </w:r>
      <w:r>
        <w:rPr>
          <w:spacing w:val="-15"/>
        </w:rPr>
        <w:t xml:space="preserve"> </w:t>
      </w:r>
      <w:r>
        <w:t>%</w:t>
      </w:r>
      <w:r>
        <w:rPr>
          <w:spacing w:val="-14"/>
        </w:rPr>
        <w:t xml:space="preserve"> </w:t>
      </w:r>
      <w:r>
        <w:t>de los prisioneros tienen una discapacidad intelectual.</w:t>
      </w:r>
      <w:r>
        <w:rPr>
          <w:position w:val="7"/>
          <w:sz w:val="13"/>
        </w:rPr>
        <w:t xml:space="preserve">119 </w:t>
      </w:r>
      <w:r>
        <w:t>Las mujeres indígenas son la población con mayor</w:t>
      </w:r>
      <w:r>
        <w:rPr>
          <w:spacing w:val="-17"/>
        </w:rPr>
        <w:t xml:space="preserve"> </w:t>
      </w:r>
      <w:r>
        <w:t>índice</w:t>
      </w:r>
      <w:r>
        <w:rPr>
          <w:spacing w:val="-17"/>
        </w:rPr>
        <w:t xml:space="preserve"> </w:t>
      </w:r>
      <w:r>
        <w:t>de</w:t>
      </w:r>
      <w:r>
        <w:rPr>
          <w:spacing w:val="-16"/>
        </w:rPr>
        <w:t xml:space="preserve"> </w:t>
      </w:r>
      <w:r>
        <w:t>crecimiento</w:t>
      </w:r>
      <w:r>
        <w:rPr>
          <w:spacing w:val="-17"/>
        </w:rPr>
        <w:t xml:space="preserve"> </w:t>
      </w:r>
      <w:r>
        <w:t>en</w:t>
      </w:r>
      <w:r>
        <w:rPr>
          <w:spacing w:val="-16"/>
        </w:rPr>
        <w:t xml:space="preserve"> </w:t>
      </w:r>
      <w:r>
        <w:t>las</w:t>
      </w:r>
      <w:r>
        <w:rPr>
          <w:spacing w:val="-17"/>
        </w:rPr>
        <w:t xml:space="preserve"> </w:t>
      </w:r>
      <w:r>
        <w:t>cárceles</w:t>
      </w:r>
      <w:r>
        <w:rPr>
          <w:spacing w:val="-17"/>
        </w:rPr>
        <w:t xml:space="preserve"> </w:t>
      </w:r>
      <w:r>
        <w:t>de</w:t>
      </w:r>
      <w:r>
        <w:rPr>
          <w:spacing w:val="-25"/>
        </w:rPr>
        <w:t xml:space="preserve"> </w:t>
      </w:r>
      <w:r>
        <w:t>Australia.</w:t>
      </w:r>
      <w:r>
        <w:rPr>
          <w:spacing w:val="-17"/>
        </w:rPr>
        <w:t xml:space="preserve"> </w:t>
      </w:r>
      <w:r>
        <w:t>Un</w:t>
      </w:r>
      <w:r>
        <w:rPr>
          <w:spacing w:val="-16"/>
        </w:rPr>
        <w:t xml:space="preserve"> </w:t>
      </w:r>
      <w:r>
        <w:t>porcentaje</w:t>
      </w:r>
      <w:r>
        <w:rPr>
          <w:spacing w:val="-17"/>
        </w:rPr>
        <w:t xml:space="preserve"> </w:t>
      </w:r>
      <w:r>
        <w:t>importante</w:t>
      </w:r>
      <w:r>
        <w:rPr>
          <w:spacing w:val="-17"/>
        </w:rPr>
        <w:t xml:space="preserve"> </w:t>
      </w:r>
      <w:r>
        <w:t>tiene</w:t>
      </w:r>
      <w:r>
        <w:rPr>
          <w:spacing w:val="-16"/>
        </w:rPr>
        <w:t xml:space="preserve"> </w:t>
      </w:r>
      <w:r>
        <w:t>deficiencia cognitiva,</w:t>
      </w:r>
      <w:r>
        <w:rPr>
          <w:spacing w:val="-12"/>
        </w:rPr>
        <w:t xml:space="preserve"> </w:t>
      </w:r>
      <w:r>
        <w:t>así</w:t>
      </w:r>
      <w:r>
        <w:rPr>
          <w:spacing w:val="-12"/>
        </w:rPr>
        <w:t xml:space="preserve"> </w:t>
      </w:r>
      <w:r>
        <w:t>como</w:t>
      </w:r>
      <w:r>
        <w:rPr>
          <w:spacing w:val="-12"/>
        </w:rPr>
        <w:t xml:space="preserve"> </w:t>
      </w:r>
      <w:r>
        <w:t>también</w:t>
      </w:r>
      <w:r>
        <w:rPr>
          <w:spacing w:val="-12"/>
        </w:rPr>
        <w:t xml:space="preserve"> </w:t>
      </w:r>
      <w:r>
        <w:t>una</w:t>
      </w:r>
      <w:r>
        <w:rPr>
          <w:spacing w:val="-12"/>
        </w:rPr>
        <w:t xml:space="preserve"> </w:t>
      </w:r>
      <w:r>
        <w:t>discapacidad</w:t>
      </w:r>
      <w:r>
        <w:rPr>
          <w:spacing w:val="-12"/>
        </w:rPr>
        <w:t xml:space="preserve"> </w:t>
      </w:r>
      <w:r>
        <w:t>psicosocial</w:t>
      </w:r>
      <w:r>
        <w:rPr>
          <w:spacing w:val="-12"/>
        </w:rPr>
        <w:t xml:space="preserve"> </w:t>
      </w:r>
      <w:r>
        <w:t>no</w:t>
      </w:r>
      <w:r>
        <w:rPr>
          <w:spacing w:val="-12"/>
        </w:rPr>
        <w:t xml:space="preserve"> </w:t>
      </w:r>
      <w:r>
        <w:t>diagnosticada.</w:t>
      </w:r>
      <w:r>
        <w:rPr>
          <w:position w:val="7"/>
          <w:sz w:val="13"/>
        </w:rPr>
        <w:t>120</w:t>
      </w:r>
      <w:r>
        <w:rPr>
          <w:spacing w:val="4"/>
          <w:position w:val="7"/>
          <w:sz w:val="13"/>
        </w:rPr>
        <w:t xml:space="preserve"> </w:t>
      </w:r>
      <w:r>
        <w:t>A</w:t>
      </w:r>
      <w:r>
        <w:rPr>
          <w:spacing w:val="-22"/>
        </w:rPr>
        <w:t xml:space="preserve"> </w:t>
      </w:r>
      <w:r>
        <w:t>las</w:t>
      </w:r>
      <w:r>
        <w:rPr>
          <w:spacing w:val="-12"/>
        </w:rPr>
        <w:t xml:space="preserve"> </w:t>
      </w:r>
      <w:r>
        <w:t>personas</w:t>
      </w:r>
    </w:p>
    <w:p w:rsidR="007A0A6C" w:rsidRDefault="00660E26">
      <w:pPr>
        <w:pStyle w:val="BodyText"/>
        <w:spacing w:before="3" w:line="247" w:lineRule="auto"/>
        <w:ind w:left="1160"/>
        <w:rPr>
          <w:sz w:val="13"/>
        </w:rPr>
      </w:pPr>
      <w:r>
        <w:t>con</w:t>
      </w:r>
      <w:r>
        <w:rPr>
          <w:spacing w:val="-16"/>
        </w:rPr>
        <w:t xml:space="preserve"> </w:t>
      </w:r>
      <w:r>
        <w:t>discapacidad</w:t>
      </w:r>
      <w:r>
        <w:rPr>
          <w:spacing w:val="-15"/>
        </w:rPr>
        <w:t xml:space="preserve"> </w:t>
      </w:r>
      <w:r>
        <w:t>se</w:t>
      </w:r>
      <w:r>
        <w:rPr>
          <w:spacing w:val="-15"/>
        </w:rPr>
        <w:t xml:space="preserve"> </w:t>
      </w:r>
      <w:r>
        <w:t>las</w:t>
      </w:r>
      <w:r>
        <w:rPr>
          <w:spacing w:val="-15"/>
        </w:rPr>
        <w:t xml:space="preserve"> </w:t>
      </w:r>
      <w:r>
        <w:t>envía</w:t>
      </w:r>
      <w:r>
        <w:rPr>
          <w:spacing w:val="-15"/>
        </w:rPr>
        <w:t xml:space="preserve"> </w:t>
      </w:r>
      <w:r>
        <w:t>a</w:t>
      </w:r>
      <w:r>
        <w:rPr>
          <w:spacing w:val="-15"/>
        </w:rPr>
        <w:t xml:space="preserve"> </w:t>
      </w:r>
      <w:r>
        <w:t>las</w:t>
      </w:r>
      <w:r>
        <w:rPr>
          <w:spacing w:val="-15"/>
        </w:rPr>
        <w:t xml:space="preserve"> </w:t>
      </w:r>
      <w:r>
        <w:t>cárceles</w:t>
      </w:r>
      <w:r>
        <w:rPr>
          <w:spacing w:val="-15"/>
        </w:rPr>
        <w:t xml:space="preserve"> </w:t>
      </w:r>
      <w:r>
        <w:t>porque</w:t>
      </w:r>
      <w:r>
        <w:rPr>
          <w:spacing w:val="-15"/>
        </w:rPr>
        <w:t xml:space="preserve"> </w:t>
      </w:r>
      <w:r>
        <w:t>los</w:t>
      </w:r>
      <w:r>
        <w:rPr>
          <w:spacing w:val="-15"/>
        </w:rPr>
        <w:t xml:space="preserve"> </w:t>
      </w:r>
      <w:r>
        <w:t>tribunales</w:t>
      </w:r>
      <w:r>
        <w:rPr>
          <w:spacing w:val="-15"/>
        </w:rPr>
        <w:t xml:space="preserve"> </w:t>
      </w:r>
      <w:r>
        <w:t>tienen</w:t>
      </w:r>
      <w:r>
        <w:rPr>
          <w:spacing w:val="-15"/>
        </w:rPr>
        <w:t xml:space="preserve"> </w:t>
      </w:r>
      <w:r>
        <w:t>pocas</w:t>
      </w:r>
      <w:r>
        <w:rPr>
          <w:spacing w:val="-15"/>
        </w:rPr>
        <w:t xml:space="preserve"> </w:t>
      </w:r>
      <w:r>
        <w:t>opciones</w:t>
      </w:r>
      <w:r>
        <w:rPr>
          <w:spacing w:val="-15"/>
        </w:rPr>
        <w:t xml:space="preserve"> </w:t>
      </w:r>
      <w:r>
        <w:t>o</w:t>
      </w:r>
      <w:r>
        <w:rPr>
          <w:spacing w:val="-15"/>
        </w:rPr>
        <w:t xml:space="preserve"> </w:t>
      </w:r>
      <w:r>
        <w:t>vías alternativas para</w:t>
      </w:r>
      <w:r>
        <w:rPr>
          <w:spacing w:val="-6"/>
        </w:rPr>
        <w:t xml:space="preserve"> </w:t>
      </w:r>
      <w:r>
        <w:t>contemplarlos.</w:t>
      </w:r>
      <w:r>
        <w:rPr>
          <w:position w:val="7"/>
          <w:sz w:val="13"/>
        </w:rPr>
        <w:t>121</w:t>
      </w:r>
    </w:p>
    <w:p w:rsidR="007A0A6C" w:rsidRDefault="00660E26">
      <w:pPr>
        <w:pStyle w:val="BodyText"/>
        <w:spacing w:before="141" w:line="247" w:lineRule="auto"/>
        <w:ind w:left="1160" w:right="481" w:hanging="820"/>
        <w:rPr>
          <w:sz w:val="13"/>
        </w:rPr>
      </w:pPr>
      <w:r>
        <w:t>15(a)(b) Las personas con discapacidad que participan del sistema de justicia enfrentan barreras significativas y muchas de ellas encuentran que el acceso a la justicia es difícil, hostil e ineficaz. Como</w:t>
      </w:r>
      <w:r>
        <w:rPr>
          <w:spacing w:val="-18"/>
        </w:rPr>
        <w:t xml:space="preserve"> </w:t>
      </w:r>
      <w:r>
        <w:t>consecuencia,</w:t>
      </w:r>
      <w:r>
        <w:rPr>
          <w:spacing w:val="-17"/>
        </w:rPr>
        <w:t xml:space="preserve"> </w:t>
      </w:r>
      <w:r>
        <w:t>a</w:t>
      </w:r>
      <w:r>
        <w:rPr>
          <w:spacing w:val="-18"/>
        </w:rPr>
        <w:t xml:space="preserve"> </w:t>
      </w:r>
      <w:r>
        <w:t>menudo</w:t>
      </w:r>
      <w:r>
        <w:rPr>
          <w:spacing w:val="-17"/>
        </w:rPr>
        <w:t xml:space="preserve"> </w:t>
      </w:r>
      <w:r>
        <w:t>se</w:t>
      </w:r>
      <w:r>
        <w:rPr>
          <w:spacing w:val="-18"/>
        </w:rPr>
        <w:t xml:space="preserve"> </w:t>
      </w:r>
      <w:r>
        <w:t>las</w:t>
      </w:r>
      <w:r>
        <w:rPr>
          <w:spacing w:val="-17"/>
        </w:rPr>
        <w:t xml:space="preserve"> </w:t>
      </w:r>
      <w:r>
        <w:t>deja</w:t>
      </w:r>
      <w:r>
        <w:rPr>
          <w:spacing w:val="-17"/>
        </w:rPr>
        <w:t xml:space="preserve"> </w:t>
      </w:r>
      <w:r>
        <w:t>sin</w:t>
      </w:r>
      <w:r>
        <w:rPr>
          <w:spacing w:val="-18"/>
        </w:rPr>
        <w:t xml:space="preserve"> </w:t>
      </w:r>
      <w:r>
        <w:t>reparación</w:t>
      </w:r>
      <w:r>
        <w:rPr>
          <w:spacing w:val="-17"/>
        </w:rPr>
        <w:t xml:space="preserve"> </w:t>
      </w:r>
      <w:r>
        <w:t>jurídica.</w:t>
      </w:r>
      <w:r>
        <w:rPr>
          <w:spacing w:val="-18"/>
        </w:rPr>
        <w:t xml:space="preserve"> </w:t>
      </w:r>
      <w:r>
        <w:t>Las</w:t>
      </w:r>
      <w:r>
        <w:rPr>
          <w:spacing w:val="-17"/>
        </w:rPr>
        <w:t xml:space="preserve"> </w:t>
      </w:r>
      <w:r>
        <w:t>personas</w:t>
      </w:r>
      <w:r>
        <w:rPr>
          <w:spacing w:val="-17"/>
        </w:rPr>
        <w:t xml:space="preserve"> </w:t>
      </w:r>
      <w:r>
        <w:t>con</w:t>
      </w:r>
      <w:r>
        <w:rPr>
          <w:spacing w:val="-18"/>
        </w:rPr>
        <w:t xml:space="preserve"> </w:t>
      </w:r>
      <w:r>
        <w:t>discapacidad informan que el sistema legal y judicial no está formado adecuadamente para darles apoyo, y sienten que se les niegan las mismas oportunidades de participar en el sistema judicial que a las personas sin</w:t>
      </w:r>
      <w:r>
        <w:rPr>
          <w:spacing w:val="-6"/>
        </w:rPr>
        <w:t xml:space="preserve"> </w:t>
      </w:r>
      <w:r>
        <w:t>discapacidad.</w:t>
      </w:r>
      <w:r>
        <w:rPr>
          <w:position w:val="7"/>
          <w:sz w:val="13"/>
        </w:rPr>
        <w:t>122</w:t>
      </w:r>
    </w:p>
    <w:p w:rsidR="007A0A6C" w:rsidRDefault="00660E26">
      <w:pPr>
        <w:pStyle w:val="BodyText"/>
        <w:spacing w:before="103" w:line="247" w:lineRule="auto"/>
        <w:ind w:left="1160" w:right="247"/>
      </w:pPr>
      <w:r>
        <w:t>Las</w:t>
      </w:r>
      <w:r>
        <w:rPr>
          <w:spacing w:val="-16"/>
        </w:rPr>
        <w:t xml:space="preserve"> </w:t>
      </w:r>
      <w:r>
        <w:t>actitudes</w:t>
      </w:r>
      <w:r>
        <w:rPr>
          <w:spacing w:val="-16"/>
        </w:rPr>
        <w:t xml:space="preserve"> </w:t>
      </w:r>
      <w:r>
        <w:t>discriminatorias,</w:t>
      </w:r>
      <w:r>
        <w:rPr>
          <w:spacing w:val="-16"/>
        </w:rPr>
        <w:t xml:space="preserve"> </w:t>
      </w:r>
      <w:r>
        <w:t>una</w:t>
      </w:r>
      <w:r>
        <w:rPr>
          <w:spacing w:val="-16"/>
        </w:rPr>
        <w:t xml:space="preserve"> </w:t>
      </w:r>
      <w:r>
        <w:t>falta</w:t>
      </w:r>
      <w:r>
        <w:rPr>
          <w:spacing w:val="-16"/>
        </w:rPr>
        <w:t xml:space="preserve"> </w:t>
      </w:r>
      <w:r>
        <w:t>de</w:t>
      </w:r>
      <w:r>
        <w:rPr>
          <w:spacing w:val="-16"/>
        </w:rPr>
        <w:t xml:space="preserve"> </w:t>
      </w:r>
      <w:r>
        <w:t>servicios</w:t>
      </w:r>
      <w:r>
        <w:rPr>
          <w:spacing w:val="-16"/>
        </w:rPr>
        <w:t xml:space="preserve"> </w:t>
      </w:r>
      <w:r>
        <w:t>y</w:t>
      </w:r>
      <w:r>
        <w:rPr>
          <w:spacing w:val="-16"/>
        </w:rPr>
        <w:t xml:space="preserve"> </w:t>
      </w:r>
      <w:r>
        <w:t>programas</w:t>
      </w:r>
      <w:r>
        <w:rPr>
          <w:spacing w:val="-16"/>
        </w:rPr>
        <w:t xml:space="preserve"> </w:t>
      </w:r>
      <w:r>
        <w:t>de</w:t>
      </w:r>
      <w:r>
        <w:rPr>
          <w:spacing w:val="-16"/>
        </w:rPr>
        <w:t xml:space="preserve"> </w:t>
      </w:r>
      <w:r>
        <w:t>apoyo,</w:t>
      </w:r>
      <w:r>
        <w:rPr>
          <w:spacing w:val="-16"/>
        </w:rPr>
        <w:t xml:space="preserve"> </w:t>
      </w:r>
      <w:r>
        <w:t>y</w:t>
      </w:r>
      <w:r>
        <w:rPr>
          <w:spacing w:val="-16"/>
        </w:rPr>
        <w:t xml:space="preserve"> </w:t>
      </w:r>
      <w:r>
        <w:t>medidas</w:t>
      </w:r>
      <w:r>
        <w:rPr>
          <w:spacing w:val="-16"/>
        </w:rPr>
        <w:t xml:space="preserve"> </w:t>
      </w:r>
      <w:r>
        <w:t>mínimas</w:t>
      </w:r>
      <w:r>
        <w:rPr>
          <w:spacing w:val="-16"/>
        </w:rPr>
        <w:t xml:space="preserve"> </w:t>
      </w:r>
      <w:r>
        <w:t>de adecuaciones legales o procesales, a menudo implican que las personas con discapacidad sean consideradas</w:t>
      </w:r>
      <w:r>
        <w:rPr>
          <w:spacing w:val="-18"/>
        </w:rPr>
        <w:t xml:space="preserve"> </w:t>
      </w:r>
      <w:r>
        <w:t>como</w:t>
      </w:r>
      <w:r>
        <w:rPr>
          <w:spacing w:val="-18"/>
        </w:rPr>
        <w:t xml:space="preserve"> </w:t>
      </w:r>
      <w:r>
        <w:t>no</w:t>
      </w:r>
      <w:r>
        <w:rPr>
          <w:spacing w:val="-17"/>
        </w:rPr>
        <w:t xml:space="preserve"> </w:t>
      </w:r>
      <w:r>
        <w:t>creíbles,</w:t>
      </w:r>
      <w:r>
        <w:rPr>
          <w:spacing w:val="-18"/>
        </w:rPr>
        <w:t xml:space="preserve"> </w:t>
      </w:r>
      <w:r>
        <w:t>como</w:t>
      </w:r>
      <w:r>
        <w:rPr>
          <w:spacing w:val="-18"/>
        </w:rPr>
        <w:t xml:space="preserve"> </w:t>
      </w:r>
      <w:r>
        <w:t>incapaces</w:t>
      </w:r>
      <w:r>
        <w:rPr>
          <w:spacing w:val="-17"/>
        </w:rPr>
        <w:t xml:space="preserve"> </w:t>
      </w:r>
      <w:r>
        <w:t>de</w:t>
      </w:r>
      <w:r>
        <w:rPr>
          <w:spacing w:val="-18"/>
        </w:rPr>
        <w:t xml:space="preserve"> </w:t>
      </w:r>
      <w:r>
        <w:t>ofrecer</w:t>
      </w:r>
      <w:r>
        <w:rPr>
          <w:spacing w:val="-17"/>
        </w:rPr>
        <w:t xml:space="preserve"> </w:t>
      </w:r>
      <w:r>
        <w:t>pruebas,</w:t>
      </w:r>
      <w:r>
        <w:rPr>
          <w:spacing w:val="-18"/>
        </w:rPr>
        <w:t xml:space="preserve"> </w:t>
      </w:r>
      <w:r>
        <w:t>de</w:t>
      </w:r>
      <w:r>
        <w:rPr>
          <w:spacing w:val="-18"/>
        </w:rPr>
        <w:t xml:space="preserve"> </w:t>
      </w:r>
      <w:r>
        <w:t>tomar</w:t>
      </w:r>
      <w:r>
        <w:rPr>
          <w:spacing w:val="-17"/>
        </w:rPr>
        <w:t xml:space="preserve"> </w:t>
      </w:r>
      <w:r>
        <w:t>decisiones</w:t>
      </w:r>
      <w:r>
        <w:rPr>
          <w:spacing w:val="-18"/>
        </w:rPr>
        <w:t xml:space="preserve"> </w:t>
      </w:r>
      <w:r>
        <w:t>legales</w:t>
      </w:r>
      <w:r>
        <w:rPr>
          <w:spacing w:val="-17"/>
        </w:rPr>
        <w:t xml:space="preserve"> </w:t>
      </w:r>
      <w:r>
        <w:t>o de participar en los procesos</w:t>
      </w:r>
      <w:r>
        <w:rPr>
          <w:spacing w:val="-15"/>
        </w:rPr>
        <w:t xml:space="preserve"> </w:t>
      </w:r>
      <w:r>
        <w:t>legales.</w:t>
      </w:r>
    </w:p>
    <w:p w:rsidR="007A0A6C" w:rsidRDefault="00660E26">
      <w:pPr>
        <w:pStyle w:val="BodyText"/>
        <w:tabs>
          <w:tab w:val="left" w:pos="1159"/>
        </w:tabs>
        <w:spacing w:before="142" w:line="247" w:lineRule="auto"/>
        <w:ind w:left="1160" w:right="337" w:hanging="820"/>
        <w:rPr>
          <w:sz w:val="13"/>
        </w:rPr>
      </w:pPr>
      <w:r>
        <w:t>15(c)</w:t>
      </w:r>
      <w:r>
        <w:tab/>
        <w:t>No</w:t>
      </w:r>
      <w:r>
        <w:rPr>
          <w:spacing w:val="-18"/>
        </w:rPr>
        <w:t xml:space="preserve"> </w:t>
      </w:r>
      <w:r>
        <w:t>existen</w:t>
      </w:r>
      <w:r>
        <w:rPr>
          <w:spacing w:val="-17"/>
        </w:rPr>
        <w:t xml:space="preserve"> </w:t>
      </w:r>
      <w:r>
        <w:t>medidas</w:t>
      </w:r>
      <w:r>
        <w:rPr>
          <w:spacing w:val="-17"/>
        </w:rPr>
        <w:t xml:space="preserve"> </w:t>
      </w:r>
      <w:r>
        <w:t>congruentes</w:t>
      </w:r>
      <w:r>
        <w:rPr>
          <w:spacing w:val="-18"/>
        </w:rPr>
        <w:t xml:space="preserve"> </w:t>
      </w:r>
      <w:r>
        <w:t>a</w:t>
      </w:r>
      <w:r>
        <w:rPr>
          <w:spacing w:val="-17"/>
        </w:rPr>
        <w:t xml:space="preserve"> </w:t>
      </w:r>
      <w:r>
        <w:t>nivel</w:t>
      </w:r>
      <w:r>
        <w:rPr>
          <w:spacing w:val="-17"/>
        </w:rPr>
        <w:t xml:space="preserve"> </w:t>
      </w:r>
      <w:r>
        <w:t>nacional</w:t>
      </w:r>
      <w:r>
        <w:rPr>
          <w:spacing w:val="-17"/>
        </w:rPr>
        <w:t xml:space="preserve"> </w:t>
      </w:r>
      <w:r>
        <w:t>que</w:t>
      </w:r>
      <w:r>
        <w:rPr>
          <w:spacing w:val="-18"/>
        </w:rPr>
        <w:t xml:space="preserve"> </w:t>
      </w:r>
      <w:r>
        <w:t>unifiquen</w:t>
      </w:r>
      <w:r>
        <w:rPr>
          <w:spacing w:val="-17"/>
        </w:rPr>
        <w:t xml:space="preserve"> </w:t>
      </w:r>
      <w:r>
        <w:t>la</w:t>
      </w:r>
      <w:r>
        <w:rPr>
          <w:spacing w:val="-17"/>
        </w:rPr>
        <w:t xml:space="preserve"> </w:t>
      </w:r>
      <w:r>
        <w:t>reglamentación</w:t>
      </w:r>
      <w:r>
        <w:rPr>
          <w:spacing w:val="-18"/>
        </w:rPr>
        <w:t xml:space="preserve"> </w:t>
      </w:r>
      <w:r>
        <w:t>de</w:t>
      </w:r>
      <w:r>
        <w:rPr>
          <w:spacing w:val="-17"/>
        </w:rPr>
        <w:t xml:space="preserve"> </w:t>
      </w:r>
      <w:r>
        <w:t>la</w:t>
      </w:r>
      <w:r>
        <w:rPr>
          <w:spacing w:val="-17"/>
        </w:rPr>
        <w:t xml:space="preserve"> </w:t>
      </w:r>
      <w:r>
        <w:t>composición del jurado con la CRPD. Las leyes de Australia no son uniformes y las personas sordas, en particular,</w:t>
      </w:r>
      <w:r>
        <w:rPr>
          <w:spacing w:val="-10"/>
        </w:rPr>
        <w:t xml:space="preserve"> </w:t>
      </w:r>
      <w:r>
        <w:t>aún</w:t>
      </w:r>
      <w:r>
        <w:rPr>
          <w:spacing w:val="-10"/>
        </w:rPr>
        <w:t xml:space="preserve"> </w:t>
      </w:r>
      <w:r>
        <w:t>no</w:t>
      </w:r>
      <w:r>
        <w:rPr>
          <w:spacing w:val="-10"/>
        </w:rPr>
        <w:t xml:space="preserve"> </w:t>
      </w:r>
      <w:r>
        <w:t>pueden</w:t>
      </w:r>
      <w:r>
        <w:rPr>
          <w:spacing w:val="-10"/>
        </w:rPr>
        <w:t xml:space="preserve"> </w:t>
      </w:r>
      <w:r>
        <w:t>servir</w:t>
      </w:r>
      <w:r>
        <w:rPr>
          <w:spacing w:val="-10"/>
        </w:rPr>
        <w:t xml:space="preserve"> </w:t>
      </w:r>
      <w:r>
        <w:t>como</w:t>
      </w:r>
      <w:r>
        <w:rPr>
          <w:spacing w:val="-10"/>
        </w:rPr>
        <w:t xml:space="preserve"> </w:t>
      </w:r>
      <w:r>
        <w:t>jurado</w:t>
      </w:r>
      <w:r>
        <w:rPr>
          <w:spacing w:val="-10"/>
        </w:rPr>
        <w:t xml:space="preserve"> </w:t>
      </w:r>
      <w:r>
        <w:t>en</w:t>
      </w:r>
      <w:r>
        <w:rPr>
          <w:spacing w:val="-10"/>
        </w:rPr>
        <w:t xml:space="preserve"> </w:t>
      </w:r>
      <w:r>
        <w:t>virtud</w:t>
      </w:r>
      <w:r>
        <w:rPr>
          <w:spacing w:val="-10"/>
        </w:rPr>
        <w:t xml:space="preserve"> </w:t>
      </w:r>
      <w:r>
        <w:t>de</w:t>
      </w:r>
      <w:r>
        <w:rPr>
          <w:spacing w:val="-10"/>
        </w:rPr>
        <w:t xml:space="preserve"> </w:t>
      </w:r>
      <w:r>
        <w:t>las</w:t>
      </w:r>
      <w:r>
        <w:rPr>
          <w:spacing w:val="-9"/>
        </w:rPr>
        <w:t xml:space="preserve"> </w:t>
      </w:r>
      <w:r>
        <w:t>leyes</w:t>
      </w:r>
      <w:r>
        <w:rPr>
          <w:spacing w:val="-10"/>
        </w:rPr>
        <w:t xml:space="preserve"> </w:t>
      </w:r>
      <w:r>
        <w:t>estatales</w:t>
      </w:r>
      <w:r>
        <w:rPr>
          <w:spacing w:val="-10"/>
        </w:rPr>
        <w:t xml:space="preserve"> </w:t>
      </w:r>
      <w:r>
        <w:t>y</w:t>
      </w:r>
      <w:r>
        <w:rPr>
          <w:spacing w:val="-10"/>
        </w:rPr>
        <w:t xml:space="preserve"> </w:t>
      </w:r>
      <w:r>
        <w:t>territoriales.</w:t>
      </w:r>
      <w:r>
        <w:rPr>
          <w:position w:val="7"/>
          <w:sz w:val="13"/>
        </w:rPr>
        <w:t>123</w:t>
      </w:r>
    </w:p>
    <w:p w:rsidR="007A0A6C" w:rsidRDefault="00660E26">
      <w:pPr>
        <w:pStyle w:val="BodyText"/>
        <w:tabs>
          <w:tab w:val="left" w:pos="1159"/>
        </w:tabs>
        <w:spacing w:before="101" w:line="247" w:lineRule="auto"/>
        <w:ind w:left="1160" w:right="1093" w:hanging="820"/>
      </w:pPr>
      <w:r>
        <w:t>15(d)</w:t>
      </w:r>
      <w:r>
        <w:tab/>
        <w:t>La</w:t>
      </w:r>
      <w:r>
        <w:rPr>
          <w:spacing w:val="-16"/>
        </w:rPr>
        <w:t xml:space="preserve"> </w:t>
      </w:r>
      <w:r>
        <w:t>incapacidad</w:t>
      </w:r>
      <w:r>
        <w:rPr>
          <w:spacing w:val="-15"/>
        </w:rPr>
        <w:t xml:space="preserve"> </w:t>
      </w:r>
      <w:r>
        <w:t>para</w:t>
      </w:r>
      <w:r>
        <w:rPr>
          <w:spacing w:val="-15"/>
        </w:rPr>
        <w:t xml:space="preserve"> </w:t>
      </w:r>
      <w:r>
        <w:t>acceder</w:t>
      </w:r>
      <w:r>
        <w:rPr>
          <w:spacing w:val="-15"/>
        </w:rPr>
        <w:t xml:space="preserve"> </w:t>
      </w:r>
      <w:r>
        <w:t>a</w:t>
      </w:r>
      <w:r>
        <w:rPr>
          <w:spacing w:val="-15"/>
        </w:rPr>
        <w:t xml:space="preserve"> </w:t>
      </w:r>
      <w:r>
        <w:t>una</w:t>
      </w:r>
      <w:r>
        <w:rPr>
          <w:spacing w:val="-16"/>
        </w:rPr>
        <w:t xml:space="preserve"> </w:t>
      </w:r>
      <w:r>
        <w:t>justicia</w:t>
      </w:r>
      <w:r>
        <w:rPr>
          <w:spacing w:val="-15"/>
        </w:rPr>
        <w:t xml:space="preserve"> </w:t>
      </w:r>
      <w:r>
        <w:t>eficaz</w:t>
      </w:r>
      <w:r>
        <w:rPr>
          <w:spacing w:val="-15"/>
        </w:rPr>
        <w:t xml:space="preserve"> </w:t>
      </w:r>
      <w:r>
        <w:t>da</w:t>
      </w:r>
      <w:r>
        <w:rPr>
          <w:spacing w:val="-15"/>
        </w:rPr>
        <w:t xml:space="preserve"> </w:t>
      </w:r>
      <w:r>
        <w:t>como</w:t>
      </w:r>
      <w:r>
        <w:rPr>
          <w:spacing w:val="-15"/>
        </w:rPr>
        <w:t xml:space="preserve"> </w:t>
      </w:r>
      <w:r>
        <w:t>resultado</w:t>
      </w:r>
      <w:r>
        <w:rPr>
          <w:spacing w:val="-15"/>
        </w:rPr>
        <w:t xml:space="preserve"> </w:t>
      </w:r>
      <w:r>
        <w:t>que</w:t>
      </w:r>
      <w:r>
        <w:rPr>
          <w:spacing w:val="-16"/>
        </w:rPr>
        <w:t xml:space="preserve"> </w:t>
      </w:r>
      <w:r>
        <w:t>muchas</w:t>
      </w:r>
      <w:r>
        <w:rPr>
          <w:spacing w:val="-15"/>
        </w:rPr>
        <w:t xml:space="preserve"> </w:t>
      </w:r>
      <w:r>
        <w:t>personas con</w:t>
      </w:r>
      <w:r>
        <w:rPr>
          <w:spacing w:val="-18"/>
        </w:rPr>
        <w:t xml:space="preserve"> </w:t>
      </w:r>
      <w:r>
        <w:t>discapacidad</w:t>
      </w:r>
      <w:r>
        <w:rPr>
          <w:spacing w:val="-18"/>
        </w:rPr>
        <w:t xml:space="preserve"> </w:t>
      </w:r>
      <w:r>
        <w:t>sean</w:t>
      </w:r>
      <w:r>
        <w:rPr>
          <w:spacing w:val="-18"/>
        </w:rPr>
        <w:t xml:space="preserve"> </w:t>
      </w:r>
      <w:r>
        <w:t>excluidas</w:t>
      </w:r>
      <w:r>
        <w:rPr>
          <w:spacing w:val="-18"/>
        </w:rPr>
        <w:t xml:space="preserve"> </w:t>
      </w:r>
      <w:r>
        <w:t>sin</w:t>
      </w:r>
      <w:r>
        <w:rPr>
          <w:spacing w:val="-18"/>
        </w:rPr>
        <w:t xml:space="preserve"> </w:t>
      </w:r>
      <w:r>
        <w:t>protección</w:t>
      </w:r>
      <w:r>
        <w:rPr>
          <w:spacing w:val="-18"/>
        </w:rPr>
        <w:t xml:space="preserve"> </w:t>
      </w:r>
      <w:r>
        <w:t>y</w:t>
      </w:r>
      <w:r>
        <w:rPr>
          <w:spacing w:val="-18"/>
        </w:rPr>
        <w:t xml:space="preserve"> </w:t>
      </w:r>
      <w:r>
        <w:t>con</w:t>
      </w:r>
      <w:r>
        <w:rPr>
          <w:spacing w:val="-17"/>
        </w:rPr>
        <w:t xml:space="preserve"> </w:t>
      </w:r>
      <w:r>
        <w:t>riesgo</w:t>
      </w:r>
      <w:r>
        <w:rPr>
          <w:spacing w:val="-18"/>
        </w:rPr>
        <w:t xml:space="preserve"> </w:t>
      </w:r>
      <w:r>
        <w:t>de</w:t>
      </w:r>
      <w:r>
        <w:rPr>
          <w:spacing w:val="-18"/>
        </w:rPr>
        <w:t xml:space="preserve"> </w:t>
      </w:r>
      <w:r>
        <w:t>violencia</w:t>
      </w:r>
      <w:r>
        <w:rPr>
          <w:spacing w:val="-18"/>
        </w:rPr>
        <w:t xml:space="preserve"> </w:t>
      </w:r>
      <w:r>
        <w:t>permanente</w:t>
      </w:r>
      <w:r>
        <w:rPr>
          <w:spacing w:val="-18"/>
        </w:rPr>
        <w:t xml:space="preserve"> </w:t>
      </w:r>
      <w:r>
        <w:t>o,</w:t>
      </w:r>
      <w:r>
        <w:rPr>
          <w:spacing w:val="-18"/>
        </w:rPr>
        <w:t xml:space="preserve"> </w:t>
      </w:r>
      <w:r>
        <w:t>que</w:t>
      </w:r>
    </w:p>
    <w:p w:rsidR="007A0A6C" w:rsidRDefault="00660E26">
      <w:pPr>
        <w:pStyle w:val="BodyText"/>
        <w:spacing w:before="1" w:line="247" w:lineRule="auto"/>
        <w:ind w:left="1160"/>
        <w:rPr>
          <w:sz w:val="13"/>
        </w:rPr>
      </w:pPr>
      <w:r>
        <w:t>posiblemente</w:t>
      </w:r>
      <w:r>
        <w:rPr>
          <w:spacing w:val="-18"/>
        </w:rPr>
        <w:t xml:space="preserve"> </w:t>
      </w:r>
      <w:r>
        <w:t>sean</w:t>
      </w:r>
      <w:r>
        <w:rPr>
          <w:spacing w:val="-18"/>
        </w:rPr>
        <w:t xml:space="preserve"> </w:t>
      </w:r>
      <w:r>
        <w:t>encarceladas</w:t>
      </w:r>
      <w:r>
        <w:rPr>
          <w:spacing w:val="-17"/>
        </w:rPr>
        <w:t xml:space="preserve"> </w:t>
      </w:r>
      <w:r>
        <w:t>y</w:t>
      </w:r>
      <w:r>
        <w:rPr>
          <w:spacing w:val="-18"/>
        </w:rPr>
        <w:t xml:space="preserve"> </w:t>
      </w:r>
      <w:r>
        <w:t>estén</w:t>
      </w:r>
      <w:r>
        <w:rPr>
          <w:spacing w:val="-17"/>
        </w:rPr>
        <w:t xml:space="preserve"> </w:t>
      </w:r>
      <w:r>
        <w:t>destinadas</w:t>
      </w:r>
      <w:r>
        <w:rPr>
          <w:spacing w:val="-18"/>
        </w:rPr>
        <w:t xml:space="preserve"> </w:t>
      </w:r>
      <w:r>
        <w:t>a</w:t>
      </w:r>
      <w:r>
        <w:rPr>
          <w:spacing w:val="-17"/>
        </w:rPr>
        <w:t xml:space="preserve"> </w:t>
      </w:r>
      <w:r>
        <w:t>tener</w:t>
      </w:r>
      <w:r>
        <w:rPr>
          <w:spacing w:val="-18"/>
        </w:rPr>
        <w:t xml:space="preserve"> </w:t>
      </w:r>
      <w:r>
        <w:t>reiterados</w:t>
      </w:r>
      <w:r>
        <w:rPr>
          <w:spacing w:val="-17"/>
        </w:rPr>
        <w:t xml:space="preserve"> </w:t>
      </w:r>
      <w:r>
        <w:t>contactos</w:t>
      </w:r>
      <w:r>
        <w:rPr>
          <w:spacing w:val="-18"/>
        </w:rPr>
        <w:t xml:space="preserve"> </w:t>
      </w:r>
      <w:r>
        <w:t>con</w:t>
      </w:r>
      <w:r>
        <w:rPr>
          <w:spacing w:val="-17"/>
        </w:rPr>
        <w:t xml:space="preserve"> </w:t>
      </w:r>
      <w:r>
        <w:t>el</w:t>
      </w:r>
      <w:r>
        <w:rPr>
          <w:spacing w:val="-18"/>
        </w:rPr>
        <w:t xml:space="preserve"> </w:t>
      </w:r>
      <w:r>
        <w:t>sistema</w:t>
      </w:r>
      <w:r>
        <w:rPr>
          <w:spacing w:val="-17"/>
        </w:rPr>
        <w:t xml:space="preserve"> </w:t>
      </w:r>
      <w:r>
        <w:t>de justicia</w:t>
      </w:r>
      <w:r>
        <w:rPr>
          <w:spacing w:val="-3"/>
        </w:rPr>
        <w:t xml:space="preserve"> </w:t>
      </w:r>
      <w:r>
        <w:t>penal.</w:t>
      </w:r>
      <w:r>
        <w:rPr>
          <w:position w:val="7"/>
          <w:sz w:val="13"/>
        </w:rPr>
        <w:t>124</w:t>
      </w:r>
    </w:p>
    <w:p w:rsidR="007A0A6C" w:rsidRDefault="00660E26">
      <w:pPr>
        <w:pStyle w:val="BodyText"/>
        <w:tabs>
          <w:tab w:val="left" w:pos="1159"/>
        </w:tabs>
        <w:spacing w:before="101" w:line="247" w:lineRule="auto"/>
        <w:ind w:left="1160" w:right="411" w:hanging="820"/>
      </w:pPr>
      <w:r>
        <w:t>15(e)</w:t>
      </w:r>
      <w:r>
        <w:tab/>
        <w:t>El</w:t>
      </w:r>
      <w:r>
        <w:rPr>
          <w:spacing w:val="-16"/>
        </w:rPr>
        <w:t xml:space="preserve"> </w:t>
      </w:r>
      <w:r>
        <w:t>informe</w:t>
      </w:r>
      <w:r>
        <w:rPr>
          <w:spacing w:val="-15"/>
        </w:rPr>
        <w:t xml:space="preserve"> </w:t>
      </w:r>
      <w:r>
        <w:t>de</w:t>
      </w:r>
      <w:r>
        <w:rPr>
          <w:spacing w:val="-15"/>
        </w:rPr>
        <w:t xml:space="preserve"> </w:t>
      </w:r>
      <w:r>
        <w:t>la</w:t>
      </w:r>
      <w:r>
        <w:rPr>
          <w:spacing w:val="-15"/>
        </w:rPr>
        <w:t xml:space="preserve"> </w:t>
      </w:r>
      <w:r>
        <w:rPr>
          <w:i/>
        </w:rPr>
        <w:t>Encuesta</w:t>
      </w:r>
      <w:r>
        <w:rPr>
          <w:i/>
          <w:spacing w:val="-15"/>
        </w:rPr>
        <w:t xml:space="preserve"> </w:t>
      </w:r>
      <w:r>
        <w:rPr>
          <w:i/>
        </w:rPr>
        <w:t>Nacional</w:t>
      </w:r>
      <w:r>
        <w:rPr>
          <w:i/>
          <w:spacing w:val="-15"/>
        </w:rPr>
        <w:t xml:space="preserve"> </w:t>
      </w:r>
      <w:r>
        <w:rPr>
          <w:i/>
        </w:rPr>
        <w:t>sobre</w:t>
      </w:r>
      <w:r>
        <w:rPr>
          <w:i/>
          <w:spacing w:val="-16"/>
        </w:rPr>
        <w:t xml:space="preserve"> </w:t>
      </w:r>
      <w:r>
        <w:rPr>
          <w:i/>
        </w:rPr>
        <w:t>la</w:t>
      </w:r>
      <w:r>
        <w:rPr>
          <w:i/>
          <w:spacing w:val="-15"/>
        </w:rPr>
        <w:t xml:space="preserve"> </w:t>
      </w:r>
      <w:r>
        <w:rPr>
          <w:i/>
          <w:spacing w:val="-6"/>
        </w:rPr>
        <w:t>Tasa</w:t>
      </w:r>
      <w:r>
        <w:rPr>
          <w:i/>
          <w:spacing w:val="-15"/>
        </w:rPr>
        <w:t xml:space="preserve"> </w:t>
      </w:r>
      <w:r>
        <w:rPr>
          <w:i/>
        </w:rPr>
        <w:t>de</w:t>
      </w:r>
      <w:r>
        <w:rPr>
          <w:i/>
          <w:spacing w:val="-16"/>
        </w:rPr>
        <w:t xml:space="preserve"> </w:t>
      </w:r>
      <w:r>
        <w:rPr>
          <w:i/>
        </w:rPr>
        <w:t>Encarcelamiento</w:t>
      </w:r>
      <w:r>
        <w:rPr>
          <w:i/>
          <w:spacing w:val="-15"/>
        </w:rPr>
        <w:t xml:space="preserve"> </w:t>
      </w:r>
      <w:r>
        <w:rPr>
          <w:i/>
        </w:rPr>
        <w:t>de</w:t>
      </w:r>
      <w:r>
        <w:rPr>
          <w:i/>
          <w:spacing w:val="-15"/>
        </w:rPr>
        <w:t xml:space="preserve"> </w:t>
      </w:r>
      <w:r>
        <w:rPr>
          <w:i/>
        </w:rPr>
        <w:t>las</w:t>
      </w:r>
      <w:r>
        <w:rPr>
          <w:i/>
          <w:spacing w:val="-15"/>
        </w:rPr>
        <w:t xml:space="preserve"> </w:t>
      </w:r>
      <w:r>
        <w:rPr>
          <w:i/>
        </w:rPr>
        <w:t>Personas</w:t>
      </w:r>
      <w:r>
        <w:rPr>
          <w:i/>
          <w:spacing w:val="-16"/>
        </w:rPr>
        <w:t xml:space="preserve"> </w:t>
      </w:r>
      <w:r>
        <w:rPr>
          <w:i/>
        </w:rPr>
        <w:t>Indígenas</w:t>
      </w:r>
      <w:r>
        <w:rPr>
          <w:position w:val="7"/>
          <w:sz w:val="13"/>
        </w:rPr>
        <w:t xml:space="preserve">125 </w:t>
      </w:r>
      <w:r>
        <w:t xml:space="preserve">de 2017 recomendaba que los gobiernos estatales y territoriales y de la </w:t>
      </w:r>
      <w:r>
        <w:rPr>
          <w:i/>
        </w:rPr>
        <w:t xml:space="preserve">Commonwealth </w:t>
      </w:r>
      <w:r>
        <w:t>deberían brindar apoyo para establecer un organismo de reinversión de la justicia independiente; crear tribunales especializados en dictar sentencia a personas indígenas y encargar una encuesta nacional</w:t>
      </w:r>
      <w:r>
        <w:rPr>
          <w:spacing w:val="-16"/>
        </w:rPr>
        <w:t xml:space="preserve"> </w:t>
      </w:r>
      <w:r>
        <w:t>en</w:t>
      </w:r>
      <w:r>
        <w:rPr>
          <w:spacing w:val="-16"/>
        </w:rPr>
        <w:t xml:space="preserve"> </w:t>
      </w:r>
      <w:r>
        <w:t>materia</w:t>
      </w:r>
      <w:r>
        <w:rPr>
          <w:spacing w:val="-16"/>
        </w:rPr>
        <w:t xml:space="preserve"> </w:t>
      </w:r>
      <w:r>
        <w:t>de</w:t>
      </w:r>
      <w:r>
        <w:rPr>
          <w:spacing w:val="-15"/>
        </w:rPr>
        <w:t xml:space="preserve"> </w:t>
      </w:r>
      <w:r>
        <w:t>leyes</w:t>
      </w:r>
      <w:r>
        <w:rPr>
          <w:spacing w:val="-16"/>
        </w:rPr>
        <w:t xml:space="preserve"> </w:t>
      </w:r>
      <w:r>
        <w:t>de</w:t>
      </w:r>
      <w:r>
        <w:rPr>
          <w:spacing w:val="-16"/>
        </w:rPr>
        <w:t xml:space="preserve"> </w:t>
      </w:r>
      <w:r>
        <w:t>protección</w:t>
      </w:r>
      <w:r>
        <w:rPr>
          <w:spacing w:val="-15"/>
        </w:rPr>
        <w:t xml:space="preserve"> </w:t>
      </w:r>
      <w:r>
        <w:t>infantil</w:t>
      </w:r>
      <w:r>
        <w:rPr>
          <w:spacing w:val="-16"/>
        </w:rPr>
        <w:t xml:space="preserve"> </w:t>
      </w:r>
      <w:r>
        <w:t>y</w:t>
      </w:r>
      <w:r>
        <w:rPr>
          <w:spacing w:val="-16"/>
        </w:rPr>
        <w:t xml:space="preserve"> </w:t>
      </w:r>
      <w:r>
        <w:t>de</w:t>
      </w:r>
      <w:r>
        <w:rPr>
          <w:spacing w:val="-15"/>
        </w:rPr>
        <w:t xml:space="preserve"> </w:t>
      </w:r>
      <w:r>
        <w:t>procesos</w:t>
      </w:r>
      <w:r>
        <w:rPr>
          <w:spacing w:val="-16"/>
        </w:rPr>
        <w:t xml:space="preserve"> </w:t>
      </w:r>
      <w:r>
        <w:t>que</w:t>
      </w:r>
      <w:r>
        <w:rPr>
          <w:spacing w:val="-16"/>
        </w:rPr>
        <w:t xml:space="preserve"> </w:t>
      </w:r>
      <w:r>
        <w:t>afectan</w:t>
      </w:r>
      <w:r>
        <w:rPr>
          <w:spacing w:val="-15"/>
        </w:rPr>
        <w:t xml:space="preserve"> </w:t>
      </w:r>
      <w:r>
        <w:t>a</w:t>
      </w:r>
      <w:r>
        <w:rPr>
          <w:spacing w:val="-16"/>
        </w:rPr>
        <w:t xml:space="preserve"> </w:t>
      </w:r>
      <w:r>
        <w:t>los</w:t>
      </w:r>
      <w:r>
        <w:rPr>
          <w:spacing w:val="-16"/>
        </w:rPr>
        <w:t xml:space="preserve"> </w:t>
      </w:r>
      <w:r>
        <w:t>niños</w:t>
      </w:r>
      <w:r>
        <w:rPr>
          <w:spacing w:val="-15"/>
        </w:rPr>
        <w:t xml:space="preserve"> </w:t>
      </w:r>
      <w:r>
        <w:t>indígenas. El</w:t>
      </w:r>
      <w:r>
        <w:rPr>
          <w:spacing w:val="-5"/>
        </w:rPr>
        <w:t xml:space="preserve"> </w:t>
      </w:r>
      <w:r>
        <w:t>Gobierno</w:t>
      </w:r>
      <w:r>
        <w:rPr>
          <w:spacing w:val="-4"/>
        </w:rPr>
        <w:t xml:space="preserve"> </w:t>
      </w:r>
      <w:r>
        <w:t>de</w:t>
      </w:r>
      <w:r>
        <w:rPr>
          <w:spacing w:val="-15"/>
        </w:rPr>
        <w:t xml:space="preserve"> </w:t>
      </w:r>
      <w:r>
        <w:t>Australia</w:t>
      </w:r>
      <w:r>
        <w:rPr>
          <w:spacing w:val="-5"/>
        </w:rPr>
        <w:t xml:space="preserve"> </w:t>
      </w:r>
      <w:r>
        <w:t>aún</w:t>
      </w:r>
      <w:r>
        <w:rPr>
          <w:spacing w:val="-4"/>
        </w:rPr>
        <w:t xml:space="preserve"> </w:t>
      </w:r>
      <w:r>
        <w:t>no</w:t>
      </w:r>
      <w:r>
        <w:rPr>
          <w:spacing w:val="-4"/>
        </w:rPr>
        <w:t xml:space="preserve"> </w:t>
      </w:r>
      <w:r>
        <w:t>ha</w:t>
      </w:r>
      <w:r>
        <w:rPr>
          <w:spacing w:val="-4"/>
        </w:rPr>
        <w:t xml:space="preserve"> </w:t>
      </w:r>
      <w:r>
        <w:t>dado</w:t>
      </w:r>
      <w:r>
        <w:rPr>
          <w:spacing w:val="-4"/>
        </w:rPr>
        <w:t xml:space="preserve"> </w:t>
      </w:r>
      <w:r>
        <w:t>respuesta</w:t>
      </w:r>
      <w:r>
        <w:rPr>
          <w:spacing w:val="-4"/>
        </w:rPr>
        <w:t xml:space="preserve"> </w:t>
      </w:r>
      <w:r>
        <w:t>a</w:t>
      </w:r>
      <w:r>
        <w:rPr>
          <w:spacing w:val="-4"/>
        </w:rPr>
        <w:t xml:space="preserve"> </w:t>
      </w:r>
      <w:r>
        <w:t>este</w:t>
      </w:r>
      <w:r>
        <w:rPr>
          <w:spacing w:val="-4"/>
        </w:rPr>
        <w:t xml:space="preserve"> </w:t>
      </w:r>
      <w:r>
        <w:t>informe.</w:t>
      </w:r>
    </w:p>
    <w:p w:rsidR="007A0A6C" w:rsidRDefault="00660E26">
      <w:pPr>
        <w:pStyle w:val="Heading2"/>
        <w:tabs>
          <w:tab w:val="left" w:pos="10805"/>
        </w:tabs>
        <w:spacing w:before="172"/>
      </w:pPr>
      <w:r>
        <w:rPr>
          <w:color w:val="FFFFFF"/>
          <w:spacing w:val="-37"/>
          <w:shd w:val="clear" w:color="auto" w:fill="4C418E"/>
        </w:rPr>
        <w:t xml:space="preserve"> </w:t>
      </w:r>
      <w:r>
        <w:rPr>
          <w:color w:val="FFFFFF"/>
          <w:shd w:val="clear" w:color="auto" w:fill="4C418E"/>
        </w:rPr>
        <w:t>Recomendaciones</w:t>
      </w:r>
      <w:r>
        <w:rPr>
          <w:color w:val="FFFFFF"/>
          <w:shd w:val="clear" w:color="auto" w:fill="4C418E"/>
        </w:rPr>
        <w:tab/>
      </w:r>
    </w:p>
    <w:p w:rsidR="007A0A6C" w:rsidRDefault="00660E26">
      <w:pPr>
        <w:pStyle w:val="BodyText"/>
        <w:spacing w:before="180"/>
        <w:ind w:left="340"/>
      </w:pPr>
      <w:r>
        <w:t>Que Australia:</w:t>
      </w:r>
    </w:p>
    <w:p w:rsidR="007A0A6C" w:rsidRDefault="00660E26">
      <w:pPr>
        <w:pStyle w:val="ListParagraph"/>
        <w:numPr>
          <w:ilvl w:val="1"/>
          <w:numId w:val="12"/>
        </w:numPr>
        <w:tabs>
          <w:tab w:val="left" w:pos="1080"/>
        </w:tabs>
        <w:spacing w:before="90" w:line="247" w:lineRule="auto"/>
        <w:ind w:right="642" w:hanging="180"/>
      </w:pPr>
      <w:r>
        <w:t>En consulta con las personas con discapacidad a través de sus organizaciones de representes, coordine la elaboración de las Estrategias de Justicia para la Discapacidad uniformes a nivel nacional</w:t>
      </w:r>
      <w:r>
        <w:rPr>
          <w:spacing w:val="-19"/>
        </w:rPr>
        <w:t xml:space="preserve"> </w:t>
      </w:r>
      <w:r>
        <w:t>en</w:t>
      </w:r>
      <w:r>
        <w:rPr>
          <w:spacing w:val="-18"/>
        </w:rPr>
        <w:t xml:space="preserve"> </w:t>
      </w:r>
      <w:r>
        <w:t>todos</w:t>
      </w:r>
      <w:r>
        <w:rPr>
          <w:spacing w:val="-19"/>
        </w:rPr>
        <w:t xml:space="preserve"> </w:t>
      </w:r>
      <w:r>
        <w:t>los</w:t>
      </w:r>
      <w:r>
        <w:rPr>
          <w:spacing w:val="-18"/>
        </w:rPr>
        <w:t xml:space="preserve"> </w:t>
      </w:r>
      <w:r>
        <w:t>gobiernos</w:t>
      </w:r>
      <w:r>
        <w:rPr>
          <w:spacing w:val="-18"/>
        </w:rPr>
        <w:t xml:space="preserve"> </w:t>
      </w:r>
      <w:r>
        <w:t>para</w:t>
      </w:r>
      <w:r>
        <w:rPr>
          <w:spacing w:val="-19"/>
        </w:rPr>
        <w:t xml:space="preserve"> </w:t>
      </w:r>
      <w:r>
        <w:t>garantizar</w:t>
      </w:r>
      <w:r>
        <w:rPr>
          <w:spacing w:val="-18"/>
        </w:rPr>
        <w:t xml:space="preserve"> </w:t>
      </w:r>
      <w:r>
        <w:t>que</w:t>
      </w:r>
      <w:r>
        <w:rPr>
          <w:spacing w:val="-19"/>
        </w:rPr>
        <w:t xml:space="preserve"> </w:t>
      </w:r>
      <w:r>
        <w:t>las</w:t>
      </w:r>
      <w:r>
        <w:rPr>
          <w:spacing w:val="-18"/>
        </w:rPr>
        <w:t xml:space="preserve"> </w:t>
      </w:r>
      <w:r>
        <w:t>personas</w:t>
      </w:r>
      <w:r>
        <w:rPr>
          <w:spacing w:val="-18"/>
        </w:rPr>
        <w:t xml:space="preserve"> </w:t>
      </w:r>
      <w:r>
        <w:t>con</w:t>
      </w:r>
      <w:r>
        <w:rPr>
          <w:spacing w:val="-19"/>
        </w:rPr>
        <w:t xml:space="preserve"> </w:t>
      </w:r>
      <w:r>
        <w:t>discapacidad</w:t>
      </w:r>
      <w:r>
        <w:rPr>
          <w:spacing w:val="-18"/>
        </w:rPr>
        <w:t xml:space="preserve"> </w:t>
      </w:r>
      <w:r>
        <w:t>reciban</w:t>
      </w:r>
      <w:r>
        <w:rPr>
          <w:spacing w:val="-19"/>
        </w:rPr>
        <w:t xml:space="preserve"> </w:t>
      </w:r>
      <w:r>
        <w:t>apoyo para acceder a las mismas protecciones legales y a las mismas reparaciones que el resto de la comunidad.</w:t>
      </w:r>
    </w:p>
    <w:p w:rsidR="007A0A6C" w:rsidRDefault="00660E26">
      <w:pPr>
        <w:pStyle w:val="ListParagraph"/>
        <w:numPr>
          <w:ilvl w:val="1"/>
          <w:numId w:val="12"/>
        </w:numPr>
        <w:tabs>
          <w:tab w:val="left" w:pos="1080"/>
        </w:tabs>
        <w:spacing w:before="118" w:line="247" w:lineRule="auto"/>
        <w:ind w:right="356" w:hanging="180"/>
      </w:pPr>
      <w:r>
        <w:t>Implemente un conjunto complementario de programas y mecanismos y sentencias alternativas, específicamente por origen cultural y género, que se integre con paquetes flexibles de apoyo a la discapacidad</w:t>
      </w:r>
      <w:r>
        <w:rPr>
          <w:spacing w:val="-20"/>
        </w:rPr>
        <w:t xml:space="preserve"> </w:t>
      </w:r>
      <w:r>
        <w:t>y</w:t>
      </w:r>
      <w:r>
        <w:rPr>
          <w:spacing w:val="-19"/>
        </w:rPr>
        <w:t xml:space="preserve"> </w:t>
      </w:r>
      <w:r>
        <w:t>programas</w:t>
      </w:r>
      <w:r>
        <w:rPr>
          <w:spacing w:val="-19"/>
        </w:rPr>
        <w:t xml:space="preserve"> </w:t>
      </w:r>
      <w:r>
        <w:t>de</w:t>
      </w:r>
      <w:r>
        <w:rPr>
          <w:spacing w:val="-19"/>
        </w:rPr>
        <w:t xml:space="preserve"> </w:t>
      </w:r>
      <w:r>
        <w:t>asistencia</w:t>
      </w:r>
      <w:r>
        <w:rPr>
          <w:spacing w:val="-20"/>
        </w:rPr>
        <w:t xml:space="preserve"> </w:t>
      </w:r>
      <w:r>
        <w:t>social,</w:t>
      </w:r>
      <w:r>
        <w:rPr>
          <w:spacing w:val="-19"/>
        </w:rPr>
        <w:t xml:space="preserve"> </w:t>
      </w:r>
      <w:r>
        <w:t>para</w:t>
      </w:r>
      <w:r>
        <w:rPr>
          <w:spacing w:val="-19"/>
        </w:rPr>
        <w:t xml:space="preserve"> </w:t>
      </w:r>
      <w:r>
        <w:t>impedir</w:t>
      </w:r>
      <w:r>
        <w:rPr>
          <w:spacing w:val="-19"/>
        </w:rPr>
        <w:t xml:space="preserve"> </w:t>
      </w:r>
      <w:r>
        <w:t>que</w:t>
      </w:r>
      <w:r>
        <w:rPr>
          <w:spacing w:val="-20"/>
        </w:rPr>
        <w:t xml:space="preserve"> </w:t>
      </w:r>
      <w:r>
        <w:t>los</w:t>
      </w:r>
      <w:r>
        <w:rPr>
          <w:spacing w:val="-19"/>
        </w:rPr>
        <w:t xml:space="preserve"> </w:t>
      </w:r>
      <w:r>
        <w:t>adultos</w:t>
      </w:r>
      <w:r>
        <w:rPr>
          <w:spacing w:val="-19"/>
        </w:rPr>
        <w:t xml:space="preserve"> </w:t>
      </w:r>
      <w:r>
        <w:t>con</w:t>
      </w:r>
      <w:r>
        <w:rPr>
          <w:spacing w:val="-19"/>
        </w:rPr>
        <w:t xml:space="preserve"> </w:t>
      </w:r>
      <w:r>
        <w:t>discapacidad</w:t>
      </w:r>
      <w:r>
        <w:rPr>
          <w:spacing w:val="-19"/>
        </w:rPr>
        <w:t xml:space="preserve"> </w:t>
      </w:r>
      <w:r>
        <w:t>entren en contacto o pasen por el sistema de justicia</w:t>
      </w:r>
      <w:r>
        <w:rPr>
          <w:spacing w:val="-30"/>
        </w:rPr>
        <w:t xml:space="preserve"> </w:t>
      </w:r>
      <w:r>
        <w:t>penal.</w:t>
      </w:r>
    </w:p>
    <w:p w:rsidR="007A0A6C" w:rsidRDefault="007A0A6C">
      <w:pPr>
        <w:spacing w:line="247" w:lineRule="auto"/>
        <w:sectPr w:rsidR="007A0A6C">
          <w:pgSz w:w="11910" w:h="16840"/>
          <w:pgMar w:top="640" w:right="440" w:bottom="540" w:left="380" w:header="0" w:footer="343" w:gutter="0"/>
          <w:cols w:space="720"/>
        </w:sectPr>
      </w:pPr>
    </w:p>
    <w:p w:rsidR="007A0A6C" w:rsidRDefault="00660E26">
      <w:pPr>
        <w:pStyle w:val="ListParagraph"/>
        <w:numPr>
          <w:ilvl w:val="1"/>
          <w:numId w:val="12"/>
        </w:numPr>
        <w:tabs>
          <w:tab w:val="left" w:pos="1085"/>
        </w:tabs>
        <w:spacing w:before="77" w:line="244" w:lineRule="auto"/>
        <w:ind w:right="499" w:hanging="180"/>
      </w:pPr>
      <w:r>
        <w:lastRenderedPageBreak/>
        <w:t>Garantice que se incorporen módulos sobre el trabajo con personas con discapacidad en los programas de formación obligatorios de la policía, agentes penitenciarios, abogados, funcionarios judiciales y cualquier otro personal de los</w:t>
      </w:r>
      <w:r>
        <w:rPr>
          <w:spacing w:val="-8"/>
        </w:rPr>
        <w:t xml:space="preserve"> </w:t>
      </w:r>
      <w:r>
        <w:t>juzgados.</w:t>
      </w:r>
    </w:p>
    <w:p w:rsidR="007A0A6C" w:rsidRDefault="00660E26">
      <w:pPr>
        <w:pStyle w:val="ListParagraph"/>
        <w:numPr>
          <w:ilvl w:val="1"/>
          <w:numId w:val="12"/>
        </w:numPr>
        <w:tabs>
          <w:tab w:val="left" w:pos="1085"/>
        </w:tabs>
        <w:spacing w:before="122"/>
        <w:ind w:left="1084" w:hanging="204"/>
      </w:pPr>
      <w:r>
        <w:t>Aborde la representación desproporcionada de los jóvenes indígenas en el sistema judicial</w:t>
      </w:r>
      <w:r>
        <w:rPr>
          <w:spacing w:val="-40"/>
        </w:rPr>
        <w:t xml:space="preserve"> </w:t>
      </w:r>
      <w:r>
        <w:t>juvenil.</w:t>
      </w:r>
    </w:p>
    <w:p w:rsidR="007A0A6C" w:rsidRDefault="00660E26">
      <w:pPr>
        <w:pStyle w:val="ListParagraph"/>
        <w:numPr>
          <w:ilvl w:val="1"/>
          <w:numId w:val="12"/>
        </w:numPr>
        <w:tabs>
          <w:tab w:val="left" w:pos="1085"/>
        </w:tabs>
        <w:spacing w:before="124" w:line="242" w:lineRule="auto"/>
        <w:ind w:right="591" w:hanging="180"/>
      </w:pPr>
      <w:r>
        <w:t xml:space="preserve">Implemente las recomendaciones de la </w:t>
      </w:r>
      <w:r>
        <w:rPr>
          <w:i/>
        </w:rPr>
        <w:t xml:space="preserve">Encuesta Nacional sobre la </w:t>
      </w:r>
      <w:r>
        <w:rPr>
          <w:i/>
          <w:spacing w:val="-6"/>
        </w:rPr>
        <w:t xml:space="preserve">Tasa </w:t>
      </w:r>
      <w:r>
        <w:rPr>
          <w:i/>
        </w:rPr>
        <w:t>de Encarcelamiento de las Personas</w:t>
      </w:r>
      <w:r>
        <w:rPr>
          <w:i/>
          <w:spacing w:val="-2"/>
        </w:rPr>
        <w:t xml:space="preserve"> </w:t>
      </w:r>
      <w:r>
        <w:rPr>
          <w:i/>
        </w:rPr>
        <w:t>Indígenas</w:t>
      </w:r>
      <w:r>
        <w:t>.</w:t>
      </w:r>
    </w:p>
    <w:p w:rsidR="007A0A6C" w:rsidRDefault="007A0A6C">
      <w:pPr>
        <w:spacing w:line="242" w:lineRule="auto"/>
        <w:sectPr w:rsidR="007A0A6C">
          <w:pgSz w:w="11910" w:h="16840"/>
          <w:pgMar w:top="560" w:right="440" w:bottom="540" w:left="380" w:header="0" w:footer="343" w:gutter="0"/>
          <w:cols w:space="720"/>
        </w:sectPr>
      </w:pPr>
    </w:p>
    <w:p w:rsidR="007A0A6C" w:rsidRDefault="00660E26">
      <w:pPr>
        <w:pStyle w:val="Heading1"/>
      </w:pPr>
      <w:bookmarkStart w:id="51" w:name="Libertad_y_seguridad_de_la_persona_(artí"/>
      <w:bookmarkStart w:id="52" w:name="_bookmark15"/>
      <w:bookmarkEnd w:id="51"/>
      <w:bookmarkEnd w:id="52"/>
      <w:r>
        <w:rPr>
          <w:color w:val="FFFFFF"/>
          <w:spacing w:val="-55"/>
          <w:w w:val="97"/>
          <w:shd w:val="clear" w:color="auto" w:fill="B31D30"/>
        </w:rPr>
        <w:lastRenderedPageBreak/>
        <w:t xml:space="preserve"> </w:t>
      </w:r>
      <w:bookmarkStart w:id="53" w:name="_Toc15026990"/>
      <w:bookmarkStart w:id="54" w:name="_Toc15027130"/>
      <w:r>
        <w:rPr>
          <w:color w:val="FFFFFF"/>
          <w:shd w:val="clear" w:color="auto" w:fill="B31D30"/>
        </w:rPr>
        <w:t>Libertad y seguridad de la persona (artículo 14)</w:t>
      </w:r>
      <w:bookmarkEnd w:id="53"/>
      <w:bookmarkEnd w:id="54"/>
    </w:p>
    <w:p w:rsidR="007A0A6C" w:rsidRDefault="00660E26">
      <w:pPr>
        <w:pStyle w:val="ListParagraph"/>
        <w:numPr>
          <w:ilvl w:val="0"/>
          <w:numId w:val="11"/>
        </w:numPr>
        <w:tabs>
          <w:tab w:val="left" w:pos="1160"/>
          <w:tab w:val="left" w:pos="1161"/>
        </w:tabs>
        <w:spacing w:before="161" w:line="247" w:lineRule="auto"/>
        <w:ind w:right="459" w:hanging="740"/>
        <w:rPr>
          <w:sz w:val="13"/>
        </w:rPr>
      </w:pPr>
      <w:r>
        <w:t>Existen temas importantes con respecto a los marcos legislativos, políticos y prácticos, que dan como resultado la detención arbitraria y el tratamiento forzoso de las personas con discapacidad, especialmente aquellas que sufren de manera desproporcionada, tales como las personas indígenas con discapacidad, las personas con discapacidad intelectual y las personas con discapacidad</w:t>
      </w:r>
      <w:r>
        <w:rPr>
          <w:spacing w:val="-2"/>
        </w:rPr>
        <w:t xml:space="preserve"> </w:t>
      </w:r>
      <w:r>
        <w:t>psicosocial.</w:t>
      </w:r>
      <w:r>
        <w:rPr>
          <w:position w:val="7"/>
          <w:sz w:val="13"/>
        </w:rPr>
        <w:t>126</w:t>
      </w:r>
    </w:p>
    <w:p w:rsidR="007A0A6C" w:rsidRDefault="00660E26">
      <w:pPr>
        <w:pStyle w:val="BodyText"/>
        <w:tabs>
          <w:tab w:val="left" w:pos="1159"/>
        </w:tabs>
        <w:spacing w:before="137" w:line="247" w:lineRule="auto"/>
        <w:ind w:left="1160" w:right="448" w:hanging="820"/>
        <w:rPr>
          <w:sz w:val="13"/>
        </w:rPr>
      </w:pPr>
      <w:r>
        <w:t>16(a)</w:t>
      </w:r>
      <w:r>
        <w:tab/>
        <w:t>Hay al menos 100 personas detenidas sin condena en las cárceles, en las unidades psiquiátricas y en los servicios de detención forenses de toda Australia en virtud de la legislación sobre deficiencia mental.</w:t>
      </w:r>
      <w:r>
        <w:rPr>
          <w:position w:val="7"/>
          <w:sz w:val="13"/>
        </w:rPr>
        <w:t xml:space="preserve">127 </w:t>
      </w:r>
      <w:r>
        <w:t>Estas personas son predominantemente indígenas, tienen deficiencia cognitiva o psicosocial, barreras de comunicación culturales o pérdida de la</w:t>
      </w:r>
      <w:r>
        <w:rPr>
          <w:spacing w:val="-24"/>
        </w:rPr>
        <w:t xml:space="preserve"> </w:t>
      </w:r>
      <w:r>
        <w:t>audición.</w:t>
      </w:r>
      <w:r>
        <w:rPr>
          <w:position w:val="7"/>
          <w:sz w:val="13"/>
        </w:rPr>
        <w:t>128</w:t>
      </w:r>
    </w:p>
    <w:p w:rsidR="007A0A6C" w:rsidRDefault="00660E26">
      <w:pPr>
        <w:spacing w:before="98" w:line="247" w:lineRule="auto"/>
        <w:ind w:left="1160" w:right="458"/>
      </w:pPr>
      <w:r>
        <w:t>En el EPU de 2016,</w:t>
      </w:r>
      <w:r>
        <w:rPr>
          <w:position w:val="7"/>
          <w:sz w:val="13"/>
        </w:rPr>
        <w:t xml:space="preserve">129 </w:t>
      </w:r>
      <w:r>
        <w:t>Australia asumió el compromiso voluntario</w:t>
      </w:r>
      <w:r>
        <w:rPr>
          <w:position w:val="7"/>
          <w:sz w:val="13"/>
        </w:rPr>
        <w:t xml:space="preserve">130 </w:t>
      </w:r>
      <w:r>
        <w:t>de mejorar la manera en que el sistema de justicia penal trata a las personas con discapacidad cognitiva, que no se pueden defender o a las que no se pueden declarar culpable debido a su deficiencia mental. En 2016, los Gobiernos de Australia</w:t>
      </w:r>
      <w:r>
        <w:rPr>
          <w:position w:val="7"/>
          <w:sz w:val="13"/>
        </w:rPr>
        <w:t xml:space="preserve">131 </w:t>
      </w:r>
      <w:r>
        <w:t xml:space="preserve">propusieron el </w:t>
      </w:r>
      <w:r>
        <w:rPr>
          <w:i/>
        </w:rPr>
        <w:t xml:space="preserve">Proyecto de Declaración Nacional de los Principios relativos a las Personas que no se pueden Defender o no se pueden Declarar Culpables debido a su Deficiencia de Salud Mental o Cognitiva. </w:t>
      </w:r>
      <w:r>
        <w:t>Sin embargo, tres años más tarde, estos Principios aún se deben consultar, avalar o</w:t>
      </w:r>
      <w:r>
        <w:rPr>
          <w:spacing w:val="-8"/>
        </w:rPr>
        <w:t xml:space="preserve"> </w:t>
      </w:r>
      <w:r>
        <w:t>implementar.</w:t>
      </w:r>
    </w:p>
    <w:p w:rsidR="007A0A6C" w:rsidRDefault="00660E26">
      <w:pPr>
        <w:pStyle w:val="BodyText"/>
        <w:spacing w:before="136" w:line="247" w:lineRule="auto"/>
        <w:ind w:left="1171" w:right="641" w:hanging="832"/>
        <w:rPr>
          <w:sz w:val="13"/>
        </w:rPr>
      </w:pPr>
      <w:r>
        <w:t>16(b)(c) Las Declaraciones Interpretativas de Australia relativas a los Artículos 12 y 17 de la CRPD permiten la continuidad de las leyes en materia tutelar y de salud mental que privan de libertad a las personas debido a su discapacidad, y se las somete a intervenciones médicas forzosas, tanto en instituciones como en la comunidad. Si bien hubo algunas revisiones y modificaciones a estas leyes, no se tomó una medida para poner fin a la internación involuntaria basada en la discapacidad o para poner fin a las intervenciones médicas forzosas. Como resultado, muchas personas con discapacidad intelectual, cognitiva y psicosocial sufren graves violaciones a sus derechos humanos.</w:t>
      </w:r>
      <w:r>
        <w:rPr>
          <w:position w:val="7"/>
          <w:sz w:val="13"/>
        </w:rPr>
        <w:t>132</w:t>
      </w:r>
    </w:p>
    <w:p w:rsidR="007A0A6C" w:rsidRDefault="00660E26">
      <w:pPr>
        <w:pStyle w:val="ListParagraph"/>
        <w:numPr>
          <w:ilvl w:val="0"/>
          <w:numId w:val="11"/>
        </w:numPr>
        <w:tabs>
          <w:tab w:val="left" w:pos="1160"/>
          <w:tab w:val="left" w:pos="1161"/>
        </w:tabs>
        <w:spacing w:before="96" w:line="247" w:lineRule="auto"/>
        <w:ind w:right="891" w:hanging="740"/>
      </w:pPr>
      <w:r>
        <w:t xml:space="preserve">El Senado australiano propuso su </w:t>
      </w:r>
      <w:r>
        <w:rPr>
          <w:i/>
        </w:rPr>
        <w:t xml:space="preserve">Informe de Encuesta sobre la Detención Indefinida de las Personas con Deficiencias Cognitivas y Psiquiátricas </w:t>
      </w:r>
      <w:r>
        <w:t>en Australia en 2016.</w:t>
      </w:r>
      <w:r>
        <w:rPr>
          <w:position w:val="7"/>
          <w:sz w:val="13"/>
        </w:rPr>
        <w:t xml:space="preserve">133 </w:t>
      </w:r>
      <w:r>
        <w:t>El Gobierno de Australia aún no ha dado respuesta a este</w:t>
      </w:r>
      <w:r>
        <w:rPr>
          <w:spacing w:val="-8"/>
        </w:rPr>
        <w:t xml:space="preserve"> </w:t>
      </w:r>
      <w:r>
        <w:t>Informe.</w:t>
      </w:r>
    </w:p>
    <w:p w:rsidR="007A0A6C" w:rsidRDefault="00660E26">
      <w:pPr>
        <w:pStyle w:val="Heading2"/>
        <w:tabs>
          <w:tab w:val="left" w:pos="10805"/>
        </w:tabs>
      </w:pPr>
      <w:r>
        <w:rPr>
          <w:color w:val="FFFFFF"/>
          <w:spacing w:val="-37"/>
          <w:shd w:val="clear" w:color="auto" w:fill="4C418E"/>
        </w:rPr>
        <w:t xml:space="preserve"> </w:t>
      </w:r>
      <w:r>
        <w:rPr>
          <w:color w:val="FFFFFF"/>
          <w:shd w:val="clear" w:color="auto" w:fill="4C418E"/>
        </w:rPr>
        <w:t>Recomendaciones</w:t>
      </w:r>
      <w:r>
        <w:rPr>
          <w:color w:val="FFFFFF"/>
          <w:shd w:val="clear" w:color="auto" w:fill="4C418E"/>
        </w:rPr>
        <w:tab/>
      </w:r>
    </w:p>
    <w:p w:rsidR="007A0A6C" w:rsidRDefault="00660E26">
      <w:pPr>
        <w:pStyle w:val="BodyText"/>
        <w:spacing w:before="179"/>
        <w:ind w:left="340"/>
      </w:pPr>
      <w:r>
        <w:t>Que Australia:</w:t>
      </w:r>
    </w:p>
    <w:p w:rsidR="007A0A6C" w:rsidRDefault="00660E26">
      <w:pPr>
        <w:pStyle w:val="ListParagraph"/>
        <w:numPr>
          <w:ilvl w:val="1"/>
          <w:numId w:val="11"/>
        </w:numPr>
        <w:tabs>
          <w:tab w:val="left" w:pos="1085"/>
        </w:tabs>
        <w:spacing w:before="88" w:line="242" w:lineRule="auto"/>
        <w:ind w:right="414" w:hanging="180"/>
      </w:pPr>
      <w:r>
        <w:t>Con carácter urgente, termine con el uso no autorizado de prisión para la gestión de personas con discapacidad no</w:t>
      </w:r>
      <w:r>
        <w:rPr>
          <w:spacing w:val="-3"/>
        </w:rPr>
        <w:t xml:space="preserve"> </w:t>
      </w:r>
      <w:r>
        <w:t>condenadas.</w:t>
      </w:r>
    </w:p>
    <w:p w:rsidR="007A0A6C" w:rsidRDefault="00660E26">
      <w:pPr>
        <w:pStyle w:val="ListParagraph"/>
        <w:numPr>
          <w:ilvl w:val="1"/>
          <w:numId w:val="11"/>
        </w:numPr>
        <w:tabs>
          <w:tab w:val="left" w:pos="1085"/>
        </w:tabs>
        <w:spacing w:before="126" w:line="244" w:lineRule="auto"/>
        <w:ind w:right="377" w:hanging="180"/>
      </w:pPr>
      <w:r>
        <w:t xml:space="preserve">Consulte con las personas con discapacidad acerca del </w:t>
      </w:r>
      <w:r>
        <w:rPr>
          <w:i/>
        </w:rPr>
        <w:t xml:space="preserve">Proyecto de Declaración Nacional de los Principios relativos a las Personas que no se pueden Defender o no se pueden Declarar Culpables debido a su Deficiencia de Salud Mental o Cognitiva </w:t>
      </w:r>
      <w:r>
        <w:t>y acerca de otras medidas para abordar la detención indefinida de personas con discapacidad no</w:t>
      </w:r>
      <w:r>
        <w:rPr>
          <w:spacing w:val="-11"/>
        </w:rPr>
        <w:t xml:space="preserve"> </w:t>
      </w:r>
      <w:r>
        <w:t>condenadas.</w:t>
      </w:r>
    </w:p>
    <w:p w:rsidR="007A0A6C" w:rsidRDefault="00660E26">
      <w:pPr>
        <w:pStyle w:val="ListParagraph"/>
        <w:numPr>
          <w:ilvl w:val="1"/>
          <w:numId w:val="11"/>
        </w:numPr>
        <w:tabs>
          <w:tab w:val="left" w:pos="1085"/>
        </w:tabs>
        <w:spacing w:before="125" w:line="242" w:lineRule="auto"/>
        <w:ind w:right="704" w:hanging="180"/>
      </w:pPr>
      <w:r>
        <w:t xml:space="preserve">Implemente las recomendaciones del </w:t>
      </w:r>
      <w:r>
        <w:rPr>
          <w:i/>
        </w:rPr>
        <w:t xml:space="preserve">Informe de Encuesta sobre la Detención Indefinida de las Personas con Deficiencias Cognitivas y Psiquiátricas </w:t>
      </w:r>
      <w:r>
        <w:t>del Senado de Australia de</w:t>
      </w:r>
      <w:r>
        <w:rPr>
          <w:spacing w:val="-28"/>
        </w:rPr>
        <w:t xml:space="preserve"> </w:t>
      </w:r>
      <w:r>
        <w:t>2016.</w:t>
      </w:r>
    </w:p>
    <w:p w:rsidR="007A0A6C" w:rsidRDefault="00660E26">
      <w:pPr>
        <w:pStyle w:val="ListParagraph"/>
        <w:numPr>
          <w:ilvl w:val="1"/>
          <w:numId w:val="11"/>
        </w:numPr>
        <w:tabs>
          <w:tab w:val="left" w:pos="1085"/>
        </w:tabs>
        <w:spacing w:before="125" w:line="244" w:lineRule="auto"/>
        <w:ind w:right="427" w:hanging="180"/>
      </w:pPr>
      <w:r>
        <w:t>Modifique, derogue o anule aquellas leyes o políticas, y neutralice toda práctica o costumbre que permita la privación de libertad a las personas con discapacidad debido a su discapacidad y se las someta a intervenciones médicas</w:t>
      </w:r>
      <w:r>
        <w:rPr>
          <w:spacing w:val="-3"/>
        </w:rPr>
        <w:t xml:space="preserve"> </w:t>
      </w:r>
      <w:r>
        <w:t>forzosas.</w:t>
      </w:r>
    </w:p>
    <w:p w:rsidR="007A0A6C" w:rsidRDefault="00660E26">
      <w:pPr>
        <w:pStyle w:val="ListParagraph"/>
        <w:numPr>
          <w:ilvl w:val="1"/>
          <w:numId w:val="11"/>
        </w:numPr>
        <w:tabs>
          <w:tab w:val="left" w:pos="1085"/>
        </w:tabs>
        <w:spacing w:before="123" w:line="242" w:lineRule="auto"/>
        <w:ind w:right="1063" w:hanging="180"/>
      </w:pPr>
      <w:r>
        <w:t>Garantice que los marcos legislativo, administrativo y político que privan a las personas con discapacidad de su libertad y afectan su seguridad sean totalmente conforme a la</w:t>
      </w:r>
      <w:r>
        <w:rPr>
          <w:spacing w:val="-29"/>
        </w:rPr>
        <w:t xml:space="preserve"> </w:t>
      </w:r>
      <w:r>
        <w:t>CRPD.</w:t>
      </w:r>
    </w:p>
    <w:p w:rsidR="007A0A6C" w:rsidRDefault="007A0A6C">
      <w:pPr>
        <w:spacing w:line="242" w:lineRule="auto"/>
        <w:sectPr w:rsidR="007A0A6C">
          <w:pgSz w:w="11910" w:h="16840"/>
          <w:pgMar w:top="640" w:right="440" w:bottom="540" w:left="380" w:header="0" w:footer="343" w:gutter="0"/>
          <w:cols w:space="720"/>
        </w:sectPr>
      </w:pPr>
    </w:p>
    <w:p w:rsidR="007A0A6C" w:rsidRDefault="004638C1">
      <w:pPr>
        <w:pStyle w:val="BodyText"/>
        <w:ind w:left="340"/>
        <w:rPr>
          <w:sz w:val="20"/>
        </w:rPr>
      </w:pPr>
      <w:r>
        <w:rPr>
          <w:sz w:val="20"/>
        </w:rPr>
      </w:r>
      <w:r>
        <w:rPr>
          <w:sz w:val="20"/>
        </w:rPr>
        <w:pict>
          <v:shape id="_x0000_s1033" type="#_x0000_t202" alt="" style="width:523.3pt;height:87.8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b31d30" stroked="f">
            <v:textbox inset="0,0,0,0">
              <w:txbxContent>
                <w:p w:rsidR="007A0A6C" w:rsidRDefault="00660E26">
                  <w:pPr>
                    <w:spacing w:line="244" w:lineRule="auto"/>
                    <w:ind w:left="60" w:right="596"/>
                    <w:rPr>
                      <w:rFonts w:ascii="Raleway-SemiBold" w:hAnsi="Raleway-SemiBold"/>
                      <w:b/>
                      <w:sz w:val="48"/>
                    </w:rPr>
                  </w:pPr>
                  <w:bookmarkStart w:id="55" w:name="Protección_contra_la_tortura_y_otros_tra"/>
                  <w:bookmarkStart w:id="56" w:name="_bookmark16"/>
                  <w:bookmarkEnd w:id="55"/>
                  <w:bookmarkEnd w:id="56"/>
                  <w:r>
                    <w:rPr>
                      <w:rFonts w:ascii="Raleway-SemiBold" w:hAnsi="Raleway-SemiBold"/>
                      <w:b/>
                      <w:color w:val="FFFFFF"/>
                      <w:sz w:val="48"/>
                    </w:rPr>
                    <w:t>Protección contra la tortura y otros tratos o penas crueles, inhumanos o degradantes (artículo 15)</w:t>
                  </w:r>
                </w:p>
              </w:txbxContent>
            </v:textbox>
            <w10:anchorlock/>
          </v:shape>
        </w:pict>
      </w:r>
    </w:p>
    <w:p w:rsidR="007A0A6C" w:rsidRDefault="00660E26">
      <w:pPr>
        <w:pStyle w:val="BodyText"/>
        <w:tabs>
          <w:tab w:val="left" w:pos="1059"/>
        </w:tabs>
        <w:spacing w:before="114" w:line="247" w:lineRule="auto"/>
        <w:ind w:right="285" w:hanging="720"/>
      </w:pPr>
      <w:r>
        <w:t>18(a)</w:t>
      </w:r>
      <w:r>
        <w:tab/>
        <w:t>Australia no retiró ni derogó la legislación, las políticas y las prácticas que permiten la modificación de</w:t>
      </w:r>
      <w:r>
        <w:rPr>
          <w:spacing w:val="-11"/>
        </w:rPr>
        <w:t xml:space="preserve"> </w:t>
      </w:r>
      <w:r>
        <w:t>la</w:t>
      </w:r>
      <w:r>
        <w:rPr>
          <w:spacing w:val="-10"/>
        </w:rPr>
        <w:t xml:space="preserve"> </w:t>
      </w:r>
      <w:r>
        <w:t>conducta</w:t>
      </w:r>
      <w:r>
        <w:rPr>
          <w:spacing w:val="-10"/>
        </w:rPr>
        <w:t xml:space="preserve"> </w:t>
      </w:r>
      <w:r>
        <w:t>o</w:t>
      </w:r>
      <w:r>
        <w:rPr>
          <w:spacing w:val="-10"/>
        </w:rPr>
        <w:t xml:space="preserve"> </w:t>
      </w:r>
      <w:r>
        <w:t>prácticas</w:t>
      </w:r>
      <w:r>
        <w:rPr>
          <w:spacing w:val="-10"/>
        </w:rPr>
        <w:t xml:space="preserve"> </w:t>
      </w:r>
      <w:r>
        <w:t>represivas</w:t>
      </w:r>
      <w:r>
        <w:rPr>
          <w:spacing w:val="-10"/>
        </w:rPr>
        <w:t xml:space="preserve"> </w:t>
      </w:r>
      <w:r>
        <w:t>contra</w:t>
      </w:r>
      <w:r>
        <w:rPr>
          <w:spacing w:val="-10"/>
        </w:rPr>
        <w:t xml:space="preserve"> </w:t>
      </w:r>
      <w:r>
        <w:t>las</w:t>
      </w:r>
      <w:r>
        <w:rPr>
          <w:spacing w:val="-10"/>
        </w:rPr>
        <w:t xml:space="preserve"> </w:t>
      </w:r>
      <w:r>
        <w:t>personas</w:t>
      </w:r>
      <w:r>
        <w:rPr>
          <w:spacing w:val="-10"/>
        </w:rPr>
        <w:t xml:space="preserve"> </w:t>
      </w:r>
      <w:r>
        <w:t>con</w:t>
      </w:r>
      <w:r>
        <w:rPr>
          <w:spacing w:val="-10"/>
        </w:rPr>
        <w:t xml:space="preserve"> </w:t>
      </w:r>
      <w:r>
        <w:t>discapacidad,</w:t>
      </w:r>
      <w:r>
        <w:rPr>
          <w:spacing w:val="-10"/>
        </w:rPr>
        <w:t xml:space="preserve"> </w:t>
      </w:r>
      <w:r>
        <w:t>incluso</w:t>
      </w:r>
      <w:r>
        <w:rPr>
          <w:spacing w:val="-10"/>
        </w:rPr>
        <w:t xml:space="preserve"> </w:t>
      </w:r>
      <w:r>
        <w:t>contra</w:t>
      </w:r>
      <w:r>
        <w:rPr>
          <w:spacing w:val="-10"/>
        </w:rPr>
        <w:t xml:space="preserve"> </w:t>
      </w:r>
      <w:r>
        <w:t>los</w:t>
      </w:r>
      <w:r>
        <w:rPr>
          <w:spacing w:val="-10"/>
        </w:rPr>
        <w:t xml:space="preserve"> </w:t>
      </w:r>
      <w:r>
        <w:t>niños.</w:t>
      </w:r>
    </w:p>
    <w:p w:rsidR="007A0A6C" w:rsidRDefault="00660E26">
      <w:pPr>
        <w:pStyle w:val="BodyText"/>
        <w:spacing w:before="99" w:line="247" w:lineRule="auto"/>
        <w:rPr>
          <w:sz w:val="13"/>
        </w:rPr>
      </w:pPr>
      <w:r>
        <w:t>A</w:t>
      </w:r>
      <w:r>
        <w:rPr>
          <w:spacing w:val="-21"/>
        </w:rPr>
        <w:t xml:space="preserve"> </w:t>
      </w:r>
      <w:r>
        <w:t>una</w:t>
      </w:r>
      <w:r>
        <w:rPr>
          <w:spacing w:val="-10"/>
        </w:rPr>
        <w:t xml:space="preserve"> </w:t>
      </w:r>
      <w:r>
        <w:t>gran</w:t>
      </w:r>
      <w:r>
        <w:rPr>
          <w:spacing w:val="-10"/>
        </w:rPr>
        <w:t xml:space="preserve"> </w:t>
      </w:r>
      <w:r>
        <w:t>cantidad</w:t>
      </w:r>
      <w:r>
        <w:rPr>
          <w:spacing w:val="-10"/>
        </w:rPr>
        <w:t xml:space="preserve"> </w:t>
      </w:r>
      <w:r>
        <w:t>de</w:t>
      </w:r>
      <w:r>
        <w:rPr>
          <w:spacing w:val="-11"/>
        </w:rPr>
        <w:t xml:space="preserve"> </w:t>
      </w:r>
      <w:r>
        <w:t>personas</w:t>
      </w:r>
      <w:r>
        <w:rPr>
          <w:spacing w:val="-10"/>
        </w:rPr>
        <w:t xml:space="preserve"> </w:t>
      </w:r>
      <w:r>
        <w:t>con</w:t>
      </w:r>
      <w:r>
        <w:rPr>
          <w:spacing w:val="-10"/>
        </w:rPr>
        <w:t xml:space="preserve"> </w:t>
      </w:r>
      <w:r>
        <w:t>discapacidad,</w:t>
      </w:r>
      <w:r>
        <w:rPr>
          <w:spacing w:val="-10"/>
        </w:rPr>
        <w:t xml:space="preserve"> </w:t>
      </w:r>
      <w:r>
        <w:t>incluso</w:t>
      </w:r>
      <w:r>
        <w:rPr>
          <w:spacing w:val="-10"/>
        </w:rPr>
        <w:t xml:space="preserve"> </w:t>
      </w:r>
      <w:r>
        <w:t>a</w:t>
      </w:r>
      <w:r>
        <w:rPr>
          <w:spacing w:val="-10"/>
        </w:rPr>
        <w:t xml:space="preserve"> </w:t>
      </w:r>
      <w:r>
        <w:t>niños,</w:t>
      </w:r>
      <w:r>
        <w:rPr>
          <w:spacing w:val="-11"/>
        </w:rPr>
        <w:t xml:space="preserve"> </w:t>
      </w:r>
      <w:r>
        <w:t>se</w:t>
      </w:r>
      <w:r>
        <w:rPr>
          <w:spacing w:val="-10"/>
        </w:rPr>
        <w:t xml:space="preserve"> </w:t>
      </w:r>
      <w:r>
        <w:t>les</w:t>
      </w:r>
      <w:r>
        <w:rPr>
          <w:spacing w:val="-10"/>
        </w:rPr>
        <w:t xml:space="preserve"> </w:t>
      </w:r>
      <w:r>
        <w:t>administra</w:t>
      </w:r>
      <w:r>
        <w:rPr>
          <w:spacing w:val="-10"/>
        </w:rPr>
        <w:t xml:space="preserve"> </w:t>
      </w:r>
      <w:r>
        <w:t>medicamentos psicotrópicos, tienen restricción física y reclusión bajo la apariencia de políticas y prácticas de ‘tratamiento</w:t>
      </w:r>
      <w:r>
        <w:rPr>
          <w:spacing w:val="-14"/>
        </w:rPr>
        <w:t xml:space="preserve"> </w:t>
      </w:r>
      <w:r>
        <w:t>conductual’,</w:t>
      </w:r>
      <w:r>
        <w:rPr>
          <w:spacing w:val="-14"/>
        </w:rPr>
        <w:t xml:space="preserve"> </w:t>
      </w:r>
      <w:r>
        <w:t>que</w:t>
      </w:r>
      <w:r>
        <w:rPr>
          <w:spacing w:val="-14"/>
        </w:rPr>
        <w:t xml:space="preserve"> </w:t>
      </w:r>
      <w:r>
        <w:t>incluyen</w:t>
      </w:r>
      <w:r>
        <w:rPr>
          <w:spacing w:val="-14"/>
        </w:rPr>
        <w:t xml:space="preserve"> </w:t>
      </w:r>
      <w:r>
        <w:t>escuelas,</w:t>
      </w:r>
      <w:r>
        <w:rPr>
          <w:spacing w:val="-14"/>
        </w:rPr>
        <w:t xml:space="preserve"> </w:t>
      </w:r>
      <w:r>
        <w:t>predios</w:t>
      </w:r>
      <w:r>
        <w:rPr>
          <w:spacing w:val="-14"/>
        </w:rPr>
        <w:t xml:space="preserve"> </w:t>
      </w:r>
      <w:r>
        <w:t>sanitarios</w:t>
      </w:r>
      <w:r>
        <w:rPr>
          <w:spacing w:val="-14"/>
        </w:rPr>
        <w:t xml:space="preserve"> </w:t>
      </w:r>
      <w:r>
        <w:t>para</w:t>
      </w:r>
      <w:r>
        <w:rPr>
          <w:spacing w:val="-13"/>
        </w:rPr>
        <w:t xml:space="preserve"> </w:t>
      </w:r>
      <w:r>
        <w:t>salud</w:t>
      </w:r>
      <w:r>
        <w:rPr>
          <w:spacing w:val="-14"/>
        </w:rPr>
        <w:t xml:space="preserve"> </w:t>
      </w:r>
      <w:r>
        <w:t>mental</w:t>
      </w:r>
      <w:r>
        <w:rPr>
          <w:spacing w:val="-14"/>
        </w:rPr>
        <w:t xml:space="preserve"> </w:t>
      </w:r>
      <w:r>
        <w:t>o</w:t>
      </w:r>
      <w:r>
        <w:rPr>
          <w:spacing w:val="-14"/>
        </w:rPr>
        <w:t xml:space="preserve"> </w:t>
      </w:r>
      <w:r>
        <w:t>discapacidad, hospitales y entornos de asistencia para adultos</w:t>
      </w:r>
      <w:r>
        <w:rPr>
          <w:spacing w:val="-16"/>
        </w:rPr>
        <w:t xml:space="preserve"> </w:t>
      </w:r>
      <w:r>
        <w:t>mayores.</w:t>
      </w:r>
      <w:r>
        <w:rPr>
          <w:position w:val="7"/>
          <w:sz w:val="13"/>
        </w:rPr>
        <w:t>134</w:t>
      </w:r>
    </w:p>
    <w:p w:rsidR="007A0A6C" w:rsidRDefault="00660E26">
      <w:pPr>
        <w:pStyle w:val="BodyText"/>
        <w:spacing w:before="137" w:line="247" w:lineRule="auto"/>
        <w:ind w:right="404"/>
      </w:pPr>
      <w:r>
        <w:t>No</w:t>
      </w:r>
      <w:r>
        <w:rPr>
          <w:spacing w:val="-9"/>
        </w:rPr>
        <w:t xml:space="preserve"> </w:t>
      </w:r>
      <w:r>
        <w:t>existe</w:t>
      </w:r>
      <w:r>
        <w:rPr>
          <w:spacing w:val="-9"/>
        </w:rPr>
        <w:t xml:space="preserve"> </w:t>
      </w:r>
      <w:r>
        <w:t>un</w:t>
      </w:r>
      <w:r>
        <w:rPr>
          <w:spacing w:val="-9"/>
        </w:rPr>
        <w:t xml:space="preserve"> </w:t>
      </w:r>
      <w:r>
        <w:t>marco</w:t>
      </w:r>
      <w:r>
        <w:rPr>
          <w:spacing w:val="-9"/>
        </w:rPr>
        <w:t xml:space="preserve"> </w:t>
      </w:r>
      <w:r>
        <w:t>protector</w:t>
      </w:r>
      <w:r>
        <w:rPr>
          <w:spacing w:val="-9"/>
        </w:rPr>
        <w:t xml:space="preserve"> </w:t>
      </w:r>
      <w:r>
        <w:t>regulador</w:t>
      </w:r>
      <w:r>
        <w:rPr>
          <w:spacing w:val="-9"/>
        </w:rPr>
        <w:t xml:space="preserve"> </w:t>
      </w:r>
      <w:r>
        <w:t>que</w:t>
      </w:r>
      <w:r>
        <w:rPr>
          <w:spacing w:val="-8"/>
        </w:rPr>
        <w:t xml:space="preserve"> </w:t>
      </w:r>
      <w:r>
        <w:t>proteja</w:t>
      </w:r>
      <w:r>
        <w:rPr>
          <w:spacing w:val="-9"/>
        </w:rPr>
        <w:t xml:space="preserve"> </w:t>
      </w:r>
      <w:r>
        <w:t>a</w:t>
      </w:r>
      <w:r>
        <w:rPr>
          <w:spacing w:val="-9"/>
        </w:rPr>
        <w:t xml:space="preserve"> </w:t>
      </w:r>
      <w:r>
        <w:t>los</w:t>
      </w:r>
      <w:r>
        <w:rPr>
          <w:spacing w:val="-9"/>
        </w:rPr>
        <w:t xml:space="preserve"> </w:t>
      </w:r>
      <w:r>
        <w:t>niños</w:t>
      </w:r>
      <w:r>
        <w:rPr>
          <w:spacing w:val="-9"/>
        </w:rPr>
        <w:t xml:space="preserve"> </w:t>
      </w:r>
      <w:r>
        <w:t>con</w:t>
      </w:r>
      <w:r>
        <w:rPr>
          <w:spacing w:val="-9"/>
        </w:rPr>
        <w:t xml:space="preserve"> </w:t>
      </w:r>
      <w:r>
        <w:t>discapacidad</w:t>
      </w:r>
      <w:r>
        <w:rPr>
          <w:spacing w:val="-9"/>
        </w:rPr>
        <w:t xml:space="preserve"> </w:t>
      </w:r>
      <w:r>
        <w:t>y</w:t>
      </w:r>
      <w:r>
        <w:rPr>
          <w:spacing w:val="-8"/>
        </w:rPr>
        <w:t xml:space="preserve"> </w:t>
      </w:r>
      <w:r>
        <w:t>que</w:t>
      </w:r>
      <w:r>
        <w:rPr>
          <w:spacing w:val="-9"/>
        </w:rPr>
        <w:t xml:space="preserve"> </w:t>
      </w:r>
      <w:r>
        <w:t>evite</w:t>
      </w:r>
      <w:r>
        <w:rPr>
          <w:spacing w:val="-9"/>
        </w:rPr>
        <w:t xml:space="preserve"> </w:t>
      </w:r>
      <w:r>
        <w:t>que sean sometidos a modificar su conducta y a prácticas represivas en las</w:t>
      </w:r>
      <w:r>
        <w:rPr>
          <w:spacing w:val="-43"/>
        </w:rPr>
        <w:t xml:space="preserve"> </w:t>
      </w:r>
      <w:r>
        <w:t>escuelas.</w:t>
      </w:r>
    </w:p>
    <w:p w:rsidR="007A0A6C" w:rsidRDefault="00660E26">
      <w:pPr>
        <w:pStyle w:val="BodyText"/>
        <w:spacing w:before="139" w:line="247" w:lineRule="auto"/>
        <w:rPr>
          <w:sz w:val="13"/>
        </w:rPr>
      </w:pPr>
      <w:r>
        <w:t>A</w:t>
      </w:r>
      <w:r>
        <w:rPr>
          <w:spacing w:val="-19"/>
        </w:rPr>
        <w:t xml:space="preserve"> </w:t>
      </w:r>
      <w:r>
        <w:t>los</w:t>
      </w:r>
      <w:r>
        <w:rPr>
          <w:spacing w:val="-8"/>
        </w:rPr>
        <w:t xml:space="preserve"> </w:t>
      </w:r>
      <w:r>
        <w:t>niños</w:t>
      </w:r>
      <w:r>
        <w:rPr>
          <w:spacing w:val="-9"/>
        </w:rPr>
        <w:t xml:space="preserve"> </w:t>
      </w:r>
      <w:r>
        <w:t>con</w:t>
      </w:r>
      <w:r>
        <w:rPr>
          <w:spacing w:val="-8"/>
        </w:rPr>
        <w:t xml:space="preserve"> </w:t>
      </w:r>
      <w:r>
        <w:t>discapacidad</w:t>
      </w:r>
      <w:r>
        <w:rPr>
          <w:spacing w:val="-8"/>
        </w:rPr>
        <w:t xml:space="preserve"> </w:t>
      </w:r>
      <w:r>
        <w:t>se</w:t>
      </w:r>
      <w:r>
        <w:rPr>
          <w:spacing w:val="-8"/>
        </w:rPr>
        <w:t xml:space="preserve"> </w:t>
      </w:r>
      <w:r>
        <w:t>los</w:t>
      </w:r>
      <w:r>
        <w:rPr>
          <w:spacing w:val="-8"/>
        </w:rPr>
        <w:t xml:space="preserve"> </w:t>
      </w:r>
      <w:r>
        <w:t>retiene</w:t>
      </w:r>
      <w:r>
        <w:rPr>
          <w:spacing w:val="-8"/>
        </w:rPr>
        <w:t xml:space="preserve"> </w:t>
      </w:r>
      <w:r>
        <w:t>y</w:t>
      </w:r>
      <w:r>
        <w:rPr>
          <w:spacing w:val="-9"/>
        </w:rPr>
        <w:t xml:space="preserve"> </w:t>
      </w:r>
      <w:r>
        <w:t>reprime</w:t>
      </w:r>
      <w:r>
        <w:rPr>
          <w:spacing w:val="-8"/>
        </w:rPr>
        <w:t xml:space="preserve"> </w:t>
      </w:r>
      <w:r>
        <w:t>en</w:t>
      </w:r>
      <w:r>
        <w:rPr>
          <w:spacing w:val="-8"/>
        </w:rPr>
        <w:t xml:space="preserve"> </w:t>
      </w:r>
      <w:r>
        <w:t>centros</w:t>
      </w:r>
      <w:r>
        <w:rPr>
          <w:spacing w:val="-8"/>
        </w:rPr>
        <w:t xml:space="preserve"> </w:t>
      </w:r>
      <w:r>
        <w:t>de</w:t>
      </w:r>
      <w:r>
        <w:rPr>
          <w:spacing w:val="-8"/>
        </w:rPr>
        <w:t xml:space="preserve"> </w:t>
      </w:r>
      <w:r>
        <w:t>detención</w:t>
      </w:r>
      <w:r>
        <w:rPr>
          <w:spacing w:val="-8"/>
        </w:rPr>
        <w:t xml:space="preserve"> </w:t>
      </w:r>
      <w:r>
        <w:t>para</w:t>
      </w:r>
      <w:r>
        <w:rPr>
          <w:spacing w:val="-9"/>
        </w:rPr>
        <w:t xml:space="preserve"> </w:t>
      </w:r>
      <w:r>
        <w:t>adultos,</w:t>
      </w:r>
      <w:r>
        <w:rPr>
          <w:spacing w:val="-8"/>
        </w:rPr>
        <w:t xml:space="preserve"> </w:t>
      </w:r>
      <w:r>
        <w:t>y</w:t>
      </w:r>
      <w:r>
        <w:rPr>
          <w:spacing w:val="-8"/>
        </w:rPr>
        <w:t xml:space="preserve"> </w:t>
      </w:r>
      <w:r>
        <w:t>sufren violaciones graves a sus derechos</w:t>
      </w:r>
      <w:r>
        <w:rPr>
          <w:spacing w:val="-9"/>
        </w:rPr>
        <w:t xml:space="preserve"> </w:t>
      </w:r>
      <w:r>
        <w:t>humanos.</w:t>
      </w:r>
      <w:r>
        <w:rPr>
          <w:position w:val="7"/>
          <w:sz w:val="13"/>
        </w:rPr>
        <w:t>135</w:t>
      </w:r>
    </w:p>
    <w:p w:rsidR="007A0A6C" w:rsidRDefault="00660E26">
      <w:pPr>
        <w:pStyle w:val="BodyText"/>
        <w:spacing w:before="139" w:line="247" w:lineRule="auto"/>
        <w:ind w:right="247"/>
        <w:rPr>
          <w:sz w:val="13"/>
        </w:rPr>
      </w:pPr>
      <w:r>
        <w:t>El uso de tratamientos forzosos y prácticas represivas a las personas con discapacidad psicosocial ha aumentado abruptamente en los últimos años. Los datos disponibles sobre el ‘Tratamiento’ electroconvulsivo</w:t>
      </w:r>
      <w:r>
        <w:rPr>
          <w:spacing w:val="-12"/>
        </w:rPr>
        <w:t xml:space="preserve"> </w:t>
      </w:r>
      <w:r>
        <w:t>(TEC)</w:t>
      </w:r>
      <w:r>
        <w:rPr>
          <w:spacing w:val="-12"/>
        </w:rPr>
        <w:t xml:space="preserve"> </w:t>
      </w:r>
      <w:r>
        <w:t>realizado</w:t>
      </w:r>
      <w:r>
        <w:rPr>
          <w:spacing w:val="-11"/>
        </w:rPr>
        <w:t xml:space="preserve"> </w:t>
      </w:r>
      <w:r>
        <w:t>en</w:t>
      </w:r>
      <w:r>
        <w:rPr>
          <w:spacing w:val="-12"/>
        </w:rPr>
        <w:t xml:space="preserve"> </w:t>
      </w:r>
      <w:r>
        <w:t>pacientes</w:t>
      </w:r>
      <w:r>
        <w:rPr>
          <w:spacing w:val="-11"/>
        </w:rPr>
        <w:t xml:space="preserve"> </w:t>
      </w:r>
      <w:r>
        <w:t>de</w:t>
      </w:r>
      <w:r>
        <w:rPr>
          <w:spacing w:val="-12"/>
        </w:rPr>
        <w:t xml:space="preserve"> </w:t>
      </w:r>
      <w:r>
        <w:t>manera</w:t>
      </w:r>
      <w:r>
        <w:rPr>
          <w:spacing w:val="-12"/>
        </w:rPr>
        <w:t xml:space="preserve"> </w:t>
      </w:r>
      <w:r>
        <w:t>involuntaria</w:t>
      </w:r>
      <w:r>
        <w:rPr>
          <w:spacing w:val="-11"/>
        </w:rPr>
        <w:t xml:space="preserve"> </w:t>
      </w:r>
      <w:r>
        <w:t>indica</w:t>
      </w:r>
      <w:r>
        <w:rPr>
          <w:spacing w:val="-12"/>
        </w:rPr>
        <w:t xml:space="preserve"> </w:t>
      </w:r>
      <w:r>
        <w:t>que</w:t>
      </w:r>
      <w:r>
        <w:rPr>
          <w:spacing w:val="-11"/>
        </w:rPr>
        <w:t xml:space="preserve"> </w:t>
      </w:r>
      <w:r>
        <w:t>las</w:t>
      </w:r>
      <w:r>
        <w:rPr>
          <w:spacing w:val="-12"/>
        </w:rPr>
        <w:t xml:space="preserve"> </w:t>
      </w:r>
      <w:r>
        <w:t>mujeres</w:t>
      </w:r>
      <w:r>
        <w:rPr>
          <w:spacing w:val="-12"/>
        </w:rPr>
        <w:t xml:space="preserve"> </w:t>
      </w:r>
      <w:r>
        <w:t>tienen tres veces más probabilidad que los hombres de ser sometidas a esta práctica en todos los grupos de</w:t>
      </w:r>
      <w:r>
        <w:rPr>
          <w:spacing w:val="-2"/>
        </w:rPr>
        <w:t xml:space="preserve"> </w:t>
      </w:r>
      <w:r>
        <w:t>edades.</w:t>
      </w:r>
      <w:r>
        <w:rPr>
          <w:position w:val="7"/>
          <w:sz w:val="13"/>
        </w:rPr>
        <w:t>136</w:t>
      </w:r>
    </w:p>
    <w:p w:rsidR="007A0A6C" w:rsidRDefault="00660E26">
      <w:pPr>
        <w:spacing w:before="137" w:line="247" w:lineRule="auto"/>
        <w:ind w:left="1060" w:right="242"/>
        <w:rPr>
          <w:sz w:val="13"/>
        </w:rPr>
      </w:pPr>
      <w:r>
        <w:t xml:space="preserve">El </w:t>
      </w:r>
      <w:r>
        <w:rPr>
          <w:i/>
        </w:rPr>
        <w:t>Marco Nacional para Reducir y Eliminar el Uso de Prácticas Represivas (2014)</w:t>
      </w:r>
      <w:r>
        <w:rPr>
          <w:position w:val="7"/>
          <w:sz w:val="13"/>
        </w:rPr>
        <w:t xml:space="preserve">137 </w:t>
      </w:r>
      <w:r>
        <w:t xml:space="preserve">y las </w:t>
      </w:r>
      <w:r>
        <w:rPr>
          <w:i/>
        </w:rPr>
        <w:t>Reglamentaciones del NDIS (Práctica Represiva y Apoyo Conductual) de 2018</w:t>
      </w:r>
      <w:r>
        <w:rPr>
          <w:position w:val="7"/>
          <w:sz w:val="13"/>
        </w:rPr>
        <w:t xml:space="preserve">138 </w:t>
      </w:r>
      <w:r>
        <w:t>tienen importantes limitaciones y les permiten a los Estados y Territorios el uso de prácticas represivas. El Marco y las Reglamentaciones del NDIS se centran más en cuándo y cómo utilizar las prácticas represivas que en prohibir su uso.</w:t>
      </w:r>
      <w:r>
        <w:rPr>
          <w:position w:val="7"/>
          <w:sz w:val="13"/>
        </w:rPr>
        <w:t>139</w:t>
      </w:r>
    </w:p>
    <w:p w:rsidR="007A0A6C" w:rsidRDefault="00660E26">
      <w:pPr>
        <w:tabs>
          <w:tab w:val="left" w:pos="1059"/>
        </w:tabs>
        <w:spacing w:before="137" w:line="247" w:lineRule="auto"/>
        <w:ind w:left="1060" w:right="542" w:hanging="720"/>
      </w:pPr>
      <w:r>
        <w:t>18(b)</w:t>
      </w:r>
      <w:r>
        <w:tab/>
        <w:t xml:space="preserve">En 2017, Australia ratificó el </w:t>
      </w:r>
      <w:r>
        <w:rPr>
          <w:i/>
        </w:rPr>
        <w:t xml:space="preserve">Protocolo Facultativo de la Convención contra la </w:t>
      </w:r>
      <w:r>
        <w:rPr>
          <w:i/>
          <w:spacing w:val="-4"/>
        </w:rPr>
        <w:t xml:space="preserve">Tortura </w:t>
      </w:r>
      <w:r>
        <w:rPr>
          <w:i/>
        </w:rPr>
        <w:t xml:space="preserve">y Otros </w:t>
      </w:r>
      <w:r>
        <w:rPr>
          <w:i/>
          <w:spacing w:val="-3"/>
        </w:rPr>
        <w:t>Tratos</w:t>
      </w:r>
      <w:r>
        <w:rPr>
          <w:i/>
          <w:spacing w:val="-9"/>
        </w:rPr>
        <w:t xml:space="preserve"> </w:t>
      </w:r>
      <w:r>
        <w:rPr>
          <w:i/>
        </w:rPr>
        <w:t>o</w:t>
      </w:r>
      <w:r>
        <w:rPr>
          <w:i/>
          <w:spacing w:val="-9"/>
        </w:rPr>
        <w:t xml:space="preserve"> </w:t>
      </w:r>
      <w:r>
        <w:rPr>
          <w:i/>
        </w:rPr>
        <w:t>Penas</w:t>
      </w:r>
      <w:r>
        <w:rPr>
          <w:i/>
          <w:spacing w:val="-9"/>
        </w:rPr>
        <w:t xml:space="preserve"> </w:t>
      </w:r>
      <w:r>
        <w:rPr>
          <w:i/>
        </w:rPr>
        <w:t>Crueles,</w:t>
      </w:r>
      <w:r>
        <w:rPr>
          <w:i/>
          <w:spacing w:val="-9"/>
        </w:rPr>
        <w:t xml:space="preserve"> </w:t>
      </w:r>
      <w:r>
        <w:rPr>
          <w:i/>
        </w:rPr>
        <w:t>Inhumanos</w:t>
      </w:r>
      <w:r>
        <w:rPr>
          <w:i/>
          <w:spacing w:val="-9"/>
        </w:rPr>
        <w:t xml:space="preserve"> </w:t>
      </w:r>
      <w:r>
        <w:rPr>
          <w:i/>
        </w:rPr>
        <w:t>o</w:t>
      </w:r>
      <w:r>
        <w:rPr>
          <w:i/>
          <w:spacing w:val="-9"/>
        </w:rPr>
        <w:t xml:space="preserve"> </w:t>
      </w:r>
      <w:r>
        <w:rPr>
          <w:i/>
        </w:rPr>
        <w:t>Degradantes</w:t>
      </w:r>
      <w:r>
        <w:rPr>
          <w:i/>
          <w:spacing w:val="-9"/>
        </w:rPr>
        <w:t xml:space="preserve"> </w:t>
      </w:r>
      <w:r>
        <w:rPr>
          <w:i/>
          <w:spacing w:val="-3"/>
        </w:rPr>
        <w:t>(OPCAT)</w:t>
      </w:r>
      <w:r>
        <w:rPr>
          <w:i/>
          <w:spacing w:val="-8"/>
        </w:rPr>
        <w:t xml:space="preserve"> </w:t>
      </w:r>
      <w:r>
        <w:t>y</w:t>
      </w:r>
      <w:r>
        <w:rPr>
          <w:spacing w:val="-9"/>
        </w:rPr>
        <w:t xml:space="preserve"> </w:t>
      </w:r>
      <w:r>
        <w:t>comenzó</w:t>
      </w:r>
      <w:r>
        <w:rPr>
          <w:spacing w:val="-9"/>
        </w:rPr>
        <w:t xml:space="preserve"> </w:t>
      </w:r>
      <w:r>
        <w:t>el</w:t>
      </w:r>
      <w:r>
        <w:rPr>
          <w:spacing w:val="-8"/>
        </w:rPr>
        <w:t xml:space="preserve"> </w:t>
      </w:r>
      <w:r>
        <w:t>establecimiento</w:t>
      </w:r>
      <w:r>
        <w:rPr>
          <w:spacing w:val="-9"/>
        </w:rPr>
        <w:t xml:space="preserve"> </w:t>
      </w:r>
      <w:r>
        <w:t>de</w:t>
      </w:r>
      <w:r>
        <w:rPr>
          <w:spacing w:val="-9"/>
        </w:rPr>
        <w:t xml:space="preserve"> </w:t>
      </w:r>
      <w:r>
        <w:t>un Mecanismo</w:t>
      </w:r>
      <w:r>
        <w:rPr>
          <w:spacing w:val="-11"/>
        </w:rPr>
        <w:t xml:space="preserve"> </w:t>
      </w:r>
      <w:r>
        <w:t>Nacional</w:t>
      </w:r>
      <w:r>
        <w:rPr>
          <w:spacing w:val="-10"/>
        </w:rPr>
        <w:t xml:space="preserve"> </w:t>
      </w:r>
      <w:r>
        <w:t>Preventivo</w:t>
      </w:r>
      <w:r>
        <w:rPr>
          <w:spacing w:val="-10"/>
        </w:rPr>
        <w:t xml:space="preserve"> </w:t>
      </w:r>
      <w:r>
        <w:t>(NPM)</w:t>
      </w:r>
      <w:r>
        <w:rPr>
          <w:spacing w:val="-10"/>
        </w:rPr>
        <w:t xml:space="preserve"> </w:t>
      </w:r>
      <w:r>
        <w:t>de</w:t>
      </w:r>
      <w:r>
        <w:rPr>
          <w:spacing w:val="-20"/>
        </w:rPr>
        <w:t xml:space="preserve"> </w:t>
      </w:r>
      <w:r>
        <w:t>Australia.</w:t>
      </w:r>
      <w:r>
        <w:rPr>
          <w:spacing w:val="-10"/>
        </w:rPr>
        <w:t xml:space="preserve"> </w:t>
      </w:r>
      <w:r>
        <w:t>El</w:t>
      </w:r>
      <w:r>
        <w:rPr>
          <w:spacing w:val="-11"/>
        </w:rPr>
        <w:t xml:space="preserve"> </w:t>
      </w:r>
      <w:r>
        <w:t>Defensor</w:t>
      </w:r>
      <w:r>
        <w:rPr>
          <w:spacing w:val="-10"/>
        </w:rPr>
        <w:t xml:space="preserve"> </w:t>
      </w:r>
      <w:r>
        <w:t>del</w:t>
      </w:r>
      <w:r>
        <w:rPr>
          <w:spacing w:val="-10"/>
        </w:rPr>
        <w:t xml:space="preserve"> </w:t>
      </w:r>
      <w:r>
        <w:t>Pueblo</w:t>
      </w:r>
      <w:r>
        <w:rPr>
          <w:spacing w:val="-10"/>
        </w:rPr>
        <w:t xml:space="preserve"> </w:t>
      </w:r>
      <w:r>
        <w:t>de</w:t>
      </w:r>
      <w:r>
        <w:rPr>
          <w:spacing w:val="-10"/>
        </w:rPr>
        <w:t xml:space="preserve"> </w:t>
      </w:r>
      <w:r>
        <w:t>la</w:t>
      </w:r>
      <w:r>
        <w:rPr>
          <w:spacing w:val="-9"/>
        </w:rPr>
        <w:t xml:space="preserve"> </w:t>
      </w:r>
      <w:r>
        <w:rPr>
          <w:i/>
        </w:rPr>
        <w:t xml:space="preserve">Commonwealth </w:t>
      </w:r>
      <w:r>
        <w:t>ha</w:t>
      </w:r>
      <w:r>
        <w:rPr>
          <w:spacing w:val="-11"/>
        </w:rPr>
        <w:t xml:space="preserve"> </w:t>
      </w:r>
      <w:r>
        <w:t>sido</w:t>
      </w:r>
      <w:r>
        <w:rPr>
          <w:spacing w:val="-10"/>
        </w:rPr>
        <w:t xml:space="preserve"> </w:t>
      </w:r>
      <w:r>
        <w:t>nombrado</w:t>
      </w:r>
      <w:r>
        <w:rPr>
          <w:spacing w:val="-10"/>
        </w:rPr>
        <w:t xml:space="preserve"> </w:t>
      </w:r>
      <w:r>
        <w:t>Coordinador</w:t>
      </w:r>
      <w:r>
        <w:rPr>
          <w:spacing w:val="-11"/>
        </w:rPr>
        <w:t xml:space="preserve"> </w:t>
      </w:r>
      <w:r>
        <w:t>del</w:t>
      </w:r>
      <w:r>
        <w:rPr>
          <w:spacing w:val="-10"/>
        </w:rPr>
        <w:t xml:space="preserve"> </w:t>
      </w:r>
      <w:r>
        <w:t>NPM</w:t>
      </w:r>
      <w:r>
        <w:rPr>
          <w:spacing w:val="-10"/>
        </w:rPr>
        <w:t xml:space="preserve"> </w:t>
      </w:r>
      <w:r>
        <w:t>responsable</w:t>
      </w:r>
      <w:r>
        <w:rPr>
          <w:spacing w:val="-11"/>
        </w:rPr>
        <w:t xml:space="preserve"> </w:t>
      </w:r>
      <w:r>
        <w:t>de</w:t>
      </w:r>
      <w:r>
        <w:rPr>
          <w:spacing w:val="-10"/>
        </w:rPr>
        <w:t xml:space="preserve"> </w:t>
      </w:r>
      <w:r>
        <w:t>la</w:t>
      </w:r>
      <w:r>
        <w:rPr>
          <w:spacing w:val="-10"/>
        </w:rPr>
        <w:t xml:space="preserve"> </w:t>
      </w:r>
      <w:r>
        <w:t>inspección</w:t>
      </w:r>
      <w:r>
        <w:rPr>
          <w:spacing w:val="-10"/>
        </w:rPr>
        <w:t xml:space="preserve"> </w:t>
      </w:r>
      <w:r>
        <w:t>de</w:t>
      </w:r>
      <w:r>
        <w:rPr>
          <w:spacing w:val="-11"/>
        </w:rPr>
        <w:t xml:space="preserve"> </w:t>
      </w:r>
      <w:r>
        <w:t>los</w:t>
      </w:r>
      <w:r>
        <w:rPr>
          <w:spacing w:val="-10"/>
        </w:rPr>
        <w:t xml:space="preserve"> </w:t>
      </w:r>
      <w:r>
        <w:t>lugares</w:t>
      </w:r>
      <w:r>
        <w:rPr>
          <w:spacing w:val="-10"/>
        </w:rPr>
        <w:t xml:space="preserve"> </w:t>
      </w:r>
      <w:r>
        <w:t>de</w:t>
      </w:r>
      <w:r>
        <w:rPr>
          <w:spacing w:val="-11"/>
        </w:rPr>
        <w:t xml:space="preserve"> </w:t>
      </w:r>
      <w:r>
        <w:t>detención de</w:t>
      </w:r>
      <w:r>
        <w:rPr>
          <w:spacing w:val="-7"/>
        </w:rPr>
        <w:t xml:space="preserve"> </w:t>
      </w:r>
      <w:r>
        <w:t>la</w:t>
      </w:r>
      <w:r>
        <w:rPr>
          <w:spacing w:val="-7"/>
        </w:rPr>
        <w:t xml:space="preserve"> </w:t>
      </w:r>
      <w:r>
        <w:rPr>
          <w:i/>
        </w:rPr>
        <w:t>Commonwealth</w:t>
      </w:r>
      <w:r>
        <w:t>.</w:t>
      </w:r>
      <w:r>
        <w:rPr>
          <w:position w:val="7"/>
          <w:sz w:val="13"/>
        </w:rPr>
        <w:t>140</w:t>
      </w:r>
      <w:r>
        <w:rPr>
          <w:spacing w:val="18"/>
          <w:position w:val="7"/>
          <w:sz w:val="13"/>
        </w:rPr>
        <w:t xml:space="preserve"> </w:t>
      </w:r>
      <w:r>
        <w:t>Su</w:t>
      </w:r>
      <w:r>
        <w:rPr>
          <w:spacing w:val="-6"/>
        </w:rPr>
        <w:t xml:space="preserve"> </w:t>
      </w:r>
      <w:r>
        <w:t>implementación</w:t>
      </w:r>
      <w:r>
        <w:rPr>
          <w:spacing w:val="-7"/>
        </w:rPr>
        <w:t xml:space="preserve"> </w:t>
      </w:r>
      <w:r>
        <w:t>está</w:t>
      </w:r>
      <w:r>
        <w:rPr>
          <w:spacing w:val="-7"/>
        </w:rPr>
        <w:t xml:space="preserve"> </w:t>
      </w:r>
      <w:r>
        <w:t>destinada</w:t>
      </w:r>
      <w:r>
        <w:rPr>
          <w:spacing w:val="-6"/>
        </w:rPr>
        <w:t xml:space="preserve"> </w:t>
      </w:r>
      <w:r>
        <w:t>a</w:t>
      </w:r>
      <w:r>
        <w:rPr>
          <w:spacing w:val="-7"/>
        </w:rPr>
        <w:t xml:space="preserve"> </w:t>
      </w:r>
      <w:r>
        <w:t>poner</w:t>
      </w:r>
      <w:r>
        <w:rPr>
          <w:spacing w:val="-7"/>
        </w:rPr>
        <w:t xml:space="preserve"> </w:t>
      </w:r>
      <w:r>
        <w:t>el</w:t>
      </w:r>
      <w:r>
        <w:rPr>
          <w:spacing w:val="-7"/>
        </w:rPr>
        <w:t xml:space="preserve"> </w:t>
      </w:r>
      <w:r>
        <w:t>foco</w:t>
      </w:r>
      <w:r>
        <w:rPr>
          <w:spacing w:val="-6"/>
        </w:rPr>
        <w:t xml:space="preserve"> </w:t>
      </w:r>
      <w:r>
        <w:t>en</w:t>
      </w:r>
      <w:r>
        <w:rPr>
          <w:spacing w:val="-7"/>
        </w:rPr>
        <w:t xml:space="preserve"> </w:t>
      </w:r>
      <w:r>
        <w:t>los</w:t>
      </w:r>
      <w:r>
        <w:rPr>
          <w:spacing w:val="-7"/>
        </w:rPr>
        <w:t xml:space="preserve"> </w:t>
      </w:r>
      <w:r>
        <w:t>lugares</w:t>
      </w:r>
      <w:r>
        <w:rPr>
          <w:spacing w:val="-6"/>
        </w:rPr>
        <w:t xml:space="preserve"> </w:t>
      </w:r>
      <w:r>
        <w:t>de</w:t>
      </w:r>
    </w:p>
    <w:p w:rsidR="007A0A6C" w:rsidRDefault="00660E26">
      <w:pPr>
        <w:pStyle w:val="BodyText"/>
        <w:spacing w:line="247" w:lineRule="auto"/>
        <w:ind w:right="322"/>
        <w:rPr>
          <w:sz w:val="13"/>
        </w:rPr>
      </w:pPr>
      <w:r>
        <w:t>detención</w:t>
      </w:r>
      <w:r>
        <w:rPr>
          <w:spacing w:val="-13"/>
        </w:rPr>
        <w:t xml:space="preserve"> </w:t>
      </w:r>
      <w:r>
        <w:t>‘primarios’,</w:t>
      </w:r>
      <w:r>
        <w:rPr>
          <w:position w:val="7"/>
          <w:sz w:val="13"/>
        </w:rPr>
        <w:t>141</w:t>
      </w:r>
      <w:r>
        <w:rPr>
          <w:spacing w:val="13"/>
          <w:position w:val="7"/>
          <w:sz w:val="13"/>
        </w:rPr>
        <w:t xml:space="preserve"> </w:t>
      </w:r>
      <w:r>
        <w:t>que</w:t>
      </w:r>
      <w:r>
        <w:rPr>
          <w:spacing w:val="-12"/>
        </w:rPr>
        <w:t xml:space="preserve"> </w:t>
      </w:r>
      <w:r>
        <w:t>incluyen</w:t>
      </w:r>
      <w:r>
        <w:rPr>
          <w:spacing w:val="-12"/>
        </w:rPr>
        <w:t xml:space="preserve"> </w:t>
      </w:r>
      <w:r>
        <w:t>ciertos</w:t>
      </w:r>
      <w:r>
        <w:rPr>
          <w:spacing w:val="-12"/>
        </w:rPr>
        <w:t xml:space="preserve"> </w:t>
      </w:r>
      <w:r>
        <w:t>predios</w:t>
      </w:r>
      <w:r>
        <w:rPr>
          <w:spacing w:val="-13"/>
        </w:rPr>
        <w:t xml:space="preserve"> </w:t>
      </w:r>
      <w:r>
        <w:t>cerrados</w:t>
      </w:r>
      <w:r>
        <w:rPr>
          <w:spacing w:val="-12"/>
        </w:rPr>
        <w:t xml:space="preserve"> </w:t>
      </w:r>
      <w:r>
        <w:t>psiquiátricos</w:t>
      </w:r>
      <w:r>
        <w:rPr>
          <w:spacing w:val="-12"/>
        </w:rPr>
        <w:t xml:space="preserve"> </w:t>
      </w:r>
      <w:r>
        <w:t>y</w:t>
      </w:r>
      <w:r>
        <w:rPr>
          <w:spacing w:val="-12"/>
        </w:rPr>
        <w:t xml:space="preserve"> </w:t>
      </w:r>
      <w:r>
        <w:t>para</w:t>
      </w:r>
      <w:r>
        <w:rPr>
          <w:spacing w:val="-13"/>
        </w:rPr>
        <w:t xml:space="preserve"> </w:t>
      </w:r>
      <w:r>
        <w:t>discapacidad.</w:t>
      </w:r>
      <w:r>
        <w:rPr>
          <w:spacing w:val="-12"/>
        </w:rPr>
        <w:t xml:space="preserve"> </w:t>
      </w:r>
      <w:r>
        <w:t>Sin embargo,</w:t>
      </w:r>
      <w:r>
        <w:rPr>
          <w:spacing w:val="-11"/>
        </w:rPr>
        <w:t xml:space="preserve"> </w:t>
      </w:r>
      <w:r>
        <w:t>hay</w:t>
      </w:r>
      <w:r>
        <w:rPr>
          <w:spacing w:val="-11"/>
        </w:rPr>
        <w:t xml:space="preserve"> </w:t>
      </w:r>
      <w:r>
        <w:t>una</w:t>
      </w:r>
      <w:r>
        <w:rPr>
          <w:spacing w:val="-10"/>
        </w:rPr>
        <w:t xml:space="preserve"> </w:t>
      </w:r>
      <w:r>
        <w:t>falta</w:t>
      </w:r>
      <w:r>
        <w:rPr>
          <w:spacing w:val="-11"/>
        </w:rPr>
        <w:t xml:space="preserve"> </w:t>
      </w:r>
      <w:r>
        <w:t>de</w:t>
      </w:r>
      <w:r>
        <w:rPr>
          <w:spacing w:val="-11"/>
        </w:rPr>
        <w:t xml:space="preserve"> </w:t>
      </w:r>
      <w:r>
        <w:t>participación</w:t>
      </w:r>
      <w:r>
        <w:rPr>
          <w:spacing w:val="-10"/>
        </w:rPr>
        <w:t xml:space="preserve"> </w:t>
      </w:r>
      <w:r>
        <w:t>de</w:t>
      </w:r>
      <w:r>
        <w:rPr>
          <w:spacing w:val="-11"/>
        </w:rPr>
        <w:t xml:space="preserve"> </w:t>
      </w:r>
      <w:r>
        <w:t>las</w:t>
      </w:r>
      <w:r>
        <w:rPr>
          <w:spacing w:val="-11"/>
        </w:rPr>
        <w:t xml:space="preserve"> </w:t>
      </w:r>
      <w:r>
        <w:t>personas</w:t>
      </w:r>
      <w:r>
        <w:rPr>
          <w:spacing w:val="-10"/>
        </w:rPr>
        <w:t xml:space="preserve"> </w:t>
      </w:r>
      <w:r>
        <w:t>con</w:t>
      </w:r>
      <w:r>
        <w:rPr>
          <w:spacing w:val="-11"/>
        </w:rPr>
        <w:t xml:space="preserve"> </w:t>
      </w:r>
      <w:r>
        <w:t>discapacidad</w:t>
      </w:r>
      <w:r>
        <w:rPr>
          <w:spacing w:val="-11"/>
        </w:rPr>
        <w:t xml:space="preserve"> </w:t>
      </w:r>
      <w:r>
        <w:t>con</w:t>
      </w:r>
      <w:r>
        <w:rPr>
          <w:spacing w:val="-10"/>
        </w:rPr>
        <w:t xml:space="preserve"> </w:t>
      </w:r>
      <w:r>
        <w:t>respecto</w:t>
      </w:r>
      <w:r>
        <w:rPr>
          <w:spacing w:val="-11"/>
        </w:rPr>
        <w:t xml:space="preserve"> </w:t>
      </w:r>
      <w:r>
        <w:t>al</w:t>
      </w:r>
      <w:r>
        <w:rPr>
          <w:spacing w:val="-11"/>
        </w:rPr>
        <w:t xml:space="preserve"> </w:t>
      </w:r>
      <w:r>
        <w:t>desarrollo y la implementación de los NPM que incluyen la</w:t>
      </w:r>
      <w:r>
        <w:rPr>
          <w:spacing w:val="-23"/>
        </w:rPr>
        <w:t xml:space="preserve"> </w:t>
      </w:r>
      <w:r>
        <w:t>discapacidad.</w:t>
      </w:r>
      <w:r>
        <w:rPr>
          <w:position w:val="7"/>
          <w:sz w:val="13"/>
        </w:rPr>
        <w:t>142</w:t>
      </w:r>
    </w:p>
    <w:p w:rsidR="007A0A6C" w:rsidRDefault="00660E26">
      <w:pPr>
        <w:pStyle w:val="BodyText"/>
        <w:spacing w:before="96" w:line="247" w:lineRule="auto"/>
        <w:ind w:right="291"/>
        <w:jc w:val="both"/>
        <w:rPr>
          <w:sz w:val="13"/>
        </w:rPr>
      </w:pPr>
      <w:r>
        <w:t>Australia</w:t>
      </w:r>
      <w:r>
        <w:rPr>
          <w:spacing w:val="-12"/>
        </w:rPr>
        <w:t xml:space="preserve"> </w:t>
      </w:r>
      <w:r>
        <w:t>no</w:t>
      </w:r>
      <w:r>
        <w:rPr>
          <w:spacing w:val="-12"/>
        </w:rPr>
        <w:t xml:space="preserve"> </w:t>
      </w:r>
      <w:r>
        <w:t>ha</w:t>
      </w:r>
      <w:r>
        <w:rPr>
          <w:spacing w:val="-12"/>
        </w:rPr>
        <w:t xml:space="preserve"> </w:t>
      </w:r>
      <w:r>
        <w:t>implementado</w:t>
      </w:r>
      <w:r>
        <w:rPr>
          <w:spacing w:val="-12"/>
        </w:rPr>
        <w:t xml:space="preserve"> </w:t>
      </w:r>
      <w:r>
        <w:t>las</w:t>
      </w:r>
      <w:r>
        <w:rPr>
          <w:spacing w:val="-11"/>
        </w:rPr>
        <w:t xml:space="preserve"> </w:t>
      </w:r>
      <w:r>
        <w:t>Observaciones</w:t>
      </w:r>
      <w:r>
        <w:rPr>
          <w:spacing w:val="-12"/>
        </w:rPr>
        <w:t xml:space="preserve"> </w:t>
      </w:r>
      <w:r>
        <w:t>Concluyentes</w:t>
      </w:r>
      <w:r>
        <w:rPr>
          <w:spacing w:val="-12"/>
        </w:rPr>
        <w:t xml:space="preserve"> </w:t>
      </w:r>
      <w:r>
        <w:t>correspondientes</w:t>
      </w:r>
      <w:r>
        <w:rPr>
          <w:spacing w:val="-12"/>
        </w:rPr>
        <w:t xml:space="preserve"> </w:t>
      </w:r>
      <w:r>
        <w:t>a</w:t>
      </w:r>
      <w:r>
        <w:rPr>
          <w:spacing w:val="-12"/>
        </w:rPr>
        <w:t xml:space="preserve"> </w:t>
      </w:r>
      <w:r>
        <w:t>las</w:t>
      </w:r>
      <w:r>
        <w:rPr>
          <w:spacing w:val="-11"/>
        </w:rPr>
        <w:t xml:space="preserve"> </w:t>
      </w:r>
      <w:r>
        <w:t>personas</w:t>
      </w:r>
      <w:r>
        <w:rPr>
          <w:spacing w:val="-12"/>
        </w:rPr>
        <w:t xml:space="preserve"> </w:t>
      </w:r>
      <w:r>
        <w:t>con discapacidad</w:t>
      </w:r>
      <w:r>
        <w:rPr>
          <w:spacing w:val="-8"/>
        </w:rPr>
        <w:t xml:space="preserve"> </w:t>
      </w:r>
      <w:r>
        <w:t>que</w:t>
      </w:r>
      <w:r>
        <w:rPr>
          <w:spacing w:val="-7"/>
        </w:rPr>
        <w:t xml:space="preserve"> </w:t>
      </w:r>
      <w:r>
        <w:t>surgen</w:t>
      </w:r>
      <w:r>
        <w:rPr>
          <w:spacing w:val="-8"/>
        </w:rPr>
        <w:t xml:space="preserve"> </w:t>
      </w:r>
      <w:r>
        <w:t>de</w:t>
      </w:r>
      <w:r>
        <w:rPr>
          <w:spacing w:val="-7"/>
        </w:rPr>
        <w:t xml:space="preserve"> </w:t>
      </w:r>
      <w:r>
        <w:t>la</w:t>
      </w:r>
      <w:r>
        <w:rPr>
          <w:spacing w:val="-8"/>
        </w:rPr>
        <w:t xml:space="preserve"> </w:t>
      </w:r>
      <w:r>
        <w:t>revisión</w:t>
      </w:r>
      <w:r>
        <w:rPr>
          <w:spacing w:val="-7"/>
        </w:rPr>
        <w:t xml:space="preserve"> </w:t>
      </w:r>
      <w:r>
        <w:t>del</w:t>
      </w:r>
      <w:r>
        <w:rPr>
          <w:spacing w:val="-8"/>
        </w:rPr>
        <w:t xml:space="preserve"> </w:t>
      </w:r>
      <w:r>
        <w:t>Comité</w:t>
      </w:r>
      <w:r>
        <w:rPr>
          <w:spacing w:val="-7"/>
        </w:rPr>
        <w:t xml:space="preserve"> </w:t>
      </w:r>
      <w:r>
        <w:t>contra</w:t>
      </w:r>
      <w:r>
        <w:rPr>
          <w:spacing w:val="-8"/>
        </w:rPr>
        <w:t xml:space="preserve"> </w:t>
      </w:r>
      <w:r>
        <w:t>la</w:t>
      </w:r>
      <w:r>
        <w:rPr>
          <w:spacing w:val="-11"/>
        </w:rPr>
        <w:t xml:space="preserve"> </w:t>
      </w:r>
      <w:r>
        <w:rPr>
          <w:spacing w:val="-5"/>
        </w:rPr>
        <w:t>Tortura</w:t>
      </w:r>
      <w:r>
        <w:rPr>
          <w:spacing w:val="-7"/>
        </w:rPr>
        <w:t xml:space="preserve"> </w:t>
      </w:r>
      <w:r>
        <w:t>de</w:t>
      </w:r>
      <w:r>
        <w:rPr>
          <w:spacing w:val="-8"/>
        </w:rPr>
        <w:t xml:space="preserve"> </w:t>
      </w:r>
      <w:r>
        <w:t>2014</w:t>
      </w:r>
      <w:r>
        <w:rPr>
          <w:spacing w:val="-7"/>
        </w:rPr>
        <w:t xml:space="preserve"> </w:t>
      </w:r>
      <w:r>
        <w:t>de</w:t>
      </w:r>
      <w:r>
        <w:rPr>
          <w:spacing w:val="-8"/>
        </w:rPr>
        <w:t xml:space="preserve"> </w:t>
      </w:r>
      <w:r>
        <w:t>los</w:t>
      </w:r>
      <w:r>
        <w:rPr>
          <w:spacing w:val="-7"/>
        </w:rPr>
        <w:t xml:space="preserve"> </w:t>
      </w:r>
      <w:r>
        <w:t>cuartos</w:t>
      </w:r>
      <w:r>
        <w:rPr>
          <w:spacing w:val="-8"/>
        </w:rPr>
        <w:t xml:space="preserve"> </w:t>
      </w:r>
      <w:r>
        <w:t>y</w:t>
      </w:r>
      <w:r>
        <w:rPr>
          <w:spacing w:val="-7"/>
        </w:rPr>
        <w:t xml:space="preserve"> </w:t>
      </w:r>
      <w:r>
        <w:t>quintos informes periódicos combinados de</w:t>
      </w:r>
      <w:r>
        <w:rPr>
          <w:spacing w:val="-19"/>
        </w:rPr>
        <w:t xml:space="preserve"> </w:t>
      </w:r>
      <w:r>
        <w:t>Australia.</w:t>
      </w:r>
      <w:r>
        <w:rPr>
          <w:position w:val="7"/>
          <w:sz w:val="13"/>
        </w:rPr>
        <w:t>143</w:t>
      </w:r>
    </w:p>
    <w:p w:rsidR="007A0A6C" w:rsidRDefault="00660E26">
      <w:pPr>
        <w:pStyle w:val="Heading2"/>
        <w:tabs>
          <w:tab w:val="left" w:pos="10805"/>
        </w:tabs>
        <w:spacing w:before="208"/>
      </w:pPr>
      <w:r>
        <w:rPr>
          <w:color w:val="FFFFFF"/>
          <w:spacing w:val="-37"/>
          <w:shd w:val="clear" w:color="auto" w:fill="4C418E"/>
        </w:rPr>
        <w:t xml:space="preserve"> </w:t>
      </w:r>
      <w:r>
        <w:rPr>
          <w:color w:val="FFFFFF"/>
          <w:shd w:val="clear" w:color="auto" w:fill="4C418E"/>
        </w:rPr>
        <w:t>Recomendaciones</w:t>
      </w:r>
      <w:r>
        <w:rPr>
          <w:color w:val="FFFFFF"/>
          <w:shd w:val="clear" w:color="auto" w:fill="4C418E"/>
        </w:rPr>
        <w:tab/>
      </w:r>
    </w:p>
    <w:p w:rsidR="007A0A6C" w:rsidRDefault="00660E26">
      <w:pPr>
        <w:pStyle w:val="BodyText"/>
        <w:spacing w:before="178"/>
        <w:ind w:left="340"/>
      </w:pPr>
      <w:r>
        <w:t>Que Australia:</w:t>
      </w:r>
    </w:p>
    <w:p w:rsidR="007A0A6C" w:rsidRDefault="00660E26">
      <w:pPr>
        <w:pStyle w:val="ListParagraph"/>
        <w:numPr>
          <w:ilvl w:val="1"/>
          <w:numId w:val="11"/>
        </w:numPr>
        <w:tabs>
          <w:tab w:val="left" w:pos="1082"/>
        </w:tabs>
        <w:spacing w:before="89" w:line="242" w:lineRule="auto"/>
        <w:ind w:right="572" w:hanging="180"/>
      </w:pPr>
      <w:r>
        <w:t>Con</w:t>
      </w:r>
      <w:r>
        <w:rPr>
          <w:spacing w:val="-11"/>
        </w:rPr>
        <w:t xml:space="preserve"> </w:t>
      </w:r>
      <w:r>
        <w:t>carácter</w:t>
      </w:r>
      <w:r>
        <w:rPr>
          <w:spacing w:val="-10"/>
        </w:rPr>
        <w:t xml:space="preserve"> </w:t>
      </w:r>
      <w:r>
        <w:t>urgente,</w:t>
      </w:r>
      <w:r>
        <w:rPr>
          <w:spacing w:val="-10"/>
        </w:rPr>
        <w:t xml:space="preserve"> </w:t>
      </w:r>
      <w:r>
        <w:t>termine</w:t>
      </w:r>
      <w:r>
        <w:rPr>
          <w:spacing w:val="-10"/>
        </w:rPr>
        <w:t xml:space="preserve"> </w:t>
      </w:r>
      <w:r>
        <w:t>con</w:t>
      </w:r>
      <w:r>
        <w:rPr>
          <w:spacing w:val="-10"/>
        </w:rPr>
        <w:t xml:space="preserve"> </w:t>
      </w:r>
      <w:r>
        <w:t>la</w:t>
      </w:r>
      <w:r>
        <w:rPr>
          <w:spacing w:val="-10"/>
        </w:rPr>
        <w:t xml:space="preserve"> </w:t>
      </w:r>
      <w:r>
        <w:t>práctica</w:t>
      </w:r>
      <w:r>
        <w:rPr>
          <w:spacing w:val="-10"/>
        </w:rPr>
        <w:t xml:space="preserve"> </w:t>
      </w:r>
      <w:r>
        <w:t>de</w:t>
      </w:r>
      <w:r>
        <w:rPr>
          <w:spacing w:val="-10"/>
        </w:rPr>
        <w:t xml:space="preserve"> </w:t>
      </w:r>
      <w:r>
        <w:t>detención</w:t>
      </w:r>
      <w:r>
        <w:rPr>
          <w:spacing w:val="-10"/>
        </w:rPr>
        <w:t xml:space="preserve"> </w:t>
      </w:r>
      <w:r>
        <w:t>y</w:t>
      </w:r>
      <w:r>
        <w:rPr>
          <w:spacing w:val="-10"/>
        </w:rPr>
        <w:t xml:space="preserve"> </w:t>
      </w:r>
      <w:r>
        <w:t>represión</w:t>
      </w:r>
      <w:r>
        <w:rPr>
          <w:spacing w:val="-10"/>
        </w:rPr>
        <w:t xml:space="preserve"> </w:t>
      </w:r>
      <w:r>
        <w:t>de</w:t>
      </w:r>
      <w:r>
        <w:rPr>
          <w:spacing w:val="-10"/>
        </w:rPr>
        <w:t xml:space="preserve"> </w:t>
      </w:r>
      <w:r>
        <w:t>niños</w:t>
      </w:r>
      <w:r>
        <w:rPr>
          <w:spacing w:val="-10"/>
        </w:rPr>
        <w:t xml:space="preserve"> </w:t>
      </w:r>
      <w:r>
        <w:t>con</w:t>
      </w:r>
      <w:r>
        <w:rPr>
          <w:spacing w:val="-10"/>
        </w:rPr>
        <w:t xml:space="preserve"> </w:t>
      </w:r>
      <w:r>
        <w:t>discapacidad en los centros de detención para</w:t>
      </w:r>
      <w:r>
        <w:rPr>
          <w:spacing w:val="-10"/>
        </w:rPr>
        <w:t xml:space="preserve"> </w:t>
      </w:r>
      <w:r>
        <w:t>adultos.</w:t>
      </w:r>
    </w:p>
    <w:p w:rsidR="007A0A6C" w:rsidRDefault="00660E26">
      <w:pPr>
        <w:pStyle w:val="ListParagraph"/>
        <w:numPr>
          <w:ilvl w:val="1"/>
          <w:numId w:val="11"/>
        </w:numPr>
        <w:tabs>
          <w:tab w:val="left" w:pos="1082"/>
        </w:tabs>
        <w:spacing w:before="125" w:line="244" w:lineRule="auto"/>
        <w:ind w:right="498" w:hanging="180"/>
        <w:jc w:val="both"/>
      </w:pPr>
      <w:r>
        <w:t>Establezca</w:t>
      </w:r>
      <w:r>
        <w:rPr>
          <w:spacing w:val="-11"/>
        </w:rPr>
        <w:t xml:space="preserve"> </w:t>
      </w:r>
      <w:r>
        <w:t>un</w:t>
      </w:r>
      <w:r>
        <w:rPr>
          <w:spacing w:val="-11"/>
        </w:rPr>
        <w:t xml:space="preserve"> </w:t>
      </w:r>
      <w:r>
        <w:t>marco</w:t>
      </w:r>
      <w:r>
        <w:rPr>
          <w:spacing w:val="-10"/>
        </w:rPr>
        <w:t xml:space="preserve"> </w:t>
      </w:r>
      <w:r>
        <w:t>nacional</w:t>
      </w:r>
      <w:r>
        <w:rPr>
          <w:spacing w:val="-11"/>
        </w:rPr>
        <w:t xml:space="preserve"> </w:t>
      </w:r>
      <w:r>
        <w:t>coherente</w:t>
      </w:r>
      <w:r>
        <w:rPr>
          <w:spacing w:val="-11"/>
        </w:rPr>
        <w:t xml:space="preserve"> </w:t>
      </w:r>
      <w:r>
        <w:t>para</w:t>
      </w:r>
      <w:r>
        <w:rPr>
          <w:spacing w:val="-10"/>
        </w:rPr>
        <w:t xml:space="preserve"> </w:t>
      </w:r>
      <w:r>
        <w:t>la</w:t>
      </w:r>
      <w:r>
        <w:rPr>
          <w:spacing w:val="-11"/>
        </w:rPr>
        <w:t xml:space="preserve"> </w:t>
      </w:r>
      <w:r>
        <w:t>protección</w:t>
      </w:r>
      <w:r>
        <w:rPr>
          <w:spacing w:val="-10"/>
        </w:rPr>
        <w:t xml:space="preserve"> </w:t>
      </w:r>
      <w:r>
        <w:t>de</w:t>
      </w:r>
      <w:r>
        <w:rPr>
          <w:spacing w:val="-11"/>
        </w:rPr>
        <w:t xml:space="preserve"> </w:t>
      </w:r>
      <w:r>
        <w:t>personas</w:t>
      </w:r>
      <w:r>
        <w:rPr>
          <w:spacing w:val="-11"/>
        </w:rPr>
        <w:t xml:space="preserve"> </w:t>
      </w:r>
      <w:r>
        <w:t>con</w:t>
      </w:r>
      <w:r>
        <w:rPr>
          <w:spacing w:val="-10"/>
        </w:rPr>
        <w:t xml:space="preserve"> </w:t>
      </w:r>
      <w:r>
        <w:t>discapacidad,</w:t>
      </w:r>
      <w:r>
        <w:rPr>
          <w:spacing w:val="-11"/>
        </w:rPr>
        <w:t xml:space="preserve"> </w:t>
      </w:r>
      <w:r>
        <w:t>desde la</w:t>
      </w:r>
      <w:r>
        <w:rPr>
          <w:spacing w:val="-10"/>
        </w:rPr>
        <w:t xml:space="preserve"> </w:t>
      </w:r>
      <w:r>
        <w:t>modificación</w:t>
      </w:r>
      <w:r>
        <w:rPr>
          <w:spacing w:val="-9"/>
        </w:rPr>
        <w:t xml:space="preserve"> </w:t>
      </w:r>
      <w:r>
        <w:t>de</w:t>
      </w:r>
      <w:r>
        <w:rPr>
          <w:spacing w:val="-9"/>
        </w:rPr>
        <w:t xml:space="preserve"> </w:t>
      </w:r>
      <w:r>
        <w:t>la</w:t>
      </w:r>
      <w:r>
        <w:rPr>
          <w:spacing w:val="-9"/>
        </w:rPr>
        <w:t xml:space="preserve"> </w:t>
      </w:r>
      <w:r>
        <w:t>conducta</w:t>
      </w:r>
      <w:r>
        <w:rPr>
          <w:spacing w:val="-9"/>
        </w:rPr>
        <w:t xml:space="preserve"> </w:t>
      </w:r>
      <w:r>
        <w:t>hasta</w:t>
      </w:r>
      <w:r>
        <w:rPr>
          <w:spacing w:val="-9"/>
        </w:rPr>
        <w:t xml:space="preserve"> </w:t>
      </w:r>
      <w:r>
        <w:t>la</w:t>
      </w:r>
      <w:r>
        <w:rPr>
          <w:spacing w:val="-9"/>
        </w:rPr>
        <w:t xml:space="preserve"> </w:t>
      </w:r>
      <w:r>
        <w:t>eliminación</w:t>
      </w:r>
      <w:r>
        <w:rPr>
          <w:spacing w:val="-9"/>
        </w:rPr>
        <w:t xml:space="preserve"> </w:t>
      </w:r>
      <w:r>
        <w:t>de</w:t>
      </w:r>
      <w:r>
        <w:rPr>
          <w:spacing w:val="-9"/>
        </w:rPr>
        <w:t xml:space="preserve"> </w:t>
      </w:r>
      <w:r>
        <w:t>prácticas</w:t>
      </w:r>
      <w:r>
        <w:rPr>
          <w:spacing w:val="-9"/>
        </w:rPr>
        <w:t xml:space="preserve"> </w:t>
      </w:r>
      <w:r>
        <w:t>represivas</w:t>
      </w:r>
      <w:r>
        <w:rPr>
          <w:spacing w:val="-9"/>
        </w:rPr>
        <w:t xml:space="preserve"> </w:t>
      </w:r>
      <w:r>
        <w:t>en</w:t>
      </w:r>
      <w:r>
        <w:rPr>
          <w:spacing w:val="-9"/>
        </w:rPr>
        <w:t xml:space="preserve"> </w:t>
      </w:r>
      <w:r>
        <w:t>una</w:t>
      </w:r>
      <w:r>
        <w:rPr>
          <w:spacing w:val="-9"/>
        </w:rPr>
        <w:t xml:space="preserve"> </w:t>
      </w:r>
      <w:r>
        <w:t>amplia</w:t>
      </w:r>
      <w:r>
        <w:rPr>
          <w:spacing w:val="-9"/>
        </w:rPr>
        <w:t xml:space="preserve"> </w:t>
      </w:r>
      <w:r>
        <w:t>gama</w:t>
      </w:r>
      <w:r>
        <w:rPr>
          <w:spacing w:val="-9"/>
        </w:rPr>
        <w:t xml:space="preserve"> </w:t>
      </w:r>
      <w:r>
        <w:t>de establecimientos.</w:t>
      </w:r>
    </w:p>
    <w:p w:rsidR="007A0A6C" w:rsidRDefault="00660E26">
      <w:pPr>
        <w:pStyle w:val="ListParagraph"/>
        <w:numPr>
          <w:ilvl w:val="1"/>
          <w:numId w:val="11"/>
        </w:numPr>
        <w:tabs>
          <w:tab w:val="left" w:pos="1082"/>
        </w:tabs>
        <w:spacing w:before="123" w:line="244" w:lineRule="auto"/>
        <w:ind w:right="282" w:hanging="180"/>
      </w:pPr>
      <w:r>
        <w:t>Establezca</w:t>
      </w:r>
      <w:r>
        <w:rPr>
          <w:spacing w:val="-10"/>
        </w:rPr>
        <w:t xml:space="preserve"> </w:t>
      </w:r>
      <w:r>
        <w:t>y</w:t>
      </w:r>
      <w:r>
        <w:rPr>
          <w:spacing w:val="-9"/>
        </w:rPr>
        <w:t xml:space="preserve"> </w:t>
      </w:r>
      <w:r>
        <w:t>financie</w:t>
      </w:r>
      <w:r>
        <w:rPr>
          <w:spacing w:val="-9"/>
        </w:rPr>
        <w:t xml:space="preserve"> </w:t>
      </w:r>
      <w:r>
        <w:t>un</w:t>
      </w:r>
      <w:r>
        <w:rPr>
          <w:spacing w:val="-10"/>
        </w:rPr>
        <w:t xml:space="preserve"> </w:t>
      </w:r>
      <w:r>
        <w:t>mecanismo</w:t>
      </w:r>
      <w:r>
        <w:rPr>
          <w:spacing w:val="-9"/>
        </w:rPr>
        <w:t xml:space="preserve"> </w:t>
      </w:r>
      <w:r>
        <w:t>de</w:t>
      </w:r>
      <w:r>
        <w:rPr>
          <w:spacing w:val="-9"/>
        </w:rPr>
        <w:t xml:space="preserve"> </w:t>
      </w:r>
      <w:r>
        <w:t>compromiso</w:t>
      </w:r>
      <w:r>
        <w:rPr>
          <w:spacing w:val="-10"/>
        </w:rPr>
        <w:t xml:space="preserve"> </w:t>
      </w:r>
      <w:r>
        <w:t>para</w:t>
      </w:r>
      <w:r>
        <w:rPr>
          <w:spacing w:val="-9"/>
        </w:rPr>
        <w:t xml:space="preserve"> </w:t>
      </w:r>
      <w:r>
        <w:t>la</w:t>
      </w:r>
      <w:r>
        <w:rPr>
          <w:spacing w:val="-9"/>
        </w:rPr>
        <w:t xml:space="preserve"> </w:t>
      </w:r>
      <w:r>
        <w:t>participación</w:t>
      </w:r>
      <w:r>
        <w:rPr>
          <w:spacing w:val="-10"/>
        </w:rPr>
        <w:t xml:space="preserve"> </w:t>
      </w:r>
      <w:r>
        <w:t>activa</w:t>
      </w:r>
      <w:r>
        <w:rPr>
          <w:spacing w:val="-9"/>
        </w:rPr>
        <w:t xml:space="preserve"> </w:t>
      </w:r>
      <w:r>
        <w:t>de</w:t>
      </w:r>
      <w:r>
        <w:rPr>
          <w:spacing w:val="-9"/>
        </w:rPr>
        <w:t xml:space="preserve"> </w:t>
      </w:r>
      <w:r>
        <w:t>las</w:t>
      </w:r>
      <w:r>
        <w:rPr>
          <w:spacing w:val="-10"/>
        </w:rPr>
        <w:t xml:space="preserve"> </w:t>
      </w:r>
      <w:r>
        <w:t>personas</w:t>
      </w:r>
      <w:r>
        <w:rPr>
          <w:spacing w:val="-9"/>
        </w:rPr>
        <w:t xml:space="preserve"> </w:t>
      </w:r>
      <w:r>
        <w:t>con discapacidad en el diseño, el desarrollo, la aplicación y la supervisión de los NPM que incluyen la discapacidad.</w:t>
      </w:r>
    </w:p>
    <w:p w:rsidR="007A0A6C" w:rsidRDefault="00660E26">
      <w:pPr>
        <w:pStyle w:val="ListParagraph"/>
        <w:numPr>
          <w:ilvl w:val="1"/>
          <w:numId w:val="11"/>
        </w:numPr>
        <w:tabs>
          <w:tab w:val="left" w:pos="1082"/>
        </w:tabs>
        <w:spacing w:before="122" w:line="244" w:lineRule="auto"/>
        <w:ind w:right="680" w:hanging="180"/>
      </w:pPr>
      <w:r>
        <w:t>Implemente</w:t>
      </w:r>
      <w:r>
        <w:rPr>
          <w:spacing w:val="-14"/>
        </w:rPr>
        <w:t xml:space="preserve"> </w:t>
      </w:r>
      <w:r>
        <w:t>las</w:t>
      </w:r>
      <w:r>
        <w:rPr>
          <w:spacing w:val="-14"/>
        </w:rPr>
        <w:t xml:space="preserve"> </w:t>
      </w:r>
      <w:r>
        <w:t>Observaciones</w:t>
      </w:r>
      <w:r>
        <w:rPr>
          <w:spacing w:val="-13"/>
        </w:rPr>
        <w:t xml:space="preserve"> </w:t>
      </w:r>
      <w:r>
        <w:t>Concluyentes</w:t>
      </w:r>
      <w:r>
        <w:rPr>
          <w:spacing w:val="-14"/>
        </w:rPr>
        <w:t xml:space="preserve"> </w:t>
      </w:r>
      <w:r>
        <w:t>correspondientes</w:t>
      </w:r>
      <w:r>
        <w:rPr>
          <w:spacing w:val="-13"/>
        </w:rPr>
        <w:t xml:space="preserve"> </w:t>
      </w:r>
      <w:r>
        <w:t>a</w:t>
      </w:r>
      <w:r>
        <w:rPr>
          <w:spacing w:val="-14"/>
        </w:rPr>
        <w:t xml:space="preserve"> </w:t>
      </w:r>
      <w:r>
        <w:t>las</w:t>
      </w:r>
      <w:r>
        <w:rPr>
          <w:spacing w:val="-14"/>
        </w:rPr>
        <w:t xml:space="preserve"> </w:t>
      </w:r>
      <w:r>
        <w:t>personas</w:t>
      </w:r>
      <w:r>
        <w:rPr>
          <w:spacing w:val="-13"/>
        </w:rPr>
        <w:t xml:space="preserve"> </w:t>
      </w:r>
      <w:r>
        <w:t>con</w:t>
      </w:r>
      <w:r>
        <w:rPr>
          <w:spacing w:val="-14"/>
        </w:rPr>
        <w:t xml:space="preserve"> </w:t>
      </w:r>
      <w:r>
        <w:t xml:space="preserve">discapacidad que surgen de la revisión del Comité contra la </w:t>
      </w:r>
      <w:r>
        <w:rPr>
          <w:spacing w:val="-5"/>
        </w:rPr>
        <w:t xml:space="preserve">Tortura </w:t>
      </w:r>
      <w:r>
        <w:t>de 2014 de los cuartos y quintos informes periódicos combinados de</w:t>
      </w:r>
      <w:r>
        <w:rPr>
          <w:spacing w:val="-17"/>
        </w:rPr>
        <w:t xml:space="preserve"> </w:t>
      </w:r>
      <w:r>
        <w:t>Australia.</w:t>
      </w:r>
    </w:p>
    <w:p w:rsidR="007A0A6C" w:rsidRDefault="007A0A6C">
      <w:pPr>
        <w:spacing w:line="244" w:lineRule="auto"/>
        <w:sectPr w:rsidR="007A0A6C">
          <w:pgSz w:w="11910" w:h="16840"/>
          <w:pgMar w:top="700" w:right="440" w:bottom="540" w:left="380" w:header="0" w:footer="343" w:gutter="0"/>
          <w:cols w:space="720"/>
        </w:sectPr>
      </w:pPr>
    </w:p>
    <w:p w:rsidR="007A0A6C" w:rsidRDefault="004638C1">
      <w:pPr>
        <w:pStyle w:val="BodyText"/>
        <w:ind w:left="340"/>
        <w:rPr>
          <w:sz w:val="20"/>
        </w:rPr>
      </w:pPr>
      <w:r>
        <w:rPr>
          <w:sz w:val="20"/>
        </w:rPr>
      </w:r>
      <w:r>
        <w:rPr>
          <w:sz w:val="20"/>
        </w:rPr>
        <w:pict>
          <v:shape id="_x0000_s1032" type="#_x0000_t202" alt="" style="width:523.3pt;height:59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b31d30" stroked="f">
            <v:textbox inset="0,0,0,0">
              <w:txbxContent>
                <w:p w:rsidR="007A0A6C" w:rsidRDefault="00660E26">
                  <w:pPr>
                    <w:spacing w:line="244" w:lineRule="auto"/>
                    <w:ind w:left="60" w:right="213"/>
                    <w:rPr>
                      <w:rFonts w:ascii="Raleway-SemiBold" w:hAnsi="Raleway-SemiBold"/>
                      <w:b/>
                      <w:sz w:val="48"/>
                    </w:rPr>
                  </w:pPr>
                  <w:bookmarkStart w:id="57" w:name="Protección_contra_la_explotación,_la_vio"/>
                  <w:bookmarkStart w:id="58" w:name="_bookmark17"/>
                  <w:bookmarkEnd w:id="57"/>
                  <w:bookmarkEnd w:id="58"/>
                  <w:r>
                    <w:rPr>
                      <w:rFonts w:ascii="Raleway-SemiBold" w:hAnsi="Raleway-SemiBold"/>
                      <w:b/>
                      <w:color w:val="FFFFFF"/>
                      <w:sz w:val="48"/>
                    </w:rPr>
                    <w:t>Protección contra la explotación, la violencia y el abuso (artículo 16)</w:t>
                  </w:r>
                </w:p>
              </w:txbxContent>
            </v:textbox>
            <w10:anchorlock/>
          </v:shape>
        </w:pict>
      </w:r>
    </w:p>
    <w:p w:rsidR="007A0A6C" w:rsidRDefault="00660E26">
      <w:pPr>
        <w:tabs>
          <w:tab w:val="left" w:pos="1059"/>
        </w:tabs>
        <w:spacing w:before="123" w:line="247" w:lineRule="auto"/>
        <w:ind w:left="1060" w:right="346" w:hanging="720"/>
      </w:pPr>
      <w:r>
        <w:t>19(a)</w:t>
      </w:r>
      <w:r>
        <w:tab/>
        <w:t xml:space="preserve">En abril de 2019 se anunció la </w:t>
      </w:r>
      <w:r>
        <w:rPr>
          <w:i/>
        </w:rPr>
        <w:t>Comisión Real respecto de la Violencia, Abuso, Explotación y Descuido de Personas con Discapacidad.</w:t>
      </w:r>
      <w:r>
        <w:rPr>
          <w:position w:val="7"/>
          <w:sz w:val="13"/>
        </w:rPr>
        <w:t xml:space="preserve">144 </w:t>
      </w:r>
      <w:r>
        <w:t>Las personas con discapacidad agradecen la inclusión en los Términos de Referencia de todas las formas de violencia y abuso contra las</w:t>
      </w:r>
      <w:r>
        <w:rPr>
          <w:spacing w:val="-30"/>
        </w:rPr>
        <w:t xml:space="preserve"> </w:t>
      </w:r>
      <w:r>
        <w:t>personas</w:t>
      </w:r>
    </w:p>
    <w:p w:rsidR="007A0A6C" w:rsidRDefault="00660E26">
      <w:pPr>
        <w:pStyle w:val="BodyText"/>
        <w:spacing w:line="247" w:lineRule="auto"/>
        <w:ind w:right="759"/>
      </w:pPr>
      <w:r>
        <w:t>con discapacidad, en todos los entornos. Sin embargo, las personas con discapacidad están preocupadas porque algunos comisionados nombrados han tenido puestos sénior dentro de los</w:t>
      </w:r>
      <w:r>
        <w:rPr>
          <w:spacing w:val="-5"/>
        </w:rPr>
        <w:t xml:space="preserve"> </w:t>
      </w:r>
      <w:r>
        <w:t>sistemas</w:t>
      </w:r>
      <w:r>
        <w:rPr>
          <w:spacing w:val="-4"/>
        </w:rPr>
        <w:t xml:space="preserve"> </w:t>
      </w:r>
      <w:r>
        <w:t>que</w:t>
      </w:r>
      <w:r>
        <w:rPr>
          <w:spacing w:val="-5"/>
        </w:rPr>
        <w:t xml:space="preserve"> </w:t>
      </w:r>
      <w:r>
        <w:t>serán</w:t>
      </w:r>
      <w:r>
        <w:rPr>
          <w:spacing w:val="-4"/>
        </w:rPr>
        <w:t xml:space="preserve"> </w:t>
      </w:r>
      <w:r>
        <w:t>investigados,</w:t>
      </w:r>
      <w:r>
        <w:rPr>
          <w:spacing w:val="-5"/>
        </w:rPr>
        <w:t xml:space="preserve"> </w:t>
      </w:r>
      <w:r>
        <w:t>hecho</w:t>
      </w:r>
      <w:r>
        <w:rPr>
          <w:spacing w:val="-5"/>
        </w:rPr>
        <w:t xml:space="preserve"> </w:t>
      </w:r>
      <w:r>
        <w:t>que</w:t>
      </w:r>
      <w:r>
        <w:rPr>
          <w:spacing w:val="-4"/>
        </w:rPr>
        <w:t xml:space="preserve"> </w:t>
      </w:r>
      <w:r>
        <w:t>derivará</w:t>
      </w:r>
      <w:r>
        <w:rPr>
          <w:spacing w:val="-5"/>
        </w:rPr>
        <w:t xml:space="preserve"> </w:t>
      </w:r>
      <w:r>
        <w:t>en</w:t>
      </w:r>
      <w:r>
        <w:rPr>
          <w:spacing w:val="-5"/>
        </w:rPr>
        <w:t xml:space="preserve"> </w:t>
      </w:r>
      <w:r>
        <w:t>conflictos</w:t>
      </w:r>
      <w:r>
        <w:rPr>
          <w:spacing w:val="-4"/>
        </w:rPr>
        <w:t xml:space="preserve"> </w:t>
      </w:r>
      <w:r>
        <w:t>de</w:t>
      </w:r>
      <w:r>
        <w:rPr>
          <w:spacing w:val="-5"/>
        </w:rPr>
        <w:t xml:space="preserve"> </w:t>
      </w:r>
      <w:r>
        <w:t>interés</w:t>
      </w:r>
      <w:r>
        <w:rPr>
          <w:spacing w:val="-5"/>
        </w:rPr>
        <w:t xml:space="preserve"> </w:t>
      </w:r>
      <w:r>
        <w:t>inmanejables.</w:t>
      </w:r>
    </w:p>
    <w:p w:rsidR="007A0A6C" w:rsidRDefault="00660E26">
      <w:pPr>
        <w:pStyle w:val="BodyText"/>
        <w:spacing w:line="247" w:lineRule="auto"/>
        <w:rPr>
          <w:sz w:val="13"/>
        </w:rPr>
      </w:pPr>
      <w:r>
        <w:t>También hay un descontento en cuanto al hecho de que los Términos de Referencia no incluyen el establecimiento de un programa de reparación.</w:t>
      </w:r>
      <w:r>
        <w:rPr>
          <w:position w:val="7"/>
          <w:sz w:val="13"/>
        </w:rPr>
        <w:t>145</w:t>
      </w:r>
    </w:p>
    <w:p w:rsidR="007A0A6C" w:rsidRDefault="00660E26">
      <w:pPr>
        <w:pStyle w:val="BodyText"/>
        <w:spacing w:before="95" w:line="247" w:lineRule="auto"/>
        <w:ind w:right="483"/>
        <w:rPr>
          <w:sz w:val="13"/>
        </w:rPr>
      </w:pPr>
      <w:r>
        <w:t>No hay un mecanismo nacional que registre la incidencia, la frecuencia, el grado, la naturaleza, las causas y el impacto de la violencia, el abuso, la explotación y el descuido de las personas con discapacidad.</w:t>
      </w:r>
      <w:r>
        <w:rPr>
          <w:position w:val="7"/>
          <w:sz w:val="13"/>
        </w:rPr>
        <w:t xml:space="preserve">146 </w:t>
      </w:r>
      <w:r>
        <w:t>Tampoco hay un proceso nacional para informar acerca de los datos disponibles de las experiencias de las personas con discapacidad, para comprender los temas de calidad de datos o para detectar y completar la falta de datos.</w:t>
      </w:r>
      <w:r>
        <w:rPr>
          <w:position w:val="7"/>
          <w:sz w:val="13"/>
        </w:rPr>
        <w:t>147</w:t>
      </w:r>
    </w:p>
    <w:p w:rsidR="007A0A6C" w:rsidRDefault="00660E26">
      <w:pPr>
        <w:pStyle w:val="BodyText"/>
        <w:spacing w:before="137" w:line="247" w:lineRule="auto"/>
        <w:ind w:right="597"/>
        <w:rPr>
          <w:sz w:val="13"/>
        </w:rPr>
      </w:pPr>
      <w:r>
        <w:t>Más de un tercio de las personas con discapacidad informan que sufren violencia o abuso, y casi un 50 % de las personas con discapacidad manifiestan sentirse inseguras en el lugar donde viven.</w:t>
      </w:r>
      <w:r>
        <w:rPr>
          <w:position w:val="7"/>
          <w:sz w:val="13"/>
        </w:rPr>
        <w:t>148</w:t>
      </w:r>
    </w:p>
    <w:p w:rsidR="007A0A6C" w:rsidRDefault="00660E26">
      <w:pPr>
        <w:pStyle w:val="BodyText"/>
        <w:tabs>
          <w:tab w:val="left" w:pos="1059"/>
        </w:tabs>
        <w:spacing w:before="139" w:line="247" w:lineRule="auto"/>
        <w:ind w:right="328" w:hanging="720"/>
      </w:pPr>
      <w:r>
        <w:t>19(b)</w:t>
      </w:r>
      <w:r>
        <w:tab/>
        <w:t>No hay mecanismos accesibles, de supervisión, de quejas y de reparación a nivel nacional para las personas con discapacidad que sufren violencia, abuso, explotación y</w:t>
      </w:r>
      <w:r>
        <w:rPr>
          <w:spacing w:val="-15"/>
        </w:rPr>
        <w:t xml:space="preserve"> </w:t>
      </w:r>
      <w:r>
        <w:t>descuido.</w:t>
      </w:r>
    </w:p>
    <w:p w:rsidR="007A0A6C" w:rsidRDefault="00660E26">
      <w:pPr>
        <w:pStyle w:val="BodyText"/>
        <w:spacing w:before="99" w:line="247" w:lineRule="auto"/>
        <w:ind w:right="312"/>
        <w:rPr>
          <w:sz w:val="13"/>
        </w:rPr>
      </w:pPr>
      <w:r>
        <w:t xml:space="preserve">La </w:t>
      </w:r>
      <w:r>
        <w:rPr>
          <w:i/>
        </w:rPr>
        <w:t>Comisión de Salvaguarda y Calidad del NDIS</w:t>
      </w:r>
      <w:r>
        <w:rPr>
          <w:position w:val="7"/>
          <w:sz w:val="13"/>
        </w:rPr>
        <w:t xml:space="preserve">149 </w:t>
      </w:r>
      <w:r>
        <w:t>fue establecida en julio de 2018, pero solo tiene autoridad para supervisar las salvaguardas para los participantes del NDIS, que equivalen a menos del 10 % de la población de Australia de personas con discapacidad. Para febrero de 2019, la Comisión había recibido denuncias sobre 1459 incidentes declarados,</w:t>
      </w:r>
      <w:r>
        <w:rPr>
          <w:position w:val="7"/>
          <w:sz w:val="13"/>
        </w:rPr>
        <w:t xml:space="preserve">150 </w:t>
      </w:r>
      <w:r>
        <w:t>18 prestadores estuvieron bajo investigación y sujetos a medidas de cumplimiento y la Comisión había tramitado más de 600 quejas.</w:t>
      </w:r>
      <w:r>
        <w:rPr>
          <w:position w:val="7"/>
          <w:sz w:val="13"/>
        </w:rPr>
        <w:t>151</w:t>
      </w:r>
    </w:p>
    <w:p w:rsidR="007A0A6C" w:rsidRDefault="00660E26">
      <w:pPr>
        <w:pStyle w:val="BodyText"/>
        <w:tabs>
          <w:tab w:val="left" w:pos="1059"/>
        </w:tabs>
        <w:spacing w:before="136" w:line="247" w:lineRule="auto"/>
        <w:ind w:right="285" w:hanging="720"/>
      </w:pPr>
      <w:r>
        <w:t>19(c)</w:t>
      </w:r>
      <w:r>
        <w:tab/>
        <w:t>Los servicios de asesoramiento terapéutico especializados en situaciones traumáticas financiados por el Gobierno de Australia solo brindan asesoramiento telefónico, que es inaccesible para un porcentaje</w:t>
      </w:r>
      <w:r>
        <w:rPr>
          <w:spacing w:val="-5"/>
        </w:rPr>
        <w:t xml:space="preserve"> </w:t>
      </w:r>
      <w:r>
        <w:t>importante</w:t>
      </w:r>
      <w:r>
        <w:rPr>
          <w:spacing w:val="-6"/>
        </w:rPr>
        <w:t xml:space="preserve"> </w:t>
      </w:r>
      <w:r>
        <w:t>de</w:t>
      </w:r>
      <w:r>
        <w:rPr>
          <w:spacing w:val="-6"/>
        </w:rPr>
        <w:t xml:space="preserve"> </w:t>
      </w:r>
      <w:r>
        <w:t>personas</w:t>
      </w:r>
      <w:r>
        <w:rPr>
          <w:spacing w:val="-6"/>
        </w:rPr>
        <w:t xml:space="preserve"> </w:t>
      </w:r>
      <w:r>
        <w:t>con</w:t>
      </w:r>
      <w:r>
        <w:rPr>
          <w:spacing w:val="-5"/>
        </w:rPr>
        <w:t xml:space="preserve"> </w:t>
      </w:r>
      <w:r>
        <w:t>discapacidad,</w:t>
      </w:r>
      <w:r>
        <w:rPr>
          <w:spacing w:val="-5"/>
        </w:rPr>
        <w:t xml:space="preserve"> </w:t>
      </w:r>
      <w:r>
        <w:t>incluso</w:t>
      </w:r>
      <w:r>
        <w:rPr>
          <w:spacing w:val="-6"/>
        </w:rPr>
        <w:t xml:space="preserve"> </w:t>
      </w:r>
      <w:r>
        <w:t>para</w:t>
      </w:r>
      <w:r>
        <w:rPr>
          <w:spacing w:val="-6"/>
        </w:rPr>
        <w:t xml:space="preserve"> </w:t>
      </w:r>
      <w:r>
        <w:t>aquellos</w:t>
      </w:r>
      <w:r>
        <w:rPr>
          <w:spacing w:val="-4"/>
        </w:rPr>
        <w:t xml:space="preserve"> </w:t>
      </w:r>
      <w:r>
        <w:t>expuestos</w:t>
      </w:r>
      <w:r>
        <w:rPr>
          <w:spacing w:val="-6"/>
        </w:rPr>
        <w:t xml:space="preserve"> </w:t>
      </w:r>
      <w:r>
        <w:t>a</w:t>
      </w:r>
      <w:r>
        <w:rPr>
          <w:spacing w:val="-6"/>
        </w:rPr>
        <w:t xml:space="preserve"> </w:t>
      </w:r>
      <w:r>
        <w:t>la</w:t>
      </w:r>
      <w:r>
        <w:rPr>
          <w:spacing w:val="-6"/>
        </w:rPr>
        <w:t xml:space="preserve"> </w:t>
      </w:r>
      <w:r>
        <w:t>violencia o al abuso en entornos</w:t>
      </w:r>
      <w:r>
        <w:rPr>
          <w:spacing w:val="-7"/>
        </w:rPr>
        <w:t xml:space="preserve"> </w:t>
      </w:r>
      <w:r>
        <w:t>institucionales.</w:t>
      </w:r>
    </w:p>
    <w:p w:rsidR="007A0A6C" w:rsidRDefault="00660E26">
      <w:pPr>
        <w:pStyle w:val="Heading2"/>
        <w:tabs>
          <w:tab w:val="left" w:pos="10805"/>
        </w:tabs>
        <w:spacing w:before="167"/>
      </w:pPr>
      <w:r>
        <w:rPr>
          <w:color w:val="FFFFFF"/>
          <w:spacing w:val="-37"/>
          <w:shd w:val="clear" w:color="auto" w:fill="4C418E"/>
        </w:rPr>
        <w:t xml:space="preserve"> </w:t>
      </w:r>
      <w:r>
        <w:rPr>
          <w:color w:val="FFFFFF"/>
          <w:shd w:val="clear" w:color="auto" w:fill="4C418E"/>
        </w:rPr>
        <w:t>Recomendaciones</w:t>
      </w:r>
      <w:r>
        <w:rPr>
          <w:color w:val="FFFFFF"/>
          <w:shd w:val="clear" w:color="auto" w:fill="4C418E"/>
        </w:rPr>
        <w:tab/>
      </w:r>
    </w:p>
    <w:p w:rsidR="007A0A6C" w:rsidRDefault="00660E26">
      <w:pPr>
        <w:pStyle w:val="BodyText"/>
        <w:spacing w:before="179"/>
        <w:ind w:left="340"/>
      </w:pPr>
      <w:r>
        <w:t>Que Australia:</w:t>
      </w:r>
    </w:p>
    <w:p w:rsidR="007A0A6C" w:rsidRDefault="00660E26">
      <w:pPr>
        <w:pStyle w:val="ListParagraph"/>
        <w:numPr>
          <w:ilvl w:val="1"/>
          <w:numId w:val="11"/>
        </w:numPr>
        <w:tabs>
          <w:tab w:val="left" w:pos="1085"/>
        </w:tabs>
        <w:spacing w:before="88" w:line="244" w:lineRule="auto"/>
        <w:ind w:right="656" w:hanging="180"/>
        <w:rPr>
          <w:i/>
        </w:rPr>
      </w:pPr>
      <w:r>
        <w:t xml:space="preserve">En consonancia con los ‘Principios y Directrices Básicos sobre el Derecho de las Víctimas de Violaciones Manifiestas a las Normas Internacionales de Derechos Humanos y de Violaciones Graves al Derecho Internacional Humanitario a Interponer Recursos y Obtener Reparaciones’ [A/RES/60/147] garantice la implementación de un programa de reparación en la </w:t>
      </w:r>
      <w:r>
        <w:rPr>
          <w:i/>
        </w:rPr>
        <w:t>Comisión Real respecto de la Violencia, Abuso, Explotación y Descuido de las Personas con</w:t>
      </w:r>
      <w:r>
        <w:rPr>
          <w:i/>
          <w:spacing w:val="-38"/>
        </w:rPr>
        <w:t xml:space="preserve"> </w:t>
      </w:r>
      <w:r>
        <w:rPr>
          <w:i/>
        </w:rPr>
        <w:t>Discapacidad.</w:t>
      </w:r>
    </w:p>
    <w:p w:rsidR="007A0A6C" w:rsidRDefault="00660E26">
      <w:pPr>
        <w:pStyle w:val="ListParagraph"/>
        <w:numPr>
          <w:ilvl w:val="1"/>
          <w:numId w:val="11"/>
        </w:numPr>
        <w:tabs>
          <w:tab w:val="left" w:pos="1085"/>
        </w:tabs>
        <w:spacing w:before="127" w:line="242" w:lineRule="auto"/>
        <w:ind w:right="562" w:hanging="180"/>
      </w:pPr>
      <w:r>
        <w:t>Revise los conflictos de interés de los comisionados nombrados en la Comisión Real y expulse a aquellos comisionados que han trabajado en sistemas de servicios que serán</w:t>
      </w:r>
      <w:r>
        <w:rPr>
          <w:spacing w:val="-21"/>
        </w:rPr>
        <w:t xml:space="preserve"> </w:t>
      </w:r>
      <w:r>
        <w:t>investigados.</w:t>
      </w:r>
    </w:p>
    <w:p w:rsidR="007A0A6C" w:rsidRDefault="00660E26">
      <w:pPr>
        <w:pStyle w:val="ListParagraph"/>
        <w:numPr>
          <w:ilvl w:val="1"/>
          <w:numId w:val="11"/>
        </w:numPr>
        <w:tabs>
          <w:tab w:val="left" w:pos="1085"/>
        </w:tabs>
        <w:spacing w:before="126" w:line="244" w:lineRule="auto"/>
        <w:ind w:right="462" w:hanging="180"/>
      </w:pPr>
      <w:r>
        <w:t>Establezca un mecanismo accesible, de supervisión, de quejas y de reparación a nivel nacional para las personas con discapacidad que sufren violencia, abuso, explotación y descuido, en todos los</w:t>
      </w:r>
      <w:r>
        <w:rPr>
          <w:spacing w:val="-2"/>
        </w:rPr>
        <w:t xml:space="preserve"> </w:t>
      </w:r>
      <w:r>
        <w:t>entornos.</w:t>
      </w:r>
    </w:p>
    <w:p w:rsidR="007A0A6C" w:rsidRDefault="007A0A6C">
      <w:pPr>
        <w:spacing w:line="244" w:lineRule="auto"/>
        <w:sectPr w:rsidR="007A0A6C">
          <w:pgSz w:w="11910" w:h="16840"/>
          <w:pgMar w:top="700" w:right="440" w:bottom="540" w:left="380" w:header="0" w:footer="343" w:gutter="0"/>
          <w:cols w:space="720"/>
        </w:sectPr>
      </w:pPr>
    </w:p>
    <w:p w:rsidR="007A0A6C" w:rsidRDefault="00660E26">
      <w:pPr>
        <w:pStyle w:val="Heading1"/>
        <w:tabs>
          <w:tab w:val="left" w:pos="10805"/>
        </w:tabs>
        <w:spacing w:before="84"/>
      </w:pPr>
      <w:bookmarkStart w:id="59" w:name="Integridad_de_las_personas_(artículo_17)"/>
      <w:bookmarkStart w:id="60" w:name="_bookmark18"/>
      <w:bookmarkEnd w:id="59"/>
      <w:bookmarkEnd w:id="60"/>
      <w:r>
        <w:rPr>
          <w:color w:val="FFFFFF"/>
          <w:spacing w:val="-59"/>
          <w:shd w:val="clear" w:color="auto" w:fill="B31D30"/>
        </w:rPr>
        <w:lastRenderedPageBreak/>
        <w:t xml:space="preserve"> </w:t>
      </w:r>
      <w:bookmarkStart w:id="61" w:name="_Toc15026991"/>
      <w:bookmarkStart w:id="62" w:name="_Toc15027131"/>
      <w:r>
        <w:rPr>
          <w:color w:val="FFFFFF"/>
          <w:shd w:val="clear" w:color="auto" w:fill="B31D30"/>
        </w:rPr>
        <w:t>Integridad de las personas (artículo</w:t>
      </w:r>
      <w:r>
        <w:rPr>
          <w:color w:val="FFFFFF"/>
          <w:spacing w:val="-10"/>
          <w:shd w:val="clear" w:color="auto" w:fill="B31D30"/>
        </w:rPr>
        <w:t xml:space="preserve"> </w:t>
      </w:r>
      <w:r>
        <w:rPr>
          <w:color w:val="FFFFFF"/>
          <w:spacing w:val="-3"/>
          <w:shd w:val="clear" w:color="auto" w:fill="B31D30"/>
        </w:rPr>
        <w:t>17)</w:t>
      </w:r>
      <w:bookmarkEnd w:id="61"/>
      <w:bookmarkEnd w:id="62"/>
      <w:r>
        <w:rPr>
          <w:color w:val="FFFFFF"/>
          <w:spacing w:val="-3"/>
          <w:shd w:val="clear" w:color="auto" w:fill="B31D30"/>
        </w:rPr>
        <w:tab/>
      </w:r>
    </w:p>
    <w:p w:rsidR="007A0A6C" w:rsidRDefault="00660E26">
      <w:pPr>
        <w:pStyle w:val="BodyText"/>
        <w:tabs>
          <w:tab w:val="left" w:pos="1059"/>
        </w:tabs>
        <w:spacing w:before="182" w:line="247" w:lineRule="auto"/>
        <w:ind w:right="659" w:hanging="720"/>
      </w:pPr>
      <w:r>
        <w:t>20(a)</w:t>
      </w:r>
      <w:r>
        <w:tab/>
        <w:t>La esterilización forzosa de las personas con discapacidad, específicamente de mujeres y niñas con discapacidad, es una práctica constante que sigue siendo legal y que está sancionada por los Gobiernos de Australia.</w:t>
      </w:r>
      <w:r>
        <w:rPr>
          <w:position w:val="7"/>
          <w:sz w:val="13"/>
        </w:rPr>
        <w:t xml:space="preserve">152 </w:t>
      </w:r>
      <w:r>
        <w:t>Desde 2005, los organismos del tratado de las Naciones Unidas, el Consejo de Derechos Humanos, los procedimientos especiales de las Naciones Unidas y los organismos médicos internacionales han recomendado que Australia promulgue una legislación nacional que prohíba la esterilización forzosa.</w:t>
      </w:r>
      <w:r>
        <w:rPr>
          <w:position w:val="7"/>
          <w:sz w:val="13"/>
        </w:rPr>
        <w:t xml:space="preserve">153 </w:t>
      </w:r>
      <w:r>
        <w:t>Los organismos que supervisan el tratado han expresado su preocupación sobre el hecho de que el Gobierno de Australia sigue considerando la esterilización forzosa de las mujeres y niñas con discapacidad como un asunto que debe ser regulado</w:t>
      </w:r>
      <w:r>
        <w:rPr>
          <w:spacing w:val="-5"/>
        </w:rPr>
        <w:t xml:space="preserve"> </w:t>
      </w:r>
      <w:r>
        <w:t>por</w:t>
      </w:r>
      <w:r>
        <w:rPr>
          <w:spacing w:val="-5"/>
        </w:rPr>
        <w:t xml:space="preserve"> </w:t>
      </w:r>
      <w:r>
        <w:t>los</w:t>
      </w:r>
      <w:r>
        <w:rPr>
          <w:spacing w:val="-6"/>
        </w:rPr>
        <w:t xml:space="preserve"> </w:t>
      </w:r>
      <w:r>
        <w:t>gobiernos</w:t>
      </w:r>
      <w:r>
        <w:rPr>
          <w:spacing w:val="-5"/>
        </w:rPr>
        <w:t xml:space="preserve"> </w:t>
      </w:r>
      <w:r>
        <w:t>estaduales.</w:t>
      </w:r>
      <w:r>
        <w:rPr>
          <w:spacing w:val="-6"/>
        </w:rPr>
        <w:t xml:space="preserve"> </w:t>
      </w:r>
      <w:r>
        <w:t>Han</w:t>
      </w:r>
      <w:r>
        <w:rPr>
          <w:spacing w:val="-5"/>
        </w:rPr>
        <w:t xml:space="preserve"> </w:t>
      </w:r>
      <w:r>
        <w:t>aclarado</w:t>
      </w:r>
      <w:r>
        <w:rPr>
          <w:spacing w:val="-5"/>
        </w:rPr>
        <w:t xml:space="preserve"> </w:t>
      </w:r>
      <w:r>
        <w:t>que</w:t>
      </w:r>
      <w:r>
        <w:rPr>
          <w:spacing w:val="-6"/>
        </w:rPr>
        <w:t xml:space="preserve"> </w:t>
      </w:r>
      <w:r>
        <w:t>el</w:t>
      </w:r>
      <w:r>
        <w:rPr>
          <w:spacing w:val="-5"/>
        </w:rPr>
        <w:t xml:space="preserve"> </w:t>
      </w:r>
      <w:r>
        <w:t>poder</w:t>
      </w:r>
      <w:r>
        <w:rPr>
          <w:spacing w:val="-6"/>
        </w:rPr>
        <w:t xml:space="preserve"> </w:t>
      </w:r>
      <w:r>
        <w:t>del</w:t>
      </w:r>
      <w:r>
        <w:rPr>
          <w:spacing w:val="-5"/>
        </w:rPr>
        <w:t xml:space="preserve"> </w:t>
      </w:r>
      <w:r>
        <w:t>gobierno</w:t>
      </w:r>
      <w:r>
        <w:rPr>
          <w:spacing w:val="-5"/>
        </w:rPr>
        <w:t xml:space="preserve"> </w:t>
      </w:r>
      <w:r>
        <w:t>descentralizado</w:t>
      </w:r>
    </w:p>
    <w:p w:rsidR="007A0A6C" w:rsidRDefault="00660E26">
      <w:pPr>
        <w:pStyle w:val="BodyText"/>
        <w:spacing w:line="247" w:lineRule="auto"/>
        <w:ind w:right="262"/>
        <w:rPr>
          <w:sz w:val="13"/>
        </w:rPr>
      </w:pPr>
      <w:r>
        <w:t>mediante la delegación o el traspaso no niega la obligación de una parte estadual de promulgar una legislación nacional que sea aplicable en toda su jurisdicción.</w:t>
      </w:r>
      <w:r>
        <w:rPr>
          <w:position w:val="7"/>
          <w:sz w:val="13"/>
        </w:rPr>
        <w:t>154</w:t>
      </w:r>
    </w:p>
    <w:p w:rsidR="007A0A6C" w:rsidRDefault="00660E26">
      <w:pPr>
        <w:pStyle w:val="BodyText"/>
        <w:spacing w:before="94" w:line="247" w:lineRule="auto"/>
        <w:ind w:right="560"/>
      </w:pPr>
      <w:r>
        <w:t>La respuesta de Australia</w:t>
      </w:r>
      <w:r>
        <w:rPr>
          <w:position w:val="7"/>
          <w:sz w:val="13"/>
        </w:rPr>
        <w:t xml:space="preserve">155 </w:t>
      </w:r>
      <w:r>
        <w:t>a estas recomendaciones mantiene el foco en la reglamentación y en las directrices no vinculantes más que en la prohibición.</w:t>
      </w:r>
      <w:r>
        <w:rPr>
          <w:position w:val="7"/>
          <w:sz w:val="13"/>
        </w:rPr>
        <w:t xml:space="preserve">156 </w:t>
      </w:r>
      <w:r>
        <w:t>La Declaración Interpretativa del artículo</w:t>
      </w:r>
      <w:r>
        <w:rPr>
          <w:spacing w:val="-4"/>
        </w:rPr>
        <w:t xml:space="preserve"> </w:t>
      </w:r>
      <w:r>
        <w:t>12</w:t>
      </w:r>
      <w:r>
        <w:rPr>
          <w:spacing w:val="-3"/>
        </w:rPr>
        <w:t xml:space="preserve"> </w:t>
      </w:r>
      <w:r>
        <w:t>de</w:t>
      </w:r>
      <w:r>
        <w:rPr>
          <w:spacing w:val="-4"/>
        </w:rPr>
        <w:t xml:space="preserve"> </w:t>
      </w:r>
      <w:r>
        <w:t>la</w:t>
      </w:r>
      <w:r>
        <w:rPr>
          <w:spacing w:val="-3"/>
        </w:rPr>
        <w:t xml:space="preserve"> </w:t>
      </w:r>
      <w:r>
        <w:t>CRPD</w:t>
      </w:r>
      <w:r>
        <w:rPr>
          <w:spacing w:val="-4"/>
        </w:rPr>
        <w:t xml:space="preserve"> </w:t>
      </w:r>
      <w:r>
        <w:t>indica</w:t>
      </w:r>
      <w:r>
        <w:rPr>
          <w:spacing w:val="-3"/>
        </w:rPr>
        <w:t xml:space="preserve"> </w:t>
      </w:r>
      <w:r>
        <w:t>que</w:t>
      </w:r>
      <w:r>
        <w:rPr>
          <w:spacing w:val="-4"/>
        </w:rPr>
        <w:t xml:space="preserve"> </w:t>
      </w:r>
      <w:r>
        <w:t>es</w:t>
      </w:r>
      <w:r>
        <w:rPr>
          <w:spacing w:val="-3"/>
        </w:rPr>
        <w:t xml:space="preserve"> </w:t>
      </w:r>
      <w:r>
        <w:t>legal</w:t>
      </w:r>
      <w:r>
        <w:rPr>
          <w:spacing w:val="-1"/>
        </w:rPr>
        <w:t xml:space="preserve"> </w:t>
      </w:r>
      <w:r>
        <w:t>esterilizar</w:t>
      </w:r>
      <w:r>
        <w:rPr>
          <w:spacing w:val="-4"/>
        </w:rPr>
        <w:t xml:space="preserve"> </w:t>
      </w:r>
      <w:r>
        <w:t>de</w:t>
      </w:r>
      <w:r>
        <w:rPr>
          <w:spacing w:val="-3"/>
        </w:rPr>
        <w:t xml:space="preserve"> </w:t>
      </w:r>
      <w:r>
        <w:t>manera</w:t>
      </w:r>
      <w:r>
        <w:rPr>
          <w:spacing w:val="-3"/>
        </w:rPr>
        <w:t xml:space="preserve"> </w:t>
      </w:r>
      <w:r>
        <w:t>forzosa</w:t>
      </w:r>
      <w:r>
        <w:rPr>
          <w:spacing w:val="-2"/>
        </w:rPr>
        <w:t xml:space="preserve"> </w:t>
      </w:r>
      <w:r>
        <w:t>a</w:t>
      </w:r>
      <w:r>
        <w:rPr>
          <w:spacing w:val="-4"/>
        </w:rPr>
        <w:t xml:space="preserve"> </w:t>
      </w:r>
      <w:r>
        <w:t>los</w:t>
      </w:r>
      <w:r>
        <w:rPr>
          <w:spacing w:val="-3"/>
        </w:rPr>
        <w:t xml:space="preserve"> </w:t>
      </w:r>
      <w:r>
        <w:t>niños</w:t>
      </w:r>
      <w:r>
        <w:rPr>
          <w:spacing w:val="-4"/>
        </w:rPr>
        <w:t xml:space="preserve"> </w:t>
      </w:r>
      <w:r>
        <w:t>y</w:t>
      </w:r>
      <w:r>
        <w:rPr>
          <w:spacing w:val="-2"/>
        </w:rPr>
        <w:t xml:space="preserve"> </w:t>
      </w:r>
      <w:r>
        <w:t>adultos</w:t>
      </w:r>
      <w:r>
        <w:rPr>
          <w:spacing w:val="-4"/>
        </w:rPr>
        <w:t xml:space="preserve"> </w:t>
      </w:r>
      <w:r>
        <w:t>con</w:t>
      </w:r>
    </w:p>
    <w:p w:rsidR="007A0A6C" w:rsidRDefault="00660E26">
      <w:pPr>
        <w:pStyle w:val="BodyText"/>
        <w:spacing w:line="247" w:lineRule="auto"/>
        <w:ind w:right="247"/>
      </w:pPr>
      <w:r>
        <w:t>discapacidad, siempre que ellos ‘carezcan de capacidad’ y que el procedimiento sea realizado para su ‘mejor interés’.</w:t>
      </w:r>
    </w:p>
    <w:p w:rsidR="007A0A6C" w:rsidRDefault="00660E26">
      <w:pPr>
        <w:pStyle w:val="BodyText"/>
        <w:spacing w:before="137" w:line="247" w:lineRule="auto"/>
        <w:ind w:right="404"/>
        <w:rPr>
          <w:sz w:val="13"/>
        </w:rPr>
      </w:pPr>
      <w:r>
        <w:t>La anticoncepción forzosa</w:t>
      </w:r>
      <w:r>
        <w:rPr>
          <w:position w:val="7"/>
          <w:sz w:val="13"/>
        </w:rPr>
        <w:t xml:space="preserve">157 </w:t>
      </w:r>
      <w:r>
        <w:t>de mujeres con discapacidad, a través del uso de drogas supresoras de la menstruación es una práctica actualmente generalizada en Australia y rara vez, si es que ocurre, está sujeta a la supervisión o revisión independiente.</w:t>
      </w:r>
      <w:r>
        <w:rPr>
          <w:position w:val="7"/>
          <w:sz w:val="13"/>
        </w:rPr>
        <w:t>158</w:t>
      </w:r>
    </w:p>
    <w:p w:rsidR="007A0A6C" w:rsidRDefault="00660E26">
      <w:pPr>
        <w:pStyle w:val="BodyText"/>
        <w:spacing w:before="138" w:line="247" w:lineRule="auto"/>
        <w:ind w:right="544"/>
      </w:pPr>
      <w:r>
        <w:t>El tratamiento antiandrogénico forzoso para controlar el deseo sexual y el funcionamiento [hormonal] de hombres y niños con discapacidad no está regulado y es una práctica común en la profesión médica.</w:t>
      </w:r>
    </w:p>
    <w:p w:rsidR="007A0A6C" w:rsidRDefault="00660E26">
      <w:pPr>
        <w:pStyle w:val="BodyText"/>
        <w:tabs>
          <w:tab w:val="left" w:pos="1059"/>
        </w:tabs>
        <w:spacing w:before="138" w:line="247" w:lineRule="auto"/>
        <w:ind w:right="300" w:hanging="720"/>
        <w:rPr>
          <w:sz w:val="13"/>
        </w:rPr>
      </w:pPr>
      <w:r>
        <w:t>20(b)</w:t>
      </w:r>
      <w:r>
        <w:tab/>
        <w:t xml:space="preserve">Se llevan a cabo cirugías y otras intervenciones médicas en bebés y niños con variaciones intersexuales sin su consentimiento informado o prueba de la necesidad. Estos procedimientos invasivos </w:t>
      </w:r>
      <w:r>
        <w:rPr>
          <w:spacing w:val="-9"/>
        </w:rPr>
        <w:t xml:space="preserve">y, </w:t>
      </w:r>
      <w:r>
        <w:t>a menudo, irreversibles</w:t>
      </w:r>
      <w:r>
        <w:rPr>
          <w:position w:val="7"/>
          <w:sz w:val="13"/>
        </w:rPr>
        <w:t xml:space="preserve">159 </w:t>
      </w:r>
      <w:r>
        <w:t>se denominan en el Comentario General 3 “como tratamiento o castigo cruel, inhumano o</w:t>
      </w:r>
      <w:r>
        <w:rPr>
          <w:spacing w:val="-5"/>
        </w:rPr>
        <w:t xml:space="preserve"> </w:t>
      </w:r>
      <w:r>
        <w:t>degradante”.</w:t>
      </w:r>
      <w:r>
        <w:rPr>
          <w:position w:val="7"/>
          <w:sz w:val="13"/>
        </w:rPr>
        <w:t>160</w:t>
      </w:r>
    </w:p>
    <w:p w:rsidR="007A0A6C" w:rsidRDefault="00660E26">
      <w:pPr>
        <w:pStyle w:val="BodyText"/>
        <w:spacing w:before="98" w:line="247" w:lineRule="auto"/>
        <w:ind w:right="659"/>
      </w:pPr>
      <w:r>
        <w:t>Un informe del Comité del Senado de 2013</w:t>
      </w:r>
      <w:r>
        <w:rPr>
          <w:position w:val="7"/>
          <w:sz w:val="13"/>
        </w:rPr>
        <w:t xml:space="preserve">161 </w:t>
      </w:r>
      <w:r>
        <w:t xml:space="preserve">contenía una serie de recomendaciones, que incluía posponer el tratamiento médico irreversible en niños intersexuales hasta que puedan dar su consentimiento personal, pero estas recomendaciones no se han implementado. Australia no ha implementado las recomendaciones de 2018 del Comité de la </w:t>
      </w:r>
      <w:r>
        <w:rPr>
          <w:spacing w:val="-3"/>
        </w:rPr>
        <w:t xml:space="preserve">CEDAW </w:t>
      </w:r>
      <w:r>
        <w:t>que [indica] que Australia:</w:t>
      </w:r>
    </w:p>
    <w:p w:rsidR="007A0A6C" w:rsidRDefault="00660E26">
      <w:pPr>
        <w:pStyle w:val="BodyText"/>
        <w:spacing w:before="137" w:line="247" w:lineRule="auto"/>
        <w:ind w:left="1480" w:right="217"/>
        <w:rPr>
          <w:sz w:val="13"/>
        </w:rPr>
      </w:pPr>
      <w:r>
        <w:t>“Adopte disposiciones legislativas claras que prohíban explícitamente llevar a cabo cirugías innecesarias u otros procedimientos médicos en niños intersexuales antes de que alcancen la edad legal para dar su consentimiento; implemente las recomendaciones hechas por el Senado en 2013 sobre la base de su encuesta en cuanto a la esterilización involuntaria o coercitiva de las personas intersexuales; brinde asesoramiento adecuado y apoyo para las familias de niños intersexuales, y reparación para las personas intersexuales que han sido sometidas a dichos procedimientos”.</w:t>
      </w:r>
      <w:r>
        <w:rPr>
          <w:position w:val="7"/>
          <w:sz w:val="13"/>
        </w:rPr>
        <w:t>162</w:t>
      </w:r>
    </w:p>
    <w:p w:rsidR="007A0A6C" w:rsidRDefault="00660E26">
      <w:pPr>
        <w:pStyle w:val="Heading2"/>
        <w:tabs>
          <w:tab w:val="left" w:pos="10805"/>
        </w:tabs>
        <w:spacing w:before="206"/>
      </w:pPr>
      <w:r>
        <w:rPr>
          <w:color w:val="FFFFFF"/>
          <w:spacing w:val="-37"/>
          <w:shd w:val="clear" w:color="auto" w:fill="4C418E"/>
        </w:rPr>
        <w:t xml:space="preserve"> </w:t>
      </w:r>
      <w:r>
        <w:rPr>
          <w:color w:val="FFFFFF"/>
          <w:shd w:val="clear" w:color="auto" w:fill="4C418E"/>
        </w:rPr>
        <w:t>Recomendaciones</w:t>
      </w:r>
      <w:r>
        <w:rPr>
          <w:color w:val="FFFFFF"/>
          <w:shd w:val="clear" w:color="auto" w:fill="4C418E"/>
        </w:rPr>
        <w:tab/>
      </w:r>
    </w:p>
    <w:p w:rsidR="007A0A6C" w:rsidRDefault="00660E26">
      <w:pPr>
        <w:pStyle w:val="BodyText"/>
        <w:spacing w:before="179"/>
        <w:ind w:left="340"/>
      </w:pPr>
      <w:r>
        <w:t>Que Australia:</w:t>
      </w:r>
    </w:p>
    <w:p w:rsidR="007A0A6C" w:rsidRDefault="00660E26">
      <w:pPr>
        <w:pStyle w:val="ListParagraph"/>
        <w:numPr>
          <w:ilvl w:val="1"/>
          <w:numId w:val="11"/>
        </w:numPr>
        <w:tabs>
          <w:tab w:val="left" w:pos="1085"/>
        </w:tabs>
        <w:spacing w:before="88" w:line="244" w:lineRule="auto"/>
        <w:ind w:right="514" w:hanging="180"/>
      </w:pPr>
      <w:r>
        <w:t>Desarrolle y promulgue una legislación nacional, uniforme, que se pueda implementar de manera legal y que prohíba la esterilización de niños y la esterilización de adultos sin su consentimiento previo libre y totalmente</w:t>
      </w:r>
      <w:r>
        <w:rPr>
          <w:spacing w:val="-3"/>
        </w:rPr>
        <w:t xml:space="preserve"> </w:t>
      </w:r>
      <w:r>
        <w:t>informado.</w:t>
      </w:r>
    </w:p>
    <w:p w:rsidR="007A0A6C" w:rsidRDefault="00660E26">
      <w:pPr>
        <w:pStyle w:val="ListParagraph"/>
        <w:numPr>
          <w:ilvl w:val="1"/>
          <w:numId w:val="11"/>
        </w:numPr>
        <w:tabs>
          <w:tab w:val="left" w:pos="1085"/>
        </w:tabs>
        <w:spacing w:before="122" w:line="242" w:lineRule="auto"/>
        <w:ind w:right="1037" w:hanging="180"/>
      </w:pPr>
      <w:r>
        <w:t>Elimine la práctica de la administración no consensuada de medicamentos supresores de la menstruación y de tratamientos</w:t>
      </w:r>
      <w:r>
        <w:rPr>
          <w:spacing w:val="-2"/>
        </w:rPr>
        <w:t xml:space="preserve"> </w:t>
      </w:r>
      <w:r>
        <w:t>antiandrogénicos.</w:t>
      </w:r>
    </w:p>
    <w:p w:rsidR="007A0A6C" w:rsidRDefault="00660E26">
      <w:pPr>
        <w:pStyle w:val="ListParagraph"/>
        <w:numPr>
          <w:ilvl w:val="1"/>
          <w:numId w:val="11"/>
        </w:numPr>
        <w:tabs>
          <w:tab w:val="left" w:pos="1085"/>
        </w:tabs>
        <w:spacing w:before="126" w:line="244" w:lineRule="auto"/>
        <w:ind w:right="306" w:hanging="180"/>
      </w:pPr>
      <w:r>
        <w:t>Desarrolle y promulgue una legislación nacional, uniforme, que se pueda implementar de manera legal</w:t>
      </w:r>
      <w:r>
        <w:rPr>
          <w:spacing w:val="-7"/>
        </w:rPr>
        <w:t xml:space="preserve"> </w:t>
      </w:r>
      <w:r>
        <w:t>y</w:t>
      </w:r>
      <w:r>
        <w:rPr>
          <w:spacing w:val="-6"/>
        </w:rPr>
        <w:t xml:space="preserve"> </w:t>
      </w:r>
      <w:r>
        <w:t>que</w:t>
      </w:r>
      <w:r>
        <w:rPr>
          <w:spacing w:val="-7"/>
        </w:rPr>
        <w:t xml:space="preserve"> </w:t>
      </w:r>
      <w:r>
        <w:t>prohíba</w:t>
      </w:r>
      <w:r>
        <w:rPr>
          <w:spacing w:val="-7"/>
        </w:rPr>
        <w:t xml:space="preserve"> </w:t>
      </w:r>
      <w:r>
        <w:t>las</w:t>
      </w:r>
      <w:r>
        <w:rPr>
          <w:spacing w:val="-6"/>
        </w:rPr>
        <w:t xml:space="preserve"> </w:t>
      </w:r>
      <w:r>
        <w:t>intervenciones</w:t>
      </w:r>
      <w:r>
        <w:rPr>
          <w:spacing w:val="-7"/>
        </w:rPr>
        <w:t xml:space="preserve"> </w:t>
      </w:r>
      <w:r>
        <w:t>médicas</w:t>
      </w:r>
      <w:r>
        <w:rPr>
          <w:spacing w:val="-6"/>
        </w:rPr>
        <w:t xml:space="preserve"> </w:t>
      </w:r>
      <w:r>
        <w:t>innecesarias,</w:t>
      </w:r>
      <w:r>
        <w:rPr>
          <w:spacing w:val="-7"/>
        </w:rPr>
        <w:t xml:space="preserve"> </w:t>
      </w:r>
      <w:r>
        <w:t>que</w:t>
      </w:r>
      <w:r>
        <w:rPr>
          <w:spacing w:val="-6"/>
        </w:rPr>
        <w:t xml:space="preserve"> </w:t>
      </w:r>
      <w:r>
        <w:t>incluye</w:t>
      </w:r>
      <w:r>
        <w:rPr>
          <w:spacing w:val="-7"/>
        </w:rPr>
        <w:t xml:space="preserve"> </w:t>
      </w:r>
      <w:r>
        <w:t>intervenciones</w:t>
      </w:r>
      <w:r>
        <w:rPr>
          <w:spacing w:val="-7"/>
        </w:rPr>
        <w:t xml:space="preserve"> </w:t>
      </w:r>
      <w:r>
        <w:t>quirúrgicas y hormonales en niños y adultos intersexuales sin su consentimiento previo libre y totalmente informado.</w:t>
      </w:r>
    </w:p>
    <w:p w:rsidR="007A0A6C" w:rsidRDefault="007A0A6C">
      <w:pPr>
        <w:spacing w:line="244" w:lineRule="auto"/>
        <w:sectPr w:rsidR="007A0A6C">
          <w:pgSz w:w="11910" w:h="16840"/>
          <w:pgMar w:top="620" w:right="440" w:bottom="540" w:left="380" w:header="0" w:footer="343" w:gutter="0"/>
          <w:cols w:space="720"/>
        </w:sectPr>
      </w:pPr>
    </w:p>
    <w:p w:rsidR="007A0A6C" w:rsidRDefault="004638C1">
      <w:pPr>
        <w:pStyle w:val="BodyText"/>
        <w:ind w:left="340"/>
        <w:rPr>
          <w:sz w:val="20"/>
        </w:rPr>
      </w:pPr>
      <w:r>
        <w:rPr>
          <w:sz w:val="20"/>
        </w:rPr>
      </w:r>
      <w:r>
        <w:rPr>
          <w:sz w:val="20"/>
        </w:rPr>
        <w:pict>
          <v:shape id="_x0000_s1031" type="#_x0000_t202" alt="" style="width:523.3pt;height:59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b31d30" stroked="f">
            <v:textbox inset="0,0,0,0">
              <w:txbxContent>
                <w:p w:rsidR="007A0A6C" w:rsidRDefault="00660E26">
                  <w:pPr>
                    <w:spacing w:line="244" w:lineRule="auto"/>
                    <w:ind w:left="60" w:right="496"/>
                    <w:rPr>
                      <w:rFonts w:ascii="Raleway-SemiBold" w:hAnsi="Raleway-SemiBold"/>
                      <w:b/>
                      <w:sz w:val="48"/>
                    </w:rPr>
                  </w:pPr>
                  <w:bookmarkStart w:id="63" w:name="Libertad_de_desplazamiento_y_nacionalida"/>
                  <w:bookmarkStart w:id="64" w:name="_bookmark19"/>
                  <w:bookmarkEnd w:id="63"/>
                  <w:bookmarkEnd w:id="64"/>
                  <w:r>
                    <w:rPr>
                      <w:rFonts w:ascii="Raleway-SemiBold" w:hAnsi="Raleway-SemiBold"/>
                      <w:b/>
                      <w:color w:val="FFFFFF"/>
                      <w:sz w:val="48"/>
                    </w:rPr>
                    <w:t>Libertad de desplazamiento y nacionalidad (artículo 18)</w:t>
                  </w:r>
                </w:p>
              </w:txbxContent>
            </v:textbox>
            <w10:anchorlock/>
          </v:shape>
        </w:pict>
      </w:r>
    </w:p>
    <w:p w:rsidR="007A0A6C" w:rsidRDefault="00660E26">
      <w:pPr>
        <w:pStyle w:val="ListParagraph"/>
        <w:numPr>
          <w:ilvl w:val="0"/>
          <w:numId w:val="10"/>
        </w:numPr>
        <w:tabs>
          <w:tab w:val="left" w:pos="1059"/>
          <w:tab w:val="left" w:pos="1061"/>
        </w:tabs>
        <w:spacing w:before="125" w:line="247" w:lineRule="auto"/>
        <w:ind w:right="511" w:hanging="720"/>
      </w:pPr>
      <w:r>
        <w:t xml:space="preserve">La Declaración Interpretativa relativa al Artículo 18 mantiene el enfoque administrativo y legislativo actual de Australia para procesar las solicitudes de visado. La DDA estipula una exención para ciertas disposiciones de la </w:t>
      </w:r>
      <w:r>
        <w:rPr>
          <w:i/>
        </w:rPr>
        <w:t>Ley sobre Migraciones de 1958</w:t>
      </w:r>
      <w:r>
        <w:t>, que implica que los acuerdos</w:t>
      </w:r>
      <w:r>
        <w:rPr>
          <w:spacing w:val="-4"/>
        </w:rPr>
        <w:t xml:space="preserve"> </w:t>
      </w:r>
      <w:r>
        <w:t>inmigratorios</w:t>
      </w:r>
      <w:r>
        <w:rPr>
          <w:spacing w:val="-4"/>
        </w:rPr>
        <w:t xml:space="preserve"> </w:t>
      </w:r>
      <w:r>
        <w:t>de</w:t>
      </w:r>
      <w:r>
        <w:rPr>
          <w:spacing w:val="-15"/>
        </w:rPr>
        <w:t xml:space="preserve"> </w:t>
      </w:r>
      <w:r>
        <w:t>Australia</w:t>
      </w:r>
      <w:r>
        <w:rPr>
          <w:spacing w:val="-3"/>
        </w:rPr>
        <w:t xml:space="preserve"> </w:t>
      </w:r>
      <w:r>
        <w:t>y</w:t>
      </w:r>
      <w:r>
        <w:rPr>
          <w:spacing w:val="-3"/>
        </w:rPr>
        <w:t xml:space="preserve"> </w:t>
      </w:r>
      <w:r>
        <w:t>el</w:t>
      </w:r>
      <w:r>
        <w:rPr>
          <w:spacing w:val="-3"/>
        </w:rPr>
        <w:t xml:space="preserve"> </w:t>
      </w:r>
      <w:r>
        <w:t>tratamiento</w:t>
      </w:r>
      <w:r>
        <w:rPr>
          <w:spacing w:val="-3"/>
        </w:rPr>
        <w:t xml:space="preserve"> </w:t>
      </w:r>
      <w:r>
        <w:t>de</w:t>
      </w:r>
      <w:r>
        <w:rPr>
          <w:spacing w:val="-4"/>
        </w:rPr>
        <w:t xml:space="preserve"> </w:t>
      </w:r>
      <w:r>
        <w:t>la</w:t>
      </w:r>
      <w:r>
        <w:rPr>
          <w:spacing w:val="-4"/>
        </w:rPr>
        <w:t xml:space="preserve"> </w:t>
      </w:r>
      <w:r>
        <w:t>discapacidad</w:t>
      </w:r>
      <w:r>
        <w:rPr>
          <w:spacing w:val="-4"/>
        </w:rPr>
        <w:t xml:space="preserve"> </w:t>
      </w:r>
      <w:r>
        <w:t>no</w:t>
      </w:r>
      <w:r>
        <w:rPr>
          <w:spacing w:val="-4"/>
        </w:rPr>
        <w:t xml:space="preserve"> </w:t>
      </w:r>
      <w:r>
        <w:t>pueden</w:t>
      </w:r>
      <w:r>
        <w:rPr>
          <w:spacing w:val="-4"/>
        </w:rPr>
        <w:t xml:space="preserve"> </w:t>
      </w:r>
      <w:r>
        <w:t>cumplir</w:t>
      </w:r>
      <w:r>
        <w:rPr>
          <w:spacing w:val="-3"/>
        </w:rPr>
        <w:t xml:space="preserve"> </w:t>
      </w:r>
      <w:r>
        <w:t>con</w:t>
      </w:r>
      <w:r>
        <w:rPr>
          <w:spacing w:val="-3"/>
        </w:rPr>
        <w:t xml:space="preserve"> </w:t>
      </w:r>
      <w:r>
        <w:t>las obligaciones de protección igualitaria en virtud del Artículo 5 de la</w:t>
      </w:r>
      <w:r>
        <w:rPr>
          <w:spacing w:val="-29"/>
        </w:rPr>
        <w:t xml:space="preserve"> </w:t>
      </w:r>
      <w:r>
        <w:t>CRPD.</w:t>
      </w:r>
    </w:p>
    <w:p w:rsidR="007A0A6C" w:rsidRDefault="00660E26">
      <w:pPr>
        <w:pStyle w:val="BodyText"/>
        <w:spacing w:before="98" w:line="247" w:lineRule="auto"/>
        <w:ind w:right="907"/>
      </w:pPr>
      <w:r>
        <w:t>Casi todos los solicitantes de visado deben cumplir con los requisitos sanitarios a fin de que se les otorgue el visado, hecho que es indirectamente discriminatorio contra las personas con discapacidad.</w:t>
      </w:r>
      <w:r>
        <w:rPr>
          <w:position w:val="7"/>
          <w:sz w:val="13"/>
        </w:rPr>
        <w:t xml:space="preserve">163 </w:t>
      </w:r>
      <w:r>
        <w:t>La ley y los procesos migratorios tratan a las personas con discapacidad exclusivamente como una carga económica.</w:t>
      </w:r>
      <w:r>
        <w:rPr>
          <w:position w:val="7"/>
          <w:sz w:val="13"/>
        </w:rPr>
        <w:t xml:space="preserve">164 </w:t>
      </w:r>
      <w:r>
        <w:t>Se considera que los niños o los miembros</w:t>
      </w:r>
      <w:r>
        <w:rPr>
          <w:spacing w:val="-21"/>
        </w:rPr>
        <w:t xml:space="preserve"> </w:t>
      </w:r>
      <w:r>
        <w:t>de</w:t>
      </w:r>
    </w:p>
    <w:p w:rsidR="007A0A6C" w:rsidRDefault="00660E26">
      <w:pPr>
        <w:pStyle w:val="BodyText"/>
        <w:spacing w:line="247" w:lineRule="auto"/>
        <w:ind w:right="715"/>
        <w:rPr>
          <w:sz w:val="13"/>
        </w:rPr>
      </w:pPr>
      <w:r>
        <w:t>la familia con discapacidad son un riesgo para la salud, de modo que se impide que el niño o la familia migre o se quede en Australia.</w:t>
      </w:r>
      <w:r>
        <w:rPr>
          <w:position w:val="7"/>
          <w:sz w:val="13"/>
        </w:rPr>
        <w:t>165</w:t>
      </w:r>
    </w:p>
    <w:p w:rsidR="007A0A6C" w:rsidRDefault="00660E26">
      <w:pPr>
        <w:pStyle w:val="BodyText"/>
        <w:spacing w:before="136" w:line="247" w:lineRule="auto"/>
        <w:ind w:right="507"/>
      </w:pPr>
      <w:r>
        <w:t>Los solicitantes de asilo o las personas con discapacidad que viven en Australia con visas no permanentes no son elegibles para acceder al NDIS, dado que no cumplen con los requisitos de residencia. Es necesario tener diez años de residencia para poder calificar para las Pensiones de apoyo por discapacidad y edad,</w:t>
      </w:r>
      <w:r>
        <w:rPr>
          <w:position w:val="7"/>
          <w:sz w:val="13"/>
        </w:rPr>
        <w:t xml:space="preserve">166 </w:t>
      </w:r>
      <w:r>
        <w:t>lo que expone a los inmigrantes con discapacidad a un mayor riesgo de violación a una serie de derechos humanos.</w:t>
      </w:r>
    </w:p>
    <w:p w:rsidR="007A0A6C" w:rsidRDefault="00660E26">
      <w:pPr>
        <w:pStyle w:val="BodyText"/>
        <w:spacing w:before="137" w:line="247" w:lineRule="auto"/>
        <w:ind w:right="384"/>
        <w:rPr>
          <w:sz w:val="13"/>
        </w:rPr>
      </w:pPr>
      <w:r>
        <w:t>Las prácticas, las políticas y las leyes de Australia para solicitantes de asilo han dado como resultado violaciones institucionalizadas, graves y habituales a la prohibición de la tortura y el maltrato; y, como consecuencia, se ha encontrado que generan dolor y sufrimiento físico y mental, y siguen provocando discapacidades y deficiencias permanentes.</w:t>
      </w:r>
      <w:r>
        <w:rPr>
          <w:position w:val="7"/>
          <w:sz w:val="13"/>
        </w:rPr>
        <w:t>167</w:t>
      </w:r>
    </w:p>
    <w:p w:rsidR="007A0A6C" w:rsidRDefault="00660E26">
      <w:pPr>
        <w:pStyle w:val="BodyText"/>
        <w:spacing w:before="138" w:line="247" w:lineRule="auto"/>
        <w:ind w:right="507"/>
        <w:rPr>
          <w:sz w:val="13"/>
        </w:rPr>
      </w:pPr>
      <w:r>
        <w:t>A más de un tercio de las personas que están en detención se les ha diagnosticado discapacidad psicosocial.</w:t>
      </w:r>
      <w:r>
        <w:rPr>
          <w:position w:val="7"/>
          <w:sz w:val="13"/>
        </w:rPr>
        <w:t xml:space="preserve">168 </w:t>
      </w:r>
      <w:r>
        <w:t>Las mujeres solicitantes de asilo o refugiadas sufren violaciones y abuso sexual;</w:t>
      </w:r>
      <w:r>
        <w:rPr>
          <w:position w:val="7"/>
          <w:sz w:val="13"/>
        </w:rPr>
        <w:t xml:space="preserve">169 </w:t>
      </w:r>
      <w:r>
        <w:t>sin embargo, aún no se ha implementado un mecanismo de investigación independiente; además, cuando se denuncian incidentes, rara vez se llevan a cabo investigaciones o sanciones adecuadas.</w:t>
      </w:r>
      <w:r>
        <w:rPr>
          <w:position w:val="7"/>
          <w:sz w:val="13"/>
        </w:rPr>
        <w:t>170</w:t>
      </w:r>
    </w:p>
    <w:p w:rsidR="007A0A6C" w:rsidRDefault="00660E26">
      <w:pPr>
        <w:pStyle w:val="Heading2"/>
        <w:tabs>
          <w:tab w:val="left" w:pos="10805"/>
        </w:tabs>
      </w:pPr>
      <w:r>
        <w:rPr>
          <w:color w:val="FFFFFF"/>
          <w:spacing w:val="-37"/>
          <w:shd w:val="clear" w:color="auto" w:fill="4C418E"/>
        </w:rPr>
        <w:t xml:space="preserve"> </w:t>
      </w:r>
      <w:r>
        <w:rPr>
          <w:color w:val="FFFFFF"/>
          <w:shd w:val="clear" w:color="auto" w:fill="4C418E"/>
        </w:rPr>
        <w:t>Recomendaciones</w:t>
      </w:r>
      <w:r>
        <w:rPr>
          <w:color w:val="FFFFFF"/>
          <w:shd w:val="clear" w:color="auto" w:fill="4C418E"/>
        </w:rPr>
        <w:tab/>
      </w:r>
    </w:p>
    <w:p w:rsidR="007A0A6C" w:rsidRDefault="00660E26">
      <w:pPr>
        <w:pStyle w:val="BodyText"/>
        <w:spacing w:before="178"/>
        <w:ind w:left="340"/>
      </w:pPr>
      <w:r>
        <w:t>Que Australia:</w:t>
      </w:r>
    </w:p>
    <w:p w:rsidR="007A0A6C" w:rsidRDefault="007A0A6C">
      <w:pPr>
        <w:pStyle w:val="BodyText"/>
        <w:spacing w:before="8"/>
        <w:ind w:left="0"/>
        <w:rPr>
          <w:sz w:val="27"/>
        </w:rPr>
      </w:pPr>
    </w:p>
    <w:p w:rsidR="007A0A6C" w:rsidRDefault="00660E26">
      <w:pPr>
        <w:pStyle w:val="ListParagraph"/>
        <w:numPr>
          <w:ilvl w:val="1"/>
          <w:numId w:val="10"/>
        </w:numPr>
        <w:tabs>
          <w:tab w:val="left" w:pos="1085"/>
        </w:tabs>
        <w:spacing w:before="0" w:line="244" w:lineRule="auto"/>
        <w:ind w:right="718" w:hanging="180"/>
      </w:pPr>
      <w:r>
        <w:t xml:space="preserve">Elimine la exención en la DDA, dado que se aplica a la </w:t>
      </w:r>
      <w:r>
        <w:rPr>
          <w:i/>
        </w:rPr>
        <w:t xml:space="preserve">Ley de Migraciones </w:t>
      </w:r>
      <w:r>
        <w:t>para garantizar que los acuerdos inmigratorios de Australia y el tratamiento de la discapacidad cumplan con las obligaciones igualitarias de protección en virtud del Artículo 5 de la</w:t>
      </w:r>
      <w:r>
        <w:rPr>
          <w:spacing w:val="-30"/>
        </w:rPr>
        <w:t xml:space="preserve"> </w:t>
      </w:r>
      <w:r>
        <w:t>CRPD.</w:t>
      </w:r>
    </w:p>
    <w:p w:rsidR="007A0A6C" w:rsidRDefault="00660E26">
      <w:pPr>
        <w:pStyle w:val="ListParagraph"/>
        <w:numPr>
          <w:ilvl w:val="1"/>
          <w:numId w:val="10"/>
        </w:numPr>
        <w:tabs>
          <w:tab w:val="left" w:pos="1085"/>
        </w:tabs>
        <w:spacing w:before="123" w:line="242" w:lineRule="auto"/>
        <w:ind w:right="598" w:hanging="180"/>
      </w:pPr>
      <w:r>
        <w:t>Aumente la uniformidad, transparencia y justicia administrativa para los inmigrantes y refugiados con discapacidad que solicitan un visado de</w:t>
      </w:r>
      <w:r>
        <w:rPr>
          <w:spacing w:val="-17"/>
        </w:rPr>
        <w:t xml:space="preserve"> </w:t>
      </w:r>
      <w:r>
        <w:t>Australia.</w:t>
      </w:r>
    </w:p>
    <w:p w:rsidR="007A0A6C" w:rsidRDefault="00660E26">
      <w:pPr>
        <w:pStyle w:val="ListParagraph"/>
        <w:numPr>
          <w:ilvl w:val="1"/>
          <w:numId w:val="10"/>
        </w:numPr>
        <w:tabs>
          <w:tab w:val="left" w:pos="1085"/>
        </w:tabs>
        <w:spacing w:before="125" w:line="242" w:lineRule="auto"/>
        <w:ind w:right="365" w:hanging="180"/>
      </w:pPr>
      <w:r>
        <w:t>Elimine el período de calificación de 10 años para que los inmigrantes accedan a las Pensiones de apoyo por discapacidad y</w:t>
      </w:r>
      <w:r>
        <w:rPr>
          <w:spacing w:val="-4"/>
        </w:rPr>
        <w:t xml:space="preserve"> </w:t>
      </w:r>
      <w:r>
        <w:t>edad.</w:t>
      </w:r>
    </w:p>
    <w:p w:rsidR="007A0A6C" w:rsidRDefault="00660E26">
      <w:pPr>
        <w:pStyle w:val="ListParagraph"/>
        <w:numPr>
          <w:ilvl w:val="1"/>
          <w:numId w:val="10"/>
        </w:numPr>
        <w:tabs>
          <w:tab w:val="left" w:pos="1085"/>
        </w:tabs>
        <w:spacing w:before="126" w:line="242" w:lineRule="auto"/>
        <w:ind w:right="414" w:hanging="180"/>
      </w:pPr>
      <w:r>
        <w:t>Ponga fin, con carácter urgente, a la detención obligatoria e indefinida de las personas solicitantes de</w:t>
      </w:r>
      <w:r>
        <w:rPr>
          <w:spacing w:val="-2"/>
        </w:rPr>
        <w:t xml:space="preserve"> </w:t>
      </w:r>
      <w:r>
        <w:t>asilo.</w:t>
      </w:r>
    </w:p>
    <w:p w:rsidR="007A0A6C" w:rsidRDefault="007A0A6C">
      <w:pPr>
        <w:spacing w:line="242" w:lineRule="auto"/>
        <w:sectPr w:rsidR="007A0A6C">
          <w:pgSz w:w="11910" w:h="16840"/>
          <w:pgMar w:top="700" w:right="440" w:bottom="540" w:left="380" w:header="0" w:footer="343" w:gutter="0"/>
          <w:cols w:space="720"/>
        </w:sectPr>
      </w:pPr>
    </w:p>
    <w:p w:rsidR="007A0A6C" w:rsidRDefault="004638C1">
      <w:pPr>
        <w:pStyle w:val="BodyText"/>
        <w:ind w:left="340"/>
        <w:rPr>
          <w:sz w:val="20"/>
        </w:rPr>
      </w:pPr>
      <w:r>
        <w:rPr>
          <w:sz w:val="20"/>
        </w:rPr>
      </w:r>
      <w:r>
        <w:rPr>
          <w:sz w:val="20"/>
        </w:rPr>
        <w:pict>
          <v:shape id="_x0000_s1030" type="#_x0000_t202" alt="" style="width:523.3pt;height:57.2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b31d30" stroked="f">
            <v:textbox inset="0,0,0,0">
              <w:txbxContent>
                <w:p w:rsidR="007A0A6C" w:rsidRDefault="00660E26">
                  <w:pPr>
                    <w:spacing w:before="38" w:line="230" w:lineRule="auto"/>
                    <w:ind w:left="60" w:right="496"/>
                    <w:rPr>
                      <w:rFonts w:ascii="Raleway-SemiBold" w:hAnsi="Raleway-SemiBold"/>
                      <w:b/>
                      <w:sz w:val="48"/>
                    </w:rPr>
                  </w:pPr>
                  <w:bookmarkStart w:id="65" w:name="Derecho_a_vivir_de_forma_independiente_y"/>
                  <w:bookmarkStart w:id="66" w:name="_bookmark20"/>
                  <w:bookmarkEnd w:id="65"/>
                  <w:bookmarkEnd w:id="66"/>
                  <w:r>
                    <w:rPr>
                      <w:rFonts w:ascii="Raleway-SemiBold" w:hAnsi="Raleway-SemiBold"/>
                      <w:b/>
                      <w:color w:val="FFFFFF"/>
                      <w:sz w:val="48"/>
                    </w:rPr>
                    <w:t xml:space="preserve">Derecho a vivir de </w:t>
                  </w:r>
                  <w:r>
                    <w:rPr>
                      <w:rFonts w:ascii="Raleway-SemiBold" w:hAnsi="Raleway-SemiBold"/>
                      <w:b/>
                      <w:color w:val="FFFFFF"/>
                      <w:spacing w:val="-3"/>
                      <w:sz w:val="48"/>
                    </w:rPr>
                    <w:t xml:space="preserve">forma </w:t>
                  </w:r>
                  <w:r>
                    <w:rPr>
                      <w:rFonts w:ascii="Raleway-SemiBold" w:hAnsi="Raleway-SemiBold"/>
                      <w:b/>
                      <w:color w:val="FFFFFF"/>
                      <w:sz w:val="48"/>
                    </w:rPr>
                    <w:t>independiente y</w:t>
                  </w:r>
                  <w:r>
                    <w:rPr>
                      <w:rFonts w:ascii="Raleway-SemiBold" w:hAnsi="Raleway-SemiBold"/>
                      <w:b/>
                      <w:color w:val="FFFFFF"/>
                      <w:spacing w:val="-70"/>
                      <w:sz w:val="48"/>
                    </w:rPr>
                    <w:t xml:space="preserve"> </w:t>
                  </w:r>
                  <w:r>
                    <w:rPr>
                      <w:rFonts w:ascii="Raleway-SemiBold" w:hAnsi="Raleway-SemiBold"/>
                      <w:b/>
                      <w:color w:val="FFFFFF"/>
                      <w:spacing w:val="-14"/>
                      <w:sz w:val="48"/>
                    </w:rPr>
                    <w:t xml:space="preserve">a </w:t>
                  </w:r>
                  <w:r>
                    <w:rPr>
                      <w:rFonts w:ascii="Raleway-SemiBold" w:hAnsi="Raleway-SemiBold"/>
                      <w:b/>
                      <w:color w:val="FFFFFF"/>
                      <w:sz w:val="48"/>
                    </w:rPr>
                    <w:t>ser incluido en la comunidad (artículo 19)</w:t>
                  </w:r>
                </w:p>
              </w:txbxContent>
            </v:textbox>
            <w10:anchorlock/>
          </v:shape>
        </w:pict>
      </w:r>
    </w:p>
    <w:p w:rsidR="007A0A6C" w:rsidRDefault="00660E26">
      <w:pPr>
        <w:pStyle w:val="BodyText"/>
        <w:tabs>
          <w:tab w:val="left" w:pos="1059"/>
        </w:tabs>
        <w:spacing w:before="119" w:line="247" w:lineRule="auto"/>
        <w:ind w:right="285" w:hanging="720"/>
        <w:rPr>
          <w:sz w:val="13"/>
        </w:rPr>
      </w:pPr>
      <w:r>
        <w:t>22(a)</w:t>
      </w:r>
      <w:r>
        <w:tab/>
        <w:t>No</w:t>
      </w:r>
      <w:r>
        <w:rPr>
          <w:spacing w:val="-4"/>
        </w:rPr>
        <w:t xml:space="preserve"> </w:t>
      </w:r>
      <w:r>
        <w:t>existe</w:t>
      </w:r>
      <w:r>
        <w:rPr>
          <w:spacing w:val="-3"/>
        </w:rPr>
        <w:t xml:space="preserve"> </w:t>
      </w:r>
      <w:r>
        <w:t>un</w:t>
      </w:r>
      <w:r>
        <w:rPr>
          <w:spacing w:val="-3"/>
        </w:rPr>
        <w:t xml:space="preserve"> </w:t>
      </w:r>
      <w:r>
        <w:t>marco</w:t>
      </w:r>
      <w:r>
        <w:rPr>
          <w:spacing w:val="-2"/>
        </w:rPr>
        <w:t xml:space="preserve"> </w:t>
      </w:r>
      <w:r>
        <w:t>nacional</w:t>
      </w:r>
      <w:r>
        <w:rPr>
          <w:spacing w:val="-3"/>
        </w:rPr>
        <w:t xml:space="preserve"> </w:t>
      </w:r>
      <w:r>
        <w:t>para</w:t>
      </w:r>
      <w:r>
        <w:rPr>
          <w:spacing w:val="-3"/>
        </w:rPr>
        <w:t xml:space="preserve"> </w:t>
      </w:r>
      <w:r>
        <w:t>el</w:t>
      </w:r>
      <w:r>
        <w:rPr>
          <w:spacing w:val="-3"/>
        </w:rPr>
        <w:t xml:space="preserve"> </w:t>
      </w:r>
      <w:r>
        <w:t>cierre</w:t>
      </w:r>
      <w:r>
        <w:rPr>
          <w:spacing w:val="-2"/>
        </w:rPr>
        <w:t xml:space="preserve"> </w:t>
      </w:r>
      <w:r>
        <w:t>de</w:t>
      </w:r>
      <w:r>
        <w:rPr>
          <w:spacing w:val="-3"/>
        </w:rPr>
        <w:t xml:space="preserve"> </w:t>
      </w:r>
      <w:r>
        <w:t>las</w:t>
      </w:r>
      <w:r>
        <w:rPr>
          <w:spacing w:val="-4"/>
        </w:rPr>
        <w:t xml:space="preserve"> </w:t>
      </w:r>
      <w:r>
        <w:t>instituciones</w:t>
      </w:r>
      <w:r>
        <w:rPr>
          <w:spacing w:val="-3"/>
        </w:rPr>
        <w:t xml:space="preserve"> </w:t>
      </w:r>
      <w:r>
        <w:t>residenciales</w:t>
      </w:r>
      <w:r>
        <w:rPr>
          <w:spacing w:val="-2"/>
        </w:rPr>
        <w:t xml:space="preserve"> </w:t>
      </w:r>
      <w:r>
        <w:t>en</w:t>
      </w:r>
      <w:r>
        <w:rPr>
          <w:spacing w:val="-15"/>
        </w:rPr>
        <w:t xml:space="preserve"> </w:t>
      </w:r>
      <w:r>
        <w:t>Australia.</w:t>
      </w:r>
      <w:r>
        <w:rPr>
          <w:spacing w:val="-2"/>
        </w:rPr>
        <w:t xml:space="preserve"> </w:t>
      </w:r>
      <w:r>
        <w:t>Más</w:t>
      </w:r>
      <w:r>
        <w:rPr>
          <w:spacing w:val="-2"/>
        </w:rPr>
        <w:t xml:space="preserve"> </w:t>
      </w:r>
      <w:r>
        <w:t>de</w:t>
      </w:r>
      <w:r>
        <w:rPr>
          <w:spacing w:val="-4"/>
        </w:rPr>
        <w:t xml:space="preserve"> </w:t>
      </w:r>
      <w:r>
        <w:t>un 5,2 % de las personas con discapacidad vive en un alojamiento con asistencia, tales como hogares grupales,</w:t>
      </w:r>
      <w:r>
        <w:rPr>
          <w:position w:val="7"/>
          <w:sz w:val="13"/>
        </w:rPr>
        <w:t xml:space="preserve">171 </w:t>
      </w:r>
      <w:r>
        <w:t>y otro 2,8 % vive en establecimientos para alojamiento con apoyo.</w:t>
      </w:r>
      <w:r>
        <w:rPr>
          <w:position w:val="7"/>
          <w:sz w:val="13"/>
        </w:rPr>
        <w:t xml:space="preserve">172 </w:t>
      </w:r>
      <w:r>
        <w:t>Estos datos no están desglosados. Las personas con discapacidad que viven bajo cuidado residencial mueren por lo menos 25 años antes que la población</w:t>
      </w:r>
      <w:r>
        <w:rPr>
          <w:spacing w:val="-10"/>
        </w:rPr>
        <w:t xml:space="preserve"> </w:t>
      </w:r>
      <w:r>
        <w:t>general.</w:t>
      </w:r>
      <w:r>
        <w:rPr>
          <w:position w:val="7"/>
          <w:sz w:val="13"/>
        </w:rPr>
        <w:t>173</w:t>
      </w:r>
    </w:p>
    <w:p w:rsidR="007A0A6C" w:rsidRDefault="00660E26">
      <w:pPr>
        <w:pStyle w:val="BodyText"/>
        <w:tabs>
          <w:tab w:val="left" w:pos="1059"/>
        </w:tabs>
        <w:spacing w:before="98" w:line="247" w:lineRule="auto"/>
        <w:ind w:right="903" w:hanging="720"/>
      </w:pPr>
      <w:r>
        <w:t>22(b)</w:t>
      </w:r>
      <w:r>
        <w:tab/>
        <w:t>Muchas personas con discapacidad, que incluyen los participantes del NDIS, se ven forzados a</w:t>
      </w:r>
      <w:r>
        <w:rPr>
          <w:spacing w:val="-5"/>
        </w:rPr>
        <w:t xml:space="preserve"> </w:t>
      </w:r>
      <w:r>
        <w:t>vivir</w:t>
      </w:r>
      <w:r>
        <w:rPr>
          <w:spacing w:val="-4"/>
        </w:rPr>
        <w:t xml:space="preserve"> </w:t>
      </w:r>
      <w:r>
        <w:t>en</w:t>
      </w:r>
      <w:r>
        <w:rPr>
          <w:spacing w:val="-4"/>
        </w:rPr>
        <w:t xml:space="preserve"> </w:t>
      </w:r>
      <w:r>
        <w:t>instituciones,</w:t>
      </w:r>
      <w:r>
        <w:rPr>
          <w:spacing w:val="-5"/>
        </w:rPr>
        <w:t xml:space="preserve"> </w:t>
      </w:r>
      <w:r>
        <w:t>residencias,</w:t>
      </w:r>
      <w:r>
        <w:rPr>
          <w:spacing w:val="-3"/>
        </w:rPr>
        <w:t xml:space="preserve"> </w:t>
      </w:r>
      <w:r>
        <w:t>cuidado</w:t>
      </w:r>
      <w:r>
        <w:rPr>
          <w:spacing w:val="-4"/>
        </w:rPr>
        <w:t xml:space="preserve"> </w:t>
      </w:r>
      <w:r>
        <w:t>institucional</w:t>
      </w:r>
      <w:r>
        <w:rPr>
          <w:spacing w:val="-5"/>
        </w:rPr>
        <w:t xml:space="preserve"> </w:t>
      </w:r>
      <w:r>
        <w:t>y</w:t>
      </w:r>
      <w:r>
        <w:rPr>
          <w:spacing w:val="-3"/>
        </w:rPr>
        <w:t xml:space="preserve"> </w:t>
      </w:r>
      <w:r>
        <w:t>centros</w:t>
      </w:r>
      <w:r>
        <w:rPr>
          <w:spacing w:val="-4"/>
        </w:rPr>
        <w:t xml:space="preserve"> </w:t>
      </w:r>
      <w:r>
        <w:t>asistenciales</w:t>
      </w:r>
      <w:r>
        <w:rPr>
          <w:spacing w:val="-4"/>
        </w:rPr>
        <w:t xml:space="preserve"> </w:t>
      </w:r>
      <w:r>
        <w:t>para</w:t>
      </w:r>
      <w:r>
        <w:rPr>
          <w:spacing w:val="-5"/>
        </w:rPr>
        <w:t xml:space="preserve"> </w:t>
      </w:r>
      <w:r>
        <w:t>adultos</w:t>
      </w:r>
    </w:p>
    <w:p w:rsidR="007A0A6C" w:rsidRDefault="00660E26">
      <w:pPr>
        <w:pStyle w:val="BodyText"/>
        <w:spacing w:line="247" w:lineRule="auto"/>
        <w:ind w:right="334"/>
        <w:rPr>
          <w:sz w:val="13"/>
        </w:rPr>
      </w:pPr>
      <w:r>
        <w:t>mayores</w:t>
      </w:r>
      <w:r>
        <w:rPr>
          <w:position w:val="7"/>
          <w:sz w:val="13"/>
        </w:rPr>
        <w:t xml:space="preserve">174 </w:t>
      </w:r>
      <w:r>
        <w:t>a fin de recibir los apoyos de cuidado personal y social.</w:t>
      </w:r>
      <w:r>
        <w:rPr>
          <w:position w:val="7"/>
          <w:sz w:val="13"/>
        </w:rPr>
        <w:t xml:space="preserve">175 </w:t>
      </w:r>
      <w:r>
        <w:t>Más de 1 de cada 20 jóvenes que vive en residencias de cuidado para adultos mayores que han solicitado la financiación del NDIS, han sido considerados no elegibles.</w:t>
      </w:r>
      <w:r>
        <w:rPr>
          <w:position w:val="7"/>
          <w:sz w:val="13"/>
        </w:rPr>
        <w:t xml:space="preserve">176 </w:t>
      </w:r>
      <w:r>
        <w:t>Muchas personas con discapacidad no tienen acceso a los apoyos que necesitan y no pueden pagar el apoyo que necesitan.</w:t>
      </w:r>
      <w:r>
        <w:rPr>
          <w:position w:val="7"/>
          <w:sz w:val="13"/>
        </w:rPr>
        <w:t>177</w:t>
      </w:r>
    </w:p>
    <w:p w:rsidR="007A0A6C" w:rsidRDefault="00660E26">
      <w:pPr>
        <w:pStyle w:val="BodyText"/>
        <w:spacing w:before="96" w:line="247" w:lineRule="auto"/>
        <w:ind w:right="542"/>
      </w:pPr>
      <w:r>
        <w:t>El acceso a viviendas adecuadas, disponibles, accesibles y asequibles sigue siendo un tema importante para las personas con discapacidad, que se torna más evidente con la implantación del NDIS.</w:t>
      </w:r>
      <w:r>
        <w:rPr>
          <w:position w:val="7"/>
          <w:sz w:val="13"/>
        </w:rPr>
        <w:t xml:space="preserve">178 </w:t>
      </w:r>
      <w:r>
        <w:t>Se estima que entre 35 000 y 55 000 participantes del NDIS no verá satisfechas sus</w:t>
      </w:r>
    </w:p>
    <w:p w:rsidR="007A0A6C" w:rsidRDefault="00660E26">
      <w:pPr>
        <w:pStyle w:val="BodyText"/>
        <w:spacing w:line="247" w:lineRule="auto"/>
        <w:ind w:right="247"/>
        <w:rPr>
          <w:sz w:val="13"/>
        </w:rPr>
      </w:pPr>
      <w:r>
        <w:t>necesidades de vivienda durante la primera década del programa.</w:t>
      </w:r>
      <w:r>
        <w:rPr>
          <w:position w:val="7"/>
          <w:sz w:val="13"/>
        </w:rPr>
        <w:t xml:space="preserve">179 </w:t>
      </w:r>
      <w:r>
        <w:t>Hay más de 200 000 personas en lista de espera para viviendas públicas y sociales en todo el país.</w:t>
      </w:r>
      <w:r>
        <w:rPr>
          <w:position w:val="7"/>
          <w:sz w:val="13"/>
        </w:rPr>
        <w:t>180</w:t>
      </w:r>
    </w:p>
    <w:p w:rsidR="007A0A6C" w:rsidRDefault="00660E26">
      <w:pPr>
        <w:pStyle w:val="BodyText"/>
        <w:spacing w:before="137" w:line="247" w:lineRule="auto"/>
        <w:ind w:right="287"/>
        <w:rPr>
          <w:sz w:val="13"/>
        </w:rPr>
      </w:pPr>
      <w:r>
        <w:t>Los resultados de la participación social para las personas con discapacidad han empeorado desde el último período sobre el cual se informó.</w:t>
      </w:r>
      <w:r>
        <w:rPr>
          <w:position w:val="7"/>
          <w:sz w:val="13"/>
        </w:rPr>
        <w:t xml:space="preserve">181 </w:t>
      </w:r>
      <w:r>
        <w:t>Muchas de las personas con discapacidad manifiestan importantes sentimientos de aislamiento social.</w:t>
      </w:r>
      <w:r>
        <w:rPr>
          <w:position w:val="7"/>
          <w:sz w:val="13"/>
        </w:rPr>
        <w:t xml:space="preserve">182 </w:t>
      </w:r>
      <w:r>
        <w:t>Casi un 16 % de las personas con discapacidad no puede salir de su casa con la frecuencia que desearían</w:t>
      </w:r>
      <w:r>
        <w:rPr>
          <w:position w:val="7"/>
          <w:sz w:val="13"/>
        </w:rPr>
        <w:t xml:space="preserve">183 </w:t>
      </w:r>
      <w:r>
        <w:t>debido a las actitudes discriminatorias y a las presunciones negativas.</w:t>
      </w:r>
      <w:r>
        <w:rPr>
          <w:position w:val="7"/>
          <w:sz w:val="13"/>
        </w:rPr>
        <w:t>184</w:t>
      </w:r>
    </w:p>
    <w:p w:rsidR="007A0A6C" w:rsidRDefault="00660E26">
      <w:pPr>
        <w:pStyle w:val="Heading2"/>
        <w:tabs>
          <w:tab w:val="left" w:pos="10805"/>
        </w:tabs>
      </w:pPr>
      <w:r>
        <w:rPr>
          <w:color w:val="FFFFFF"/>
          <w:spacing w:val="-37"/>
          <w:shd w:val="clear" w:color="auto" w:fill="4C418E"/>
        </w:rPr>
        <w:t xml:space="preserve"> </w:t>
      </w:r>
      <w:r>
        <w:rPr>
          <w:color w:val="FFFFFF"/>
          <w:shd w:val="clear" w:color="auto" w:fill="4C418E"/>
        </w:rPr>
        <w:t>Recomendaciones</w:t>
      </w:r>
      <w:r>
        <w:rPr>
          <w:color w:val="FFFFFF"/>
          <w:shd w:val="clear" w:color="auto" w:fill="4C418E"/>
        </w:rPr>
        <w:tab/>
      </w:r>
    </w:p>
    <w:p w:rsidR="007A0A6C" w:rsidRDefault="00660E26">
      <w:pPr>
        <w:pStyle w:val="BodyText"/>
        <w:spacing w:before="179"/>
        <w:ind w:left="340"/>
      </w:pPr>
      <w:r>
        <w:t>Que Australia:</w:t>
      </w:r>
    </w:p>
    <w:p w:rsidR="007A0A6C" w:rsidRDefault="00660E26">
      <w:pPr>
        <w:pStyle w:val="ListParagraph"/>
        <w:numPr>
          <w:ilvl w:val="1"/>
          <w:numId w:val="10"/>
        </w:numPr>
        <w:tabs>
          <w:tab w:val="left" w:pos="1085"/>
        </w:tabs>
        <w:spacing w:before="88" w:line="242" w:lineRule="auto"/>
        <w:ind w:right="939" w:hanging="180"/>
      </w:pPr>
      <w:r>
        <w:t>Elabore un plan nacional para el cierre de entornos institucionales residenciales, y desarrolle opciones</w:t>
      </w:r>
      <w:r>
        <w:rPr>
          <w:spacing w:val="-5"/>
        </w:rPr>
        <w:t xml:space="preserve"> </w:t>
      </w:r>
      <w:r>
        <w:t>de</w:t>
      </w:r>
      <w:r>
        <w:rPr>
          <w:spacing w:val="-4"/>
        </w:rPr>
        <w:t xml:space="preserve"> </w:t>
      </w:r>
      <w:r>
        <w:t>apoyo</w:t>
      </w:r>
      <w:r>
        <w:rPr>
          <w:spacing w:val="-4"/>
        </w:rPr>
        <w:t xml:space="preserve"> </w:t>
      </w:r>
      <w:r>
        <w:t>y</w:t>
      </w:r>
      <w:r>
        <w:rPr>
          <w:spacing w:val="-3"/>
        </w:rPr>
        <w:t xml:space="preserve"> </w:t>
      </w:r>
      <w:r>
        <w:t>vivienda</w:t>
      </w:r>
      <w:r>
        <w:rPr>
          <w:spacing w:val="-4"/>
        </w:rPr>
        <w:t xml:space="preserve"> </w:t>
      </w:r>
      <w:r>
        <w:t>basadas</w:t>
      </w:r>
      <w:r>
        <w:rPr>
          <w:spacing w:val="-4"/>
        </w:rPr>
        <w:t xml:space="preserve"> </w:t>
      </w:r>
      <w:r>
        <w:t>en</w:t>
      </w:r>
      <w:r>
        <w:rPr>
          <w:spacing w:val="-4"/>
        </w:rPr>
        <w:t xml:space="preserve"> </w:t>
      </w:r>
      <w:r>
        <w:t>la</w:t>
      </w:r>
      <w:r>
        <w:rPr>
          <w:spacing w:val="-4"/>
        </w:rPr>
        <w:t xml:space="preserve"> </w:t>
      </w:r>
      <w:r>
        <w:t>comunidad</w:t>
      </w:r>
      <w:r>
        <w:rPr>
          <w:spacing w:val="-4"/>
        </w:rPr>
        <w:t xml:space="preserve"> </w:t>
      </w:r>
      <w:r>
        <w:t>para</w:t>
      </w:r>
      <w:r>
        <w:rPr>
          <w:spacing w:val="-4"/>
        </w:rPr>
        <w:t xml:space="preserve"> </w:t>
      </w:r>
      <w:r>
        <w:t>las</w:t>
      </w:r>
      <w:r>
        <w:rPr>
          <w:spacing w:val="-4"/>
        </w:rPr>
        <w:t xml:space="preserve"> </w:t>
      </w:r>
      <w:r>
        <w:t>personas</w:t>
      </w:r>
      <w:r>
        <w:rPr>
          <w:spacing w:val="-4"/>
        </w:rPr>
        <w:t xml:space="preserve"> </w:t>
      </w:r>
      <w:r>
        <w:t>con</w:t>
      </w:r>
      <w:r>
        <w:rPr>
          <w:spacing w:val="-3"/>
        </w:rPr>
        <w:t xml:space="preserve"> </w:t>
      </w:r>
      <w:r>
        <w:t>discapacidad.</w:t>
      </w:r>
    </w:p>
    <w:p w:rsidR="007A0A6C" w:rsidRDefault="00660E26">
      <w:pPr>
        <w:pStyle w:val="ListParagraph"/>
        <w:numPr>
          <w:ilvl w:val="1"/>
          <w:numId w:val="10"/>
        </w:numPr>
        <w:tabs>
          <w:tab w:val="left" w:pos="1085"/>
        </w:tabs>
        <w:spacing w:before="126" w:line="244" w:lineRule="auto"/>
        <w:ind w:right="438" w:hanging="180"/>
      </w:pPr>
      <w:r>
        <w:t>Incremente significativamente la oferta, asequibilidad y accesibilidad a la vivienda pública y social, para garantizar que las personas con discapacidad tengan un mayor nivel de independencia y libertad.</w:t>
      </w:r>
    </w:p>
    <w:p w:rsidR="007A0A6C" w:rsidRDefault="00660E26">
      <w:pPr>
        <w:pStyle w:val="ListParagraph"/>
        <w:numPr>
          <w:ilvl w:val="1"/>
          <w:numId w:val="10"/>
        </w:numPr>
        <w:tabs>
          <w:tab w:val="left" w:pos="1085"/>
        </w:tabs>
        <w:spacing w:before="122" w:line="244" w:lineRule="auto"/>
        <w:ind w:right="377" w:hanging="180"/>
      </w:pPr>
      <w:r>
        <w:t>Permita a las personas con discapacidad controlar los recursos que necesitan para vivir con dignidad en la comunidad, que garanticen que las personas con discapacidad puedan elegir dónde y con quién desean</w:t>
      </w:r>
      <w:r>
        <w:rPr>
          <w:spacing w:val="-3"/>
        </w:rPr>
        <w:t xml:space="preserve"> </w:t>
      </w:r>
      <w:r>
        <w:t>vivir.</w:t>
      </w:r>
    </w:p>
    <w:p w:rsidR="007A0A6C" w:rsidRDefault="007A0A6C">
      <w:pPr>
        <w:spacing w:line="244" w:lineRule="auto"/>
        <w:sectPr w:rsidR="007A0A6C">
          <w:pgSz w:w="11910" w:h="16840"/>
          <w:pgMar w:top="700" w:right="440" w:bottom="540" w:left="380" w:header="0" w:footer="343" w:gutter="0"/>
          <w:cols w:space="720"/>
        </w:sectPr>
      </w:pPr>
    </w:p>
    <w:p w:rsidR="007A0A6C" w:rsidRDefault="00660E26">
      <w:pPr>
        <w:pStyle w:val="Heading1"/>
        <w:tabs>
          <w:tab w:val="left" w:pos="10805"/>
        </w:tabs>
        <w:spacing w:before="84"/>
      </w:pPr>
      <w:bookmarkStart w:id="67" w:name="Movilidad_personal_(artículo_20)"/>
      <w:bookmarkStart w:id="68" w:name="_bookmark21"/>
      <w:bookmarkEnd w:id="67"/>
      <w:bookmarkEnd w:id="68"/>
      <w:r>
        <w:rPr>
          <w:color w:val="FFFFFF"/>
          <w:spacing w:val="-59"/>
          <w:shd w:val="clear" w:color="auto" w:fill="B31D30"/>
        </w:rPr>
        <w:lastRenderedPageBreak/>
        <w:t xml:space="preserve"> </w:t>
      </w:r>
      <w:bookmarkStart w:id="69" w:name="_Toc15026992"/>
      <w:bookmarkStart w:id="70" w:name="_Toc15027132"/>
      <w:r>
        <w:rPr>
          <w:color w:val="FFFFFF"/>
          <w:shd w:val="clear" w:color="auto" w:fill="B31D30"/>
        </w:rPr>
        <w:t>Movilidad personal (artículo</w:t>
      </w:r>
      <w:r>
        <w:rPr>
          <w:color w:val="FFFFFF"/>
          <w:spacing w:val="-29"/>
          <w:shd w:val="clear" w:color="auto" w:fill="B31D30"/>
        </w:rPr>
        <w:t xml:space="preserve"> </w:t>
      </w:r>
      <w:r>
        <w:rPr>
          <w:color w:val="FFFFFF"/>
          <w:spacing w:val="-3"/>
          <w:shd w:val="clear" w:color="auto" w:fill="B31D30"/>
        </w:rPr>
        <w:t>20)</w:t>
      </w:r>
      <w:bookmarkEnd w:id="69"/>
      <w:bookmarkEnd w:id="70"/>
      <w:r>
        <w:rPr>
          <w:color w:val="FFFFFF"/>
          <w:spacing w:val="-3"/>
          <w:shd w:val="clear" w:color="auto" w:fill="B31D30"/>
        </w:rPr>
        <w:tab/>
      </w:r>
    </w:p>
    <w:p w:rsidR="007A0A6C" w:rsidRDefault="00660E26">
      <w:pPr>
        <w:pStyle w:val="BodyText"/>
        <w:spacing w:before="182" w:line="247" w:lineRule="auto"/>
        <w:ind w:right="935"/>
      </w:pPr>
      <w:r>
        <w:t>La implementación del NDIS está haciendo mejoras para que algunos participantes del NDIS obtengan la ayuda y los equipos de movilidad y accesibilidad; sin embargo, se carece de uniformidad en este proceso.</w:t>
      </w:r>
    </w:p>
    <w:p w:rsidR="007A0A6C" w:rsidRDefault="00660E26">
      <w:pPr>
        <w:pStyle w:val="BodyText"/>
        <w:spacing w:before="138" w:line="247" w:lineRule="auto"/>
        <w:ind w:right="801"/>
      </w:pPr>
      <w:r>
        <w:t>Si bien las personas indígenas con discapacidad [que viven] en áreas remotas y que acceden al NDIS pueden recurrir a ayudas y equipos, no hay un reconocimiento de los obstáculos estructurales más amplios que pueden impedir el uso de dichos equipos, tales como viviendas inaccesibles, falta de veredas, falta de servicios, y</w:t>
      </w:r>
      <w:r>
        <w:rPr>
          <w:spacing w:val="-7"/>
        </w:rPr>
        <w:t xml:space="preserve"> </w:t>
      </w:r>
      <w:r>
        <w:t>aislamiento.</w:t>
      </w:r>
    </w:p>
    <w:p w:rsidR="007A0A6C" w:rsidRDefault="00660E26">
      <w:pPr>
        <w:pStyle w:val="BodyText"/>
        <w:spacing w:before="138" w:line="247" w:lineRule="auto"/>
        <w:ind w:right="430"/>
        <w:rPr>
          <w:sz w:val="13"/>
        </w:rPr>
      </w:pPr>
      <w:r>
        <w:t>Más del 50 % de las personas con discapacidad manifiestan que tienen dificultad para moverse en toda Australia y a nivel internacional debido a su discapacidad.</w:t>
      </w:r>
      <w:r>
        <w:rPr>
          <w:position w:val="7"/>
          <w:sz w:val="13"/>
        </w:rPr>
        <w:t xml:space="preserve">185 </w:t>
      </w:r>
      <w:r>
        <w:t>Existen límites con relación al período durante el cual una persona puede viajar al exterior y mantener la Pensión de apoyo por discapacidad (DSP). Solo un tercio de las personas con discapacidad pueden acceder tanto a los espacios públicos como a los espacios privados que</w:t>
      </w:r>
      <w:r>
        <w:rPr>
          <w:spacing w:val="-13"/>
        </w:rPr>
        <w:t xml:space="preserve"> </w:t>
      </w:r>
      <w:r>
        <w:t>deseen.</w:t>
      </w:r>
      <w:r>
        <w:rPr>
          <w:position w:val="7"/>
          <w:sz w:val="13"/>
        </w:rPr>
        <w:t>186</w:t>
      </w:r>
    </w:p>
    <w:p w:rsidR="007A0A6C" w:rsidRDefault="00660E26">
      <w:pPr>
        <w:pStyle w:val="Heading2"/>
        <w:tabs>
          <w:tab w:val="left" w:pos="10805"/>
        </w:tabs>
      </w:pPr>
      <w:r>
        <w:rPr>
          <w:color w:val="FFFFFF"/>
          <w:spacing w:val="-37"/>
          <w:shd w:val="clear" w:color="auto" w:fill="4C418E"/>
        </w:rPr>
        <w:t xml:space="preserve"> </w:t>
      </w:r>
      <w:r>
        <w:rPr>
          <w:color w:val="FFFFFF"/>
          <w:shd w:val="clear" w:color="auto" w:fill="4C418E"/>
        </w:rPr>
        <w:t>Recomendaciones</w:t>
      </w:r>
      <w:r>
        <w:rPr>
          <w:color w:val="FFFFFF"/>
          <w:shd w:val="clear" w:color="auto" w:fill="4C418E"/>
        </w:rPr>
        <w:tab/>
      </w:r>
    </w:p>
    <w:p w:rsidR="007A0A6C" w:rsidRDefault="00660E26">
      <w:pPr>
        <w:pStyle w:val="BodyText"/>
        <w:spacing w:before="178"/>
        <w:ind w:left="340"/>
      </w:pPr>
      <w:r>
        <w:t>Que Australia:</w:t>
      </w:r>
    </w:p>
    <w:p w:rsidR="007A0A6C" w:rsidRDefault="00660E26">
      <w:pPr>
        <w:pStyle w:val="ListParagraph"/>
        <w:numPr>
          <w:ilvl w:val="1"/>
          <w:numId w:val="10"/>
        </w:numPr>
        <w:tabs>
          <w:tab w:val="left" w:pos="1085"/>
        </w:tabs>
        <w:spacing w:before="89" w:line="244" w:lineRule="auto"/>
        <w:ind w:right="353" w:hanging="180"/>
      </w:pPr>
      <w:r>
        <w:t>En colaboración con las personas indígenas con discapacidad, sus organizaciones representativas y comunidades, elabore soluciones pertinentes a nivel local para abordar los obstáculos estructurales subyacentes que puedan impedir el uso de ayuda y equipos en áreas</w:t>
      </w:r>
      <w:r>
        <w:rPr>
          <w:spacing w:val="-34"/>
        </w:rPr>
        <w:t xml:space="preserve"> </w:t>
      </w:r>
      <w:r>
        <w:t>remotas.</w:t>
      </w:r>
    </w:p>
    <w:p w:rsidR="007A0A6C" w:rsidRDefault="00660E26">
      <w:pPr>
        <w:pStyle w:val="ListParagraph"/>
        <w:numPr>
          <w:ilvl w:val="1"/>
          <w:numId w:val="10"/>
        </w:numPr>
        <w:tabs>
          <w:tab w:val="left" w:pos="1085"/>
        </w:tabs>
        <w:spacing w:before="122" w:line="242" w:lineRule="auto"/>
        <w:ind w:right="720" w:hanging="180"/>
      </w:pPr>
      <w:r>
        <w:t>Modifique las restricciones a los viajes internacionales para las personas con discapacidad que tienen una</w:t>
      </w:r>
      <w:r>
        <w:rPr>
          <w:spacing w:val="-2"/>
        </w:rPr>
        <w:t xml:space="preserve"> </w:t>
      </w:r>
      <w:r>
        <w:rPr>
          <w:spacing w:val="-8"/>
        </w:rPr>
        <w:t>DSP.</w:t>
      </w:r>
    </w:p>
    <w:p w:rsidR="007A0A6C" w:rsidRDefault="007A0A6C">
      <w:pPr>
        <w:spacing w:line="242" w:lineRule="auto"/>
        <w:sectPr w:rsidR="007A0A6C">
          <w:pgSz w:w="11910" w:h="16840"/>
          <w:pgMar w:top="620" w:right="440" w:bottom="540" w:left="380" w:header="0" w:footer="343" w:gutter="0"/>
          <w:cols w:space="720"/>
        </w:sectPr>
      </w:pPr>
    </w:p>
    <w:p w:rsidR="007A0A6C" w:rsidRDefault="004638C1">
      <w:pPr>
        <w:pStyle w:val="BodyText"/>
        <w:ind w:left="340"/>
        <w:rPr>
          <w:sz w:val="20"/>
        </w:rPr>
      </w:pPr>
      <w:r>
        <w:rPr>
          <w:sz w:val="20"/>
        </w:rPr>
      </w:r>
      <w:r>
        <w:rPr>
          <w:sz w:val="20"/>
        </w:rPr>
        <w:pict>
          <v:shape id="_x0000_s1029" type="#_x0000_t202" alt="" style="width:523.3pt;height:57.2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b31d30" stroked="f">
            <v:textbox inset="0,0,0,0">
              <w:txbxContent>
                <w:p w:rsidR="007A0A6C" w:rsidRDefault="00660E26">
                  <w:pPr>
                    <w:spacing w:before="38" w:line="230" w:lineRule="auto"/>
                    <w:ind w:left="60" w:right="395"/>
                    <w:rPr>
                      <w:rFonts w:ascii="Raleway-SemiBold" w:hAnsi="Raleway-SemiBold"/>
                      <w:b/>
                      <w:sz w:val="48"/>
                    </w:rPr>
                  </w:pPr>
                  <w:bookmarkStart w:id="71" w:name="Libertad_de_expresión_y_de_opinión_y_acc"/>
                  <w:bookmarkStart w:id="72" w:name="_bookmark22"/>
                  <w:bookmarkEnd w:id="71"/>
                  <w:bookmarkEnd w:id="72"/>
                  <w:r>
                    <w:rPr>
                      <w:rFonts w:ascii="Raleway-SemiBold" w:hAnsi="Raleway-SemiBold"/>
                      <w:b/>
                      <w:color w:val="FFFFFF"/>
                      <w:sz w:val="48"/>
                    </w:rPr>
                    <w:t>Libertad de expresión y de opinión y acceso a la información (artículo 21)</w:t>
                  </w:r>
                </w:p>
              </w:txbxContent>
            </v:textbox>
            <w10:anchorlock/>
          </v:shape>
        </w:pict>
      </w:r>
    </w:p>
    <w:p w:rsidR="007A0A6C" w:rsidRDefault="00660E26">
      <w:pPr>
        <w:pStyle w:val="BodyText"/>
        <w:tabs>
          <w:tab w:val="left" w:pos="1059"/>
        </w:tabs>
        <w:spacing w:before="117"/>
        <w:ind w:left="340"/>
      </w:pPr>
      <w:r>
        <w:t>23(a)</w:t>
      </w:r>
      <w:r>
        <w:tab/>
        <w:t>Australia no reconoce la lengua de señas australiana (Auslan) como lengua</w:t>
      </w:r>
      <w:r>
        <w:rPr>
          <w:spacing w:val="-15"/>
        </w:rPr>
        <w:t xml:space="preserve"> </w:t>
      </w:r>
      <w:r>
        <w:t>nacional.</w:t>
      </w:r>
    </w:p>
    <w:p w:rsidR="007A0A6C" w:rsidRDefault="00660E26">
      <w:pPr>
        <w:pStyle w:val="BodyText"/>
        <w:tabs>
          <w:tab w:val="left" w:pos="1059"/>
        </w:tabs>
        <w:spacing w:before="107" w:line="247" w:lineRule="auto"/>
        <w:ind w:right="492" w:hanging="720"/>
      </w:pPr>
      <w:r>
        <w:t>23(b)</w:t>
      </w:r>
      <w:r>
        <w:tab/>
        <w:t>No existen Normas de Comunicación e Información que exijan que la información sea totalmente accesible.</w:t>
      </w:r>
      <w:r>
        <w:rPr>
          <w:position w:val="7"/>
          <w:sz w:val="13"/>
        </w:rPr>
        <w:t xml:space="preserve">187 </w:t>
      </w:r>
      <w:r>
        <w:t>No hay normas mínimas obligatorias para las organizaciones del sector público y gubernamental para garantizar el acceso y el uso de la web,</w:t>
      </w:r>
      <w:r>
        <w:rPr>
          <w:position w:val="7"/>
          <w:sz w:val="13"/>
        </w:rPr>
        <w:t xml:space="preserve">188 </w:t>
      </w:r>
      <w:r>
        <w:t>y para que se brinde información y servicios accesibles al</w:t>
      </w:r>
      <w:r>
        <w:rPr>
          <w:spacing w:val="-3"/>
        </w:rPr>
        <w:t xml:space="preserve"> </w:t>
      </w:r>
      <w:r>
        <w:t>público.</w:t>
      </w:r>
    </w:p>
    <w:p w:rsidR="007A0A6C" w:rsidRDefault="00660E26">
      <w:pPr>
        <w:pStyle w:val="BodyText"/>
        <w:tabs>
          <w:tab w:val="left" w:pos="1059"/>
        </w:tabs>
        <w:spacing w:before="97" w:line="247" w:lineRule="auto"/>
        <w:ind w:right="512" w:hanging="720"/>
      </w:pPr>
      <w:r>
        <w:t>23(c)</w:t>
      </w:r>
      <w:r>
        <w:tab/>
        <w:t>Muchas personas con discapacidad no pueden gozar de la libertad de expresión y opinión debido a</w:t>
      </w:r>
      <w:r>
        <w:rPr>
          <w:spacing w:val="-3"/>
        </w:rPr>
        <w:t xml:space="preserve"> </w:t>
      </w:r>
      <w:r>
        <w:t>la</w:t>
      </w:r>
      <w:r>
        <w:rPr>
          <w:spacing w:val="-3"/>
        </w:rPr>
        <w:t xml:space="preserve"> </w:t>
      </w:r>
      <w:r>
        <w:t>carencia</w:t>
      </w:r>
      <w:r>
        <w:rPr>
          <w:spacing w:val="-2"/>
        </w:rPr>
        <w:t xml:space="preserve"> </w:t>
      </w:r>
      <w:r>
        <w:t>de</w:t>
      </w:r>
      <w:r>
        <w:rPr>
          <w:spacing w:val="-3"/>
        </w:rPr>
        <w:t xml:space="preserve"> </w:t>
      </w:r>
      <w:r>
        <w:t>apoyos</w:t>
      </w:r>
      <w:r>
        <w:rPr>
          <w:spacing w:val="-3"/>
        </w:rPr>
        <w:t xml:space="preserve"> </w:t>
      </w:r>
      <w:r>
        <w:t>de</w:t>
      </w:r>
      <w:r>
        <w:rPr>
          <w:spacing w:val="-2"/>
        </w:rPr>
        <w:t xml:space="preserve"> </w:t>
      </w:r>
      <w:r>
        <w:t>comunicación,</w:t>
      </w:r>
      <w:r>
        <w:rPr>
          <w:spacing w:val="-2"/>
        </w:rPr>
        <w:t xml:space="preserve"> </w:t>
      </w:r>
      <w:r>
        <w:t>y</w:t>
      </w:r>
      <w:r>
        <w:rPr>
          <w:spacing w:val="-2"/>
        </w:rPr>
        <w:t xml:space="preserve"> </w:t>
      </w:r>
      <w:r>
        <w:t>al</w:t>
      </w:r>
      <w:r>
        <w:rPr>
          <w:spacing w:val="-3"/>
        </w:rPr>
        <w:t xml:space="preserve"> </w:t>
      </w:r>
      <w:r>
        <w:t>acceso</w:t>
      </w:r>
      <w:r>
        <w:rPr>
          <w:spacing w:val="-3"/>
        </w:rPr>
        <w:t xml:space="preserve"> </w:t>
      </w:r>
      <w:r>
        <w:t>desigual</w:t>
      </w:r>
      <w:r>
        <w:rPr>
          <w:spacing w:val="-3"/>
        </w:rPr>
        <w:t xml:space="preserve"> </w:t>
      </w:r>
      <w:r>
        <w:t>a</w:t>
      </w:r>
      <w:r>
        <w:rPr>
          <w:spacing w:val="-2"/>
        </w:rPr>
        <w:t xml:space="preserve"> </w:t>
      </w:r>
      <w:r>
        <w:t>la</w:t>
      </w:r>
      <w:r>
        <w:rPr>
          <w:spacing w:val="-3"/>
        </w:rPr>
        <w:t xml:space="preserve"> </w:t>
      </w:r>
      <w:r>
        <w:t>información.</w:t>
      </w:r>
      <w:r>
        <w:rPr>
          <w:spacing w:val="-3"/>
        </w:rPr>
        <w:t xml:space="preserve"> </w:t>
      </w:r>
      <w:r>
        <w:t>Un</w:t>
      </w:r>
      <w:r>
        <w:rPr>
          <w:spacing w:val="-3"/>
        </w:rPr>
        <w:t xml:space="preserve"> </w:t>
      </w:r>
      <w:r>
        <w:t>67</w:t>
      </w:r>
      <w:r>
        <w:rPr>
          <w:spacing w:val="-3"/>
        </w:rPr>
        <w:t xml:space="preserve"> </w:t>
      </w:r>
      <w:r>
        <w:t>%</w:t>
      </w:r>
      <w:r>
        <w:rPr>
          <w:spacing w:val="-2"/>
        </w:rPr>
        <w:t xml:space="preserve"> </w:t>
      </w:r>
      <w:r>
        <w:t>de</w:t>
      </w:r>
      <w:r>
        <w:rPr>
          <w:spacing w:val="-3"/>
        </w:rPr>
        <w:t xml:space="preserve"> </w:t>
      </w:r>
      <w:r>
        <w:t>las</w:t>
      </w:r>
    </w:p>
    <w:p w:rsidR="007A0A6C" w:rsidRDefault="00660E26">
      <w:pPr>
        <w:pStyle w:val="BodyText"/>
        <w:spacing w:line="247" w:lineRule="auto"/>
        <w:ind w:right="275"/>
        <w:rPr>
          <w:sz w:val="13"/>
        </w:rPr>
      </w:pPr>
      <w:r>
        <w:t>personas con discapacidad manifiestan que la información gubernamental es inaccesible o difícil de comprender.</w:t>
      </w:r>
      <w:r>
        <w:rPr>
          <w:position w:val="7"/>
          <w:sz w:val="13"/>
        </w:rPr>
        <w:t>189</w:t>
      </w:r>
    </w:p>
    <w:p w:rsidR="007A0A6C" w:rsidRDefault="00660E26">
      <w:pPr>
        <w:pStyle w:val="Heading2"/>
        <w:tabs>
          <w:tab w:val="left" w:pos="10805"/>
        </w:tabs>
        <w:spacing w:before="168"/>
      </w:pPr>
      <w:r>
        <w:rPr>
          <w:color w:val="FFFFFF"/>
          <w:spacing w:val="-37"/>
          <w:shd w:val="clear" w:color="auto" w:fill="4C418E"/>
        </w:rPr>
        <w:t xml:space="preserve"> </w:t>
      </w:r>
      <w:r>
        <w:rPr>
          <w:color w:val="FFFFFF"/>
          <w:shd w:val="clear" w:color="auto" w:fill="4C418E"/>
        </w:rPr>
        <w:t>Recomendaciones</w:t>
      </w:r>
      <w:r>
        <w:rPr>
          <w:color w:val="FFFFFF"/>
          <w:shd w:val="clear" w:color="auto" w:fill="4C418E"/>
        </w:rPr>
        <w:tab/>
      </w:r>
    </w:p>
    <w:p w:rsidR="007A0A6C" w:rsidRDefault="00660E26">
      <w:pPr>
        <w:pStyle w:val="BodyText"/>
        <w:spacing w:before="179"/>
        <w:ind w:left="340"/>
      </w:pPr>
      <w:r>
        <w:t>Que Australia:</w:t>
      </w:r>
    </w:p>
    <w:p w:rsidR="007A0A6C" w:rsidRDefault="00660E26">
      <w:pPr>
        <w:pStyle w:val="ListParagraph"/>
        <w:numPr>
          <w:ilvl w:val="1"/>
          <w:numId w:val="10"/>
        </w:numPr>
        <w:tabs>
          <w:tab w:val="left" w:pos="1085"/>
        </w:tabs>
        <w:spacing w:before="88" w:line="242" w:lineRule="auto"/>
        <w:ind w:right="389" w:hanging="180"/>
      </w:pPr>
      <w:r>
        <w:t>Actúe</w:t>
      </w:r>
      <w:r>
        <w:rPr>
          <w:spacing w:val="-3"/>
        </w:rPr>
        <w:t xml:space="preserve"> </w:t>
      </w:r>
      <w:r>
        <w:t>para</w:t>
      </w:r>
      <w:r>
        <w:rPr>
          <w:spacing w:val="-4"/>
        </w:rPr>
        <w:t xml:space="preserve"> </w:t>
      </w:r>
      <w:r>
        <w:t>garantizar</w:t>
      </w:r>
      <w:r>
        <w:rPr>
          <w:spacing w:val="-3"/>
        </w:rPr>
        <w:t xml:space="preserve"> </w:t>
      </w:r>
      <w:r>
        <w:t>que</w:t>
      </w:r>
      <w:r>
        <w:rPr>
          <w:spacing w:val="-4"/>
        </w:rPr>
        <w:t xml:space="preserve"> </w:t>
      </w:r>
      <w:r>
        <w:t>se</w:t>
      </w:r>
      <w:r>
        <w:rPr>
          <w:spacing w:val="-2"/>
        </w:rPr>
        <w:t xml:space="preserve"> </w:t>
      </w:r>
      <w:r>
        <w:t>reconozca</w:t>
      </w:r>
      <w:r>
        <w:rPr>
          <w:spacing w:val="-3"/>
        </w:rPr>
        <w:t xml:space="preserve"> </w:t>
      </w:r>
      <w:r>
        <w:t>la</w:t>
      </w:r>
      <w:r>
        <w:rPr>
          <w:spacing w:val="-14"/>
        </w:rPr>
        <w:t xml:space="preserve"> </w:t>
      </w:r>
      <w:r>
        <w:t>Auslan</w:t>
      </w:r>
      <w:r>
        <w:rPr>
          <w:spacing w:val="-2"/>
        </w:rPr>
        <w:t xml:space="preserve"> </w:t>
      </w:r>
      <w:r>
        <w:t>como</w:t>
      </w:r>
      <w:r>
        <w:rPr>
          <w:spacing w:val="-3"/>
        </w:rPr>
        <w:t xml:space="preserve"> </w:t>
      </w:r>
      <w:r>
        <w:t>lengua</w:t>
      </w:r>
      <w:r>
        <w:rPr>
          <w:spacing w:val="-3"/>
        </w:rPr>
        <w:t xml:space="preserve"> </w:t>
      </w:r>
      <w:r>
        <w:t>nacional</w:t>
      </w:r>
      <w:r>
        <w:rPr>
          <w:spacing w:val="-4"/>
        </w:rPr>
        <w:t xml:space="preserve"> </w:t>
      </w:r>
      <w:r>
        <w:t>y</w:t>
      </w:r>
      <w:r>
        <w:rPr>
          <w:spacing w:val="-2"/>
        </w:rPr>
        <w:t xml:space="preserve"> </w:t>
      </w:r>
      <w:r>
        <w:t>que</w:t>
      </w:r>
      <w:r>
        <w:rPr>
          <w:spacing w:val="-4"/>
        </w:rPr>
        <w:t xml:space="preserve"> </w:t>
      </w:r>
      <w:r>
        <w:t>los</w:t>
      </w:r>
      <w:r>
        <w:rPr>
          <w:spacing w:val="-3"/>
        </w:rPr>
        <w:t xml:space="preserve"> </w:t>
      </w:r>
      <w:r>
        <w:t>derechos</w:t>
      </w:r>
      <w:r>
        <w:rPr>
          <w:spacing w:val="-4"/>
        </w:rPr>
        <w:t xml:space="preserve"> </w:t>
      </w:r>
      <w:r>
        <w:t>de</w:t>
      </w:r>
      <w:r>
        <w:rPr>
          <w:spacing w:val="-3"/>
        </w:rPr>
        <w:t xml:space="preserve"> </w:t>
      </w:r>
      <w:r>
        <w:t>las personas sordas sean legalmente reconocidos para utilizar la</w:t>
      </w:r>
      <w:r>
        <w:rPr>
          <w:spacing w:val="-20"/>
        </w:rPr>
        <w:t xml:space="preserve"> </w:t>
      </w:r>
      <w:r>
        <w:t>Auslan.</w:t>
      </w:r>
    </w:p>
    <w:p w:rsidR="007A0A6C" w:rsidRDefault="00660E26">
      <w:pPr>
        <w:pStyle w:val="ListParagraph"/>
        <w:numPr>
          <w:ilvl w:val="1"/>
          <w:numId w:val="10"/>
        </w:numPr>
        <w:tabs>
          <w:tab w:val="left" w:pos="1085"/>
        </w:tabs>
        <w:spacing w:before="126" w:line="242" w:lineRule="auto"/>
        <w:ind w:right="841" w:hanging="180"/>
      </w:pPr>
      <w:r>
        <w:t>Elabore Normas de Información y Comunicación que exijan que la información sea totalmente accesible y que los apoyos para la comunicación estén habitualmente</w:t>
      </w:r>
      <w:r>
        <w:rPr>
          <w:spacing w:val="-25"/>
        </w:rPr>
        <w:t xml:space="preserve"> </w:t>
      </w:r>
      <w:r>
        <w:t>disponibles.</w:t>
      </w:r>
    </w:p>
    <w:p w:rsidR="007A0A6C" w:rsidRDefault="00660E26">
      <w:pPr>
        <w:pStyle w:val="ListParagraph"/>
        <w:numPr>
          <w:ilvl w:val="1"/>
          <w:numId w:val="10"/>
        </w:numPr>
        <w:tabs>
          <w:tab w:val="left" w:pos="1085"/>
        </w:tabs>
        <w:spacing w:before="125" w:line="242" w:lineRule="auto"/>
        <w:ind w:right="365" w:hanging="180"/>
      </w:pPr>
      <w:r>
        <w:t xml:space="preserve">Elabore una </w:t>
      </w:r>
      <w:r>
        <w:rPr>
          <w:i/>
        </w:rPr>
        <w:t xml:space="preserve">Ley sobre Escritura Sencilla </w:t>
      </w:r>
      <w:r>
        <w:t>que exija que las entidades gubernamentales utilicen una comunicación clara para que el público pueda</w:t>
      </w:r>
      <w:r>
        <w:rPr>
          <w:spacing w:val="-7"/>
        </w:rPr>
        <w:t xml:space="preserve"> </w:t>
      </w:r>
      <w:r>
        <w:t>comprenderla.</w:t>
      </w:r>
    </w:p>
    <w:p w:rsidR="007A0A6C" w:rsidRDefault="007A0A6C">
      <w:pPr>
        <w:spacing w:line="242" w:lineRule="auto"/>
        <w:sectPr w:rsidR="007A0A6C">
          <w:pgSz w:w="11910" w:h="16840"/>
          <w:pgMar w:top="700" w:right="440" w:bottom="540" w:left="380" w:header="0" w:footer="343" w:gutter="0"/>
          <w:cols w:space="720"/>
        </w:sectPr>
      </w:pPr>
    </w:p>
    <w:p w:rsidR="007A0A6C" w:rsidRDefault="00660E26">
      <w:pPr>
        <w:pStyle w:val="Heading1"/>
        <w:tabs>
          <w:tab w:val="left" w:pos="10805"/>
        </w:tabs>
      </w:pPr>
      <w:bookmarkStart w:id="73" w:name="Respeto_del_hogar_y_de_la_familia_(artíc"/>
      <w:bookmarkStart w:id="74" w:name="_bookmark23"/>
      <w:bookmarkEnd w:id="73"/>
      <w:bookmarkEnd w:id="74"/>
      <w:r>
        <w:rPr>
          <w:color w:val="FFFFFF"/>
          <w:spacing w:val="-59"/>
          <w:shd w:val="clear" w:color="auto" w:fill="B31D30"/>
        </w:rPr>
        <w:lastRenderedPageBreak/>
        <w:t xml:space="preserve"> </w:t>
      </w:r>
      <w:bookmarkStart w:id="75" w:name="_Toc15026993"/>
      <w:bookmarkStart w:id="76" w:name="_Toc15027133"/>
      <w:r>
        <w:rPr>
          <w:color w:val="FFFFFF"/>
          <w:spacing w:val="-3"/>
          <w:shd w:val="clear" w:color="auto" w:fill="B31D30"/>
        </w:rPr>
        <w:t xml:space="preserve">Respeto </w:t>
      </w:r>
      <w:r>
        <w:rPr>
          <w:color w:val="FFFFFF"/>
          <w:shd w:val="clear" w:color="auto" w:fill="B31D30"/>
        </w:rPr>
        <w:t>del hogar y de la familia (artículo</w:t>
      </w:r>
      <w:r>
        <w:rPr>
          <w:color w:val="FFFFFF"/>
          <w:spacing w:val="-50"/>
          <w:shd w:val="clear" w:color="auto" w:fill="B31D30"/>
        </w:rPr>
        <w:t xml:space="preserve"> </w:t>
      </w:r>
      <w:r>
        <w:rPr>
          <w:color w:val="FFFFFF"/>
          <w:shd w:val="clear" w:color="auto" w:fill="B31D30"/>
        </w:rPr>
        <w:t>23)</w:t>
      </w:r>
      <w:bookmarkEnd w:id="75"/>
      <w:bookmarkEnd w:id="76"/>
      <w:r>
        <w:rPr>
          <w:color w:val="FFFFFF"/>
          <w:shd w:val="clear" w:color="auto" w:fill="B31D30"/>
        </w:rPr>
        <w:tab/>
      </w:r>
    </w:p>
    <w:p w:rsidR="007A0A6C" w:rsidRDefault="00660E26">
      <w:pPr>
        <w:pStyle w:val="BodyText"/>
        <w:spacing w:before="181" w:line="247" w:lineRule="auto"/>
        <w:ind w:right="277"/>
        <w:rPr>
          <w:sz w:val="13"/>
        </w:rPr>
      </w:pPr>
      <w:r>
        <w:t>En Australia, un progenitor con discapacidad tiene diez veces más de probabilidades que otro progenitor sin discapacidad de que lo separen del cuidado de un hijo(a)</w:t>
      </w:r>
      <w:r>
        <w:rPr>
          <w:position w:val="7"/>
          <w:sz w:val="13"/>
        </w:rPr>
        <w:t>190</w:t>
      </w:r>
      <w:r>
        <w:t>, a menudo basándose en la discapacidad del progenitor, más que en la prueba de descuido o abuso.</w:t>
      </w:r>
      <w:r>
        <w:rPr>
          <w:position w:val="7"/>
          <w:sz w:val="13"/>
        </w:rPr>
        <w:t xml:space="preserve">191 </w:t>
      </w:r>
      <w:r>
        <w:t>En 2013, el Consejo Australiano de Entidades de los Derechos Humanos (ACHRA) recomendó que el Gobierno de Australia tome medidas urgentes sobre la discriminación contra los padres con discapacidad; sin embargo, esta recomendación no se ha implementado aún.</w:t>
      </w:r>
      <w:r>
        <w:rPr>
          <w:position w:val="7"/>
          <w:sz w:val="13"/>
        </w:rPr>
        <w:t>192</w:t>
      </w:r>
    </w:p>
    <w:p w:rsidR="007A0A6C" w:rsidRDefault="00660E26">
      <w:pPr>
        <w:pStyle w:val="BodyText"/>
        <w:spacing w:before="137" w:line="247" w:lineRule="auto"/>
        <w:ind w:right="495"/>
        <w:rPr>
          <w:sz w:val="13"/>
        </w:rPr>
      </w:pPr>
      <w:r>
        <w:t>Más de un 15 % de las personas con discapacidad dan cuenta de su dificultad para acceder a los servicios para ayudarlos a ejercer su rol paterno/materno.</w:t>
      </w:r>
      <w:r>
        <w:rPr>
          <w:position w:val="7"/>
          <w:sz w:val="13"/>
        </w:rPr>
        <w:t>193</w:t>
      </w:r>
    </w:p>
    <w:p w:rsidR="007A0A6C" w:rsidRDefault="00660E26">
      <w:pPr>
        <w:pStyle w:val="BodyText"/>
        <w:spacing w:before="139" w:line="247" w:lineRule="auto"/>
        <w:ind w:right="247"/>
        <w:rPr>
          <w:sz w:val="13"/>
        </w:rPr>
      </w:pPr>
      <w:r>
        <w:t>Las personas con discapacidad en Australia sufren violaciones graves a los derechos reproductivos y sexuales.</w:t>
      </w:r>
      <w:r>
        <w:rPr>
          <w:position w:val="7"/>
          <w:sz w:val="13"/>
        </w:rPr>
        <w:t xml:space="preserve">194 </w:t>
      </w:r>
      <w:r>
        <w:t>Las mujeres con discapacidad y las personas con discapacidad de la comunidad LGBTIQA+ sufren una importante discriminación para acceder a tecnologías de reproducción asistida.</w:t>
      </w:r>
      <w:r>
        <w:rPr>
          <w:position w:val="7"/>
          <w:sz w:val="13"/>
        </w:rPr>
        <w:t>195</w:t>
      </w:r>
    </w:p>
    <w:p w:rsidR="007A0A6C" w:rsidRDefault="00660E26">
      <w:pPr>
        <w:pStyle w:val="Heading2"/>
        <w:tabs>
          <w:tab w:val="left" w:pos="10805"/>
        </w:tabs>
      </w:pPr>
      <w:r>
        <w:rPr>
          <w:color w:val="FFFFFF"/>
          <w:spacing w:val="-37"/>
          <w:shd w:val="clear" w:color="auto" w:fill="4C418E"/>
        </w:rPr>
        <w:t xml:space="preserve"> </w:t>
      </w:r>
      <w:r>
        <w:rPr>
          <w:color w:val="FFFFFF"/>
          <w:shd w:val="clear" w:color="auto" w:fill="4C418E"/>
        </w:rPr>
        <w:t>Recomendaciones</w:t>
      </w:r>
      <w:r>
        <w:rPr>
          <w:color w:val="FFFFFF"/>
          <w:shd w:val="clear" w:color="auto" w:fill="4C418E"/>
        </w:rPr>
        <w:tab/>
      </w:r>
    </w:p>
    <w:p w:rsidR="007A0A6C" w:rsidRDefault="00660E26">
      <w:pPr>
        <w:pStyle w:val="BodyText"/>
        <w:spacing w:before="179"/>
        <w:ind w:left="340"/>
      </w:pPr>
      <w:r>
        <w:t>Que Australia:</w:t>
      </w:r>
    </w:p>
    <w:p w:rsidR="007A0A6C" w:rsidRDefault="007A0A6C">
      <w:pPr>
        <w:pStyle w:val="BodyText"/>
        <w:spacing w:before="7"/>
        <w:ind w:left="0"/>
        <w:rPr>
          <w:sz w:val="27"/>
        </w:rPr>
      </w:pPr>
    </w:p>
    <w:p w:rsidR="007A0A6C" w:rsidRDefault="00660E26">
      <w:pPr>
        <w:pStyle w:val="ListParagraph"/>
        <w:numPr>
          <w:ilvl w:val="1"/>
          <w:numId w:val="10"/>
        </w:numPr>
        <w:tabs>
          <w:tab w:val="left" w:pos="1085"/>
        </w:tabs>
        <w:spacing w:before="1" w:line="242" w:lineRule="auto"/>
        <w:ind w:right="463" w:hanging="180"/>
      </w:pPr>
      <w:r>
        <w:t>Encargue una encuesta nacional a nivel nacional sobre el entorno de apoyo social, político y legal que permite la separación de bebés y niños de padres con</w:t>
      </w:r>
      <w:r>
        <w:rPr>
          <w:spacing w:val="-16"/>
        </w:rPr>
        <w:t xml:space="preserve"> </w:t>
      </w:r>
      <w:r>
        <w:t>discapacidad.</w:t>
      </w:r>
    </w:p>
    <w:p w:rsidR="007A0A6C" w:rsidRDefault="00660E26">
      <w:pPr>
        <w:pStyle w:val="ListParagraph"/>
        <w:numPr>
          <w:ilvl w:val="1"/>
          <w:numId w:val="10"/>
        </w:numPr>
        <w:tabs>
          <w:tab w:val="left" w:pos="1085"/>
        </w:tabs>
        <w:spacing w:before="125" w:line="244" w:lineRule="auto"/>
        <w:ind w:right="574" w:hanging="180"/>
      </w:pPr>
      <w:r>
        <w:t>Actúe para garantizar que las mujeres con discapacidad y las personas con discapacidad de la comunidad LGBTIQA+ tengan acceso en condiciones de igualdad a tecnologías de reproducción asistida.</w:t>
      </w:r>
    </w:p>
    <w:p w:rsidR="007A0A6C" w:rsidRDefault="00660E26">
      <w:pPr>
        <w:pStyle w:val="ListParagraph"/>
        <w:numPr>
          <w:ilvl w:val="1"/>
          <w:numId w:val="10"/>
        </w:numPr>
        <w:tabs>
          <w:tab w:val="left" w:pos="1085"/>
        </w:tabs>
        <w:spacing w:before="123" w:line="244" w:lineRule="auto"/>
        <w:ind w:right="670" w:hanging="180"/>
      </w:pPr>
      <w:r>
        <w:t>Establezca medidas completas e intensivas para el apoyo familiar y a los progenitores con discapacidad, por género y cultura, que ayuden a mantener a los niños con sus padres y en sus propios hogares</w:t>
      </w:r>
      <w:r>
        <w:rPr>
          <w:spacing w:val="-3"/>
        </w:rPr>
        <w:t xml:space="preserve"> </w:t>
      </w:r>
      <w:r>
        <w:t>familiares.</w:t>
      </w:r>
    </w:p>
    <w:p w:rsidR="007A0A6C" w:rsidRDefault="007A0A6C">
      <w:pPr>
        <w:spacing w:line="244" w:lineRule="auto"/>
        <w:sectPr w:rsidR="007A0A6C">
          <w:pgSz w:w="11910" w:h="16840"/>
          <w:pgMar w:top="620" w:right="440" w:bottom="540" w:left="380" w:header="0" w:footer="343" w:gutter="0"/>
          <w:cols w:space="720"/>
        </w:sectPr>
      </w:pPr>
    </w:p>
    <w:p w:rsidR="007A0A6C" w:rsidRDefault="00660E26">
      <w:pPr>
        <w:pStyle w:val="Heading1"/>
        <w:tabs>
          <w:tab w:val="left" w:pos="10805"/>
        </w:tabs>
      </w:pPr>
      <w:bookmarkStart w:id="77" w:name="Educación_(artículo_24)"/>
      <w:bookmarkStart w:id="78" w:name="_bookmark24"/>
      <w:bookmarkEnd w:id="77"/>
      <w:bookmarkEnd w:id="78"/>
      <w:r>
        <w:rPr>
          <w:color w:val="FFFFFF"/>
          <w:spacing w:val="-59"/>
          <w:shd w:val="clear" w:color="auto" w:fill="B31D30"/>
        </w:rPr>
        <w:lastRenderedPageBreak/>
        <w:t xml:space="preserve"> </w:t>
      </w:r>
      <w:bookmarkStart w:id="79" w:name="_Toc15026994"/>
      <w:bookmarkStart w:id="80" w:name="_Toc15027134"/>
      <w:r>
        <w:rPr>
          <w:color w:val="FFFFFF"/>
          <w:shd w:val="clear" w:color="auto" w:fill="B31D30"/>
        </w:rPr>
        <w:t>Educación (artículo</w:t>
      </w:r>
      <w:r>
        <w:rPr>
          <w:color w:val="FFFFFF"/>
          <w:spacing w:val="-12"/>
          <w:shd w:val="clear" w:color="auto" w:fill="B31D30"/>
        </w:rPr>
        <w:t xml:space="preserve"> </w:t>
      </w:r>
      <w:r>
        <w:rPr>
          <w:color w:val="FFFFFF"/>
          <w:shd w:val="clear" w:color="auto" w:fill="B31D30"/>
        </w:rPr>
        <w:t>24)</w:t>
      </w:r>
      <w:bookmarkEnd w:id="79"/>
      <w:bookmarkEnd w:id="80"/>
      <w:r>
        <w:rPr>
          <w:color w:val="FFFFFF"/>
          <w:shd w:val="clear" w:color="auto" w:fill="B31D30"/>
        </w:rPr>
        <w:tab/>
      </w:r>
    </w:p>
    <w:p w:rsidR="007A0A6C" w:rsidRDefault="00660E26">
      <w:pPr>
        <w:pStyle w:val="ListParagraph"/>
        <w:numPr>
          <w:ilvl w:val="0"/>
          <w:numId w:val="9"/>
        </w:numPr>
        <w:tabs>
          <w:tab w:val="left" w:pos="1059"/>
          <w:tab w:val="left" w:pos="1060"/>
        </w:tabs>
        <w:spacing w:before="161" w:line="247" w:lineRule="auto"/>
        <w:ind w:right="450"/>
        <w:rPr>
          <w:sz w:val="13"/>
        </w:rPr>
      </w:pPr>
      <w:r>
        <w:t>No existen datos nacionales en cuanto a la suspensión, limitación o aislamiento de alumnos con discapacidad. Sin embargo, la base probatoria muestra índices alarmantes de acoso escolar (</w:t>
      </w:r>
      <w:r>
        <w:rPr>
          <w:i/>
        </w:rPr>
        <w:t>bullying</w:t>
      </w:r>
      <w:r>
        <w:t>) y de represión y aislamiento.</w:t>
      </w:r>
      <w:r>
        <w:rPr>
          <w:position w:val="7"/>
          <w:sz w:val="13"/>
        </w:rPr>
        <w:t xml:space="preserve">196 </w:t>
      </w:r>
      <w:r>
        <w:rPr>
          <w:color w:val="292B2C"/>
        </w:rPr>
        <w:t>Hay una cantidad cada vez mayor de incidentes que denuncian niños con discapacidad a quienes se los pone en ‘espacios de retiro’, que se suman de manera eficaz a la represión y al aislamiento en espacios cercados, jaulas o</w:t>
      </w:r>
      <w:r>
        <w:rPr>
          <w:color w:val="292B2C"/>
          <w:spacing w:val="-28"/>
        </w:rPr>
        <w:t xml:space="preserve"> </w:t>
      </w:r>
      <w:r>
        <w:rPr>
          <w:color w:val="292B2C"/>
        </w:rPr>
        <w:t>armarios.</w:t>
      </w:r>
      <w:r>
        <w:rPr>
          <w:color w:val="292B2C"/>
          <w:position w:val="7"/>
          <w:sz w:val="13"/>
        </w:rPr>
        <w:t>197</w:t>
      </w:r>
    </w:p>
    <w:p w:rsidR="007A0A6C" w:rsidRDefault="00660E26">
      <w:pPr>
        <w:pStyle w:val="ListParagraph"/>
        <w:numPr>
          <w:ilvl w:val="0"/>
          <w:numId w:val="9"/>
        </w:numPr>
        <w:tabs>
          <w:tab w:val="left" w:pos="1059"/>
          <w:tab w:val="left" w:pos="1060"/>
        </w:tabs>
        <w:spacing w:before="137" w:line="247" w:lineRule="auto"/>
        <w:ind w:right="436"/>
        <w:rPr>
          <w:sz w:val="13"/>
        </w:rPr>
      </w:pPr>
      <w:r>
        <w:t>No existe un marco legislativo o político para la educación inclusiva, que incluya Normas sobre Discapacidad para la Educación (2005) que cumpla cabalmente con el</w:t>
      </w:r>
      <w:r>
        <w:rPr>
          <w:spacing w:val="-47"/>
        </w:rPr>
        <w:t xml:space="preserve"> </w:t>
      </w:r>
      <w:r>
        <w:t>Artículo 24 y el Comentario General 4 de la</w:t>
      </w:r>
      <w:r>
        <w:rPr>
          <w:spacing w:val="-4"/>
        </w:rPr>
        <w:t xml:space="preserve"> </w:t>
      </w:r>
      <w:r>
        <w:t>CRPD.</w:t>
      </w:r>
      <w:r>
        <w:rPr>
          <w:position w:val="7"/>
          <w:sz w:val="13"/>
        </w:rPr>
        <w:t>198</w:t>
      </w:r>
    </w:p>
    <w:p w:rsidR="007A0A6C" w:rsidRDefault="00660E26">
      <w:pPr>
        <w:pStyle w:val="BodyText"/>
        <w:spacing w:before="139" w:line="247" w:lineRule="auto"/>
        <w:ind w:right="302"/>
        <w:rPr>
          <w:sz w:val="13"/>
        </w:rPr>
      </w:pPr>
      <w:r>
        <w:t>Las personas con discapacidad tienen niveles de logros educativos significativamente más bajos que aquellas sin discapacidad. Solo el 36 % de las personas con discapacidad entre 15 y 64 años terminan la educación secundaria en comparación con el 60 % de las personas sin discapacidad.</w:t>
      </w:r>
      <w:r>
        <w:rPr>
          <w:position w:val="7"/>
          <w:sz w:val="13"/>
        </w:rPr>
        <w:t xml:space="preserve">199 </w:t>
      </w:r>
      <w:r>
        <w:t>El 28 % de las personas en edad escolar con discapacidad no asiste a la escuela.</w:t>
      </w:r>
      <w:r>
        <w:rPr>
          <w:position w:val="7"/>
          <w:sz w:val="13"/>
        </w:rPr>
        <w:t>200</w:t>
      </w:r>
    </w:p>
    <w:p w:rsidR="007A0A6C" w:rsidRDefault="00660E26">
      <w:pPr>
        <w:pStyle w:val="BodyText"/>
        <w:spacing w:before="137" w:line="247" w:lineRule="auto"/>
      </w:pPr>
      <w:r>
        <w:t>Los alumnos con discapacidad habitualmente sufren de discriminación,</w:t>
      </w:r>
      <w:r>
        <w:rPr>
          <w:position w:val="7"/>
          <w:sz w:val="13"/>
        </w:rPr>
        <w:t xml:space="preserve">201 </w:t>
      </w:r>
      <w:r>
        <w:t>falta de apoyo, maestros inadecuadamente formados, carencia de experiencia y una arraigada cultura sistémica de bajas expectativas.</w:t>
      </w:r>
      <w:r>
        <w:rPr>
          <w:position w:val="7"/>
          <w:sz w:val="13"/>
        </w:rPr>
        <w:t xml:space="preserve">202 </w:t>
      </w:r>
      <w:r>
        <w:t>Aproximadamente 3 de cada 4 alumnos con discapacidad tienen dificultades en</w:t>
      </w:r>
    </w:p>
    <w:p w:rsidR="007A0A6C" w:rsidRDefault="00660E26">
      <w:pPr>
        <w:pStyle w:val="BodyText"/>
        <w:spacing w:line="247" w:lineRule="auto"/>
        <w:rPr>
          <w:sz w:val="13"/>
        </w:rPr>
      </w:pPr>
      <w:r>
        <w:t>la escuela y, esto se debe especialmente, a la [falta de] integración social, a las dificultades de comunicación y a las dificultades de aprendizaje.</w:t>
      </w:r>
      <w:r>
        <w:rPr>
          <w:position w:val="7"/>
          <w:sz w:val="13"/>
        </w:rPr>
        <w:t>203</w:t>
      </w:r>
    </w:p>
    <w:p w:rsidR="007A0A6C" w:rsidRDefault="00660E26">
      <w:pPr>
        <w:pStyle w:val="BodyText"/>
        <w:spacing w:before="138" w:line="247" w:lineRule="auto"/>
        <w:ind w:right="247"/>
        <w:rPr>
          <w:sz w:val="13"/>
        </w:rPr>
      </w:pPr>
      <w:r>
        <w:t>La tasa de retención hasta el Año 12 para los alumnos indígenas es significativamente menor que para los alumnos no indígenas.</w:t>
      </w:r>
      <w:r>
        <w:rPr>
          <w:position w:val="7"/>
          <w:sz w:val="13"/>
        </w:rPr>
        <w:t>204</w:t>
      </w:r>
    </w:p>
    <w:p w:rsidR="007A0A6C" w:rsidRDefault="00660E26">
      <w:pPr>
        <w:pStyle w:val="ListParagraph"/>
        <w:numPr>
          <w:ilvl w:val="0"/>
          <w:numId w:val="9"/>
        </w:numPr>
        <w:tabs>
          <w:tab w:val="left" w:pos="1059"/>
          <w:tab w:val="left" w:pos="1060"/>
        </w:tabs>
        <w:spacing w:before="138" w:line="247" w:lineRule="auto"/>
        <w:ind w:right="292"/>
      </w:pPr>
      <w:r>
        <w:t>La segregación de los alumnos con discapacidad ha aumentado de manera significativa en la última década, y hubo un cambio en cuanto a que los alumnos con discapacidad asisten a escuelas especiales</w:t>
      </w:r>
      <w:r>
        <w:rPr>
          <w:position w:val="7"/>
          <w:sz w:val="13"/>
        </w:rPr>
        <w:t xml:space="preserve">205 </w:t>
      </w:r>
      <w:r>
        <w:t>y no a las escuelas comunes. La cantidad de alumnos con discapacidad que</w:t>
      </w:r>
      <w:r>
        <w:rPr>
          <w:spacing w:val="-25"/>
        </w:rPr>
        <w:t xml:space="preserve"> </w:t>
      </w:r>
      <w:r>
        <w:t>asisten</w:t>
      </w:r>
    </w:p>
    <w:p w:rsidR="007A0A6C" w:rsidRDefault="00660E26">
      <w:pPr>
        <w:pStyle w:val="BodyText"/>
        <w:spacing w:line="247" w:lineRule="auto"/>
        <w:ind w:right="462"/>
        <w:jc w:val="both"/>
        <w:rPr>
          <w:sz w:val="13"/>
        </w:rPr>
      </w:pPr>
      <w:r>
        <w:t>a escuelas especiales aumentó un 35 % entre 2003 y 2015. Este aumento está respaldado por un incentivo de financiación, en el que un niño con discapacidad recibe mayor financiación si asiste a una escuela especial en lugar de a una escuela común.</w:t>
      </w:r>
      <w:r>
        <w:rPr>
          <w:position w:val="7"/>
          <w:sz w:val="13"/>
        </w:rPr>
        <w:t>206</w:t>
      </w:r>
    </w:p>
    <w:p w:rsidR="007A0A6C" w:rsidRDefault="00660E26">
      <w:pPr>
        <w:pStyle w:val="BodyText"/>
        <w:spacing w:before="137" w:line="247" w:lineRule="auto"/>
        <w:ind w:right="1046"/>
        <w:rPr>
          <w:sz w:val="13"/>
        </w:rPr>
      </w:pPr>
      <w:r>
        <w:t>En mayo de 2017, el Comité sobre Derechos Económicos, Sociales y Culturales expresó su preocupación acerca del aumento de la educación segregada y recomendó que Australia implemente medidas para garantizar que los niños con discapacidad tengan acceso a una educación inclusiva.</w:t>
      </w:r>
      <w:r>
        <w:rPr>
          <w:position w:val="7"/>
          <w:sz w:val="13"/>
        </w:rPr>
        <w:t>207</w:t>
      </w:r>
    </w:p>
    <w:p w:rsidR="007A0A6C" w:rsidRDefault="00660E26">
      <w:pPr>
        <w:pStyle w:val="BodyText"/>
        <w:spacing w:before="138" w:line="247" w:lineRule="auto"/>
        <w:ind w:right="263"/>
        <w:rPr>
          <w:sz w:val="13"/>
        </w:rPr>
      </w:pPr>
      <w:r>
        <w:t>Australia está intentando rechazar sus obligaciones para con los derechos humanos, al tratar de encontrar una explicación por parte del Comité “que los Estados Partes pueden ofrecer educación a través de clases o escuelas especializadas de conformidad con el artículo 24”.</w:t>
      </w:r>
      <w:r>
        <w:rPr>
          <w:position w:val="7"/>
          <w:sz w:val="13"/>
        </w:rPr>
        <w:t>208</w:t>
      </w:r>
    </w:p>
    <w:p w:rsidR="007A0A6C" w:rsidRDefault="00660E26">
      <w:pPr>
        <w:pStyle w:val="Heading2"/>
        <w:tabs>
          <w:tab w:val="left" w:pos="10805"/>
        </w:tabs>
        <w:spacing w:before="208"/>
      </w:pPr>
      <w:r>
        <w:rPr>
          <w:color w:val="FFFFFF"/>
          <w:spacing w:val="-37"/>
          <w:shd w:val="clear" w:color="auto" w:fill="4C418E"/>
        </w:rPr>
        <w:t xml:space="preserve"> </w:t>
      </w:r>
      <w:r>
        <w:rPr>
          <w:color w:val="FFFFFF"/>
          <w:shd w:val="clear" w:color="auto" w:fill="4C418E"/>
        </w:rPr>
        <w:t>Recomendaciones</w:t>
      </w:r>
      <w:r>
        <w:rPr>
          <w:color w:val="FFFFFF"/>
          <w:shd w:val="clear" w:color="auto" w:fill="4C418E"/>
        </w:rPr>
        <w:tab/>
      </w:r>
    </w:p>
    <w:p w:rsidR="007A0A6C" w:rsidRDefault="00660E26">
      <w:pPr>
        <w:pStyle w:val="BodyText"/>
        <w:spacing w:before="178"/>
        <w:ind w:left="340"/>
      </w:pPr>
      <w:r>
        <w:t>Que Australia:</w:t>
      </w:r>
    </w:p>
    <w:p w:rsidR="007A0A6C" w:rsidRDefault="00660E26">
      <w:pPr>
        <w:pStyle w:val="ListParagraph"/>
        <w:numPr>
          <w:ilvl w:val="1"/>
          <w:numId w:val="9"/>
        </w:numPr>
        <w:tabs>
          <w:tab w:val="left" w:pos="1085"/>
        </w:tabs>
        <w:spacing w:before="89" w:line="244" w:lineRule="auto"/>
        <w:ind w:right="511" w:hanging="180"/>
      </w:pPr>
      <w:r>
        <w:t>Formule un Plan de Acción para la Educación Inclusiva a nivel nacional que incluya un marco legislativo</w:t>
      </w:r>
      <w:r>
        <w:rPr>
          <w:spacing w:val="-4"/>
        </w:rPr>
        <w:t xml:space="preserve"> </w:t>
      </w:r>
      <w:r>
        <w:t>y</w:t>
      </w:r>
      <w:r>
        <w:rPr>
          <w:spacing w:val="-3"/>
        </w:rPr>
        <w:t xml:space="preserve"> </w:t>
      </w:r>
      <w:r>
        <w:t>político</w:t>
      </w:r>
      <w:r>
        <w:rPr>
          <w:spacing w:val="-4"/>
        </w:rPr>
        <w:t xml:space="preserve"> </w:t>
      </w:r>
      <w:r>
        <w:t>que</w:t>
      </w:r>
      <w:r>
        <w:rPr>
          <w:spacing w:val="-3"/>
        </w:rPr>
        <w:t xml:space="preserve"> </w:t>
      </w:r>
      <w:r>
        <w:t>cumpla</w:t>
      </w:r>
      <w:r>
        <w:rPr>
          <w:spacing w:val="-3"/>
        </w:rPr>
        <w:t xml:space="preserve"> </w:t>
      </w:r>
      <w:r>
        <w:t>absolutamente</w:t>
      </w:r>
      <w:r>
        <w:rPr>
          <w:spacing w:val="-4"/>
        </w:rPr>
        <w:t xml:space="preserve"> </w:t>
      </w:r>
      <w:r>
        <w:t>con</w:t>
      </w:r>
      <w:r>
        <w:rPr>
          <w:spacing w:val="-3"/>
        </w:rPr>
        <w:t xml:space="preserve"> </w:t>
      </w:r>
      <w:r>
        <w:t>el</w:t>
      </w:r>
      <w:r>
        <w:rPr>
          <w:spacing w:val="-14"/>
        </w:rPr>
        <w:t xml:space="preserve"> </w:t>
      </w:r>
      <w:r>
        <w:t>Artículo</w:t>
      </w:r>
      <w:r>
        <w:rPr>
          <w:spacing w:val="-3"/>
        </w:rPr>
        <w:t xml:space="preserve"> </w:t>
      </w:r>
      <w:r>
        <w:t>24</w:t>
      </w:r>
      <w:r>
        <w:rPr>
          <w:spacing w:val="-3"/>
        </w:rPr>
        <w:t xml:space="preserve"> </w:t>
      </w:r>
      <w:r>
        <w:t>y</w:t>
      </w:r>
      <w:r>
        <w:rPr>
          <w:spacing w:val="-3"/>
        </w:rPr>
        <w:t xml:space="preserve"> </w:t>
      </w:r>
      <w:r>
        <w:t>el</w:t>
      </w:r>
      <w:r>
        <w:rPr>
          <w:spacing w:val="-4"/>
        </w:rPr>
        <w:t xml:space="preserve"> </w:t>
      </w:r>
      <w:r>
        <w:t>Comentario</w:t>
      </w:r>
      <w:r>
        <w:rPr>
          <w:spacing w:val="-4"/>
        </w:rPr>
        <w:t xml:space="preserve"> </w:t>
      </w:r>
      <w:r>
        <w:t>General</w:t>
      </w:r>
      <w:r>
        <w:rPr>
          <w:spacing w:val="-2"/>
        </w:rPr>
        <w:t xml:space="preserve"> </w:t>
      </w:r>
      <w:r>
        <w:t>4</w:t>
      </w:r>
      <w:r>
        <w:rPr>
          <w:spacing w:val="-4"/>
        </w:rPr>
        <w:t xml:space="preserve"> </w:t>
      </w:r>
      <w:r>
        <w:t>de</w:t>
      </w:r>
      <w:r>
        <w:rPr>
          <w:spacing w:val="-4"/>
        </w:rPr>
        <w:t xml:space="preserve"> </w:t>
      </w:r>
      <w:r>
        <w:t>la CRPD.</w:t>
      </w:r>
    </w:p>
    <w:p w:rsidR="007A0A6C" w:rsidRDefault="00660E26">
      <w:pPr>
        <w:pStyle w:val="ListParagraph"/>
        <w:numPr>
          <w:ilvl w:val="1"/>
          <w:numId w:val="9"/>
        </w:numPr>
        <w:tabs>
          <w:tab w:val="left" w:pos="1085"/>
        </w:tabs>
        <w:spacing w:before="122" w:line="242" w:lineRule="auto"/>
        <w:ind w:right="963" w:hanging="180"/>
      </w:pPr>
      <w:r>
        <w:t>Aborde la tasa creciente de segregación de alumnos con discapacidad y redirija los recursos adecuados para que los alumnos sean totalmente incluidos en escuelas</w:t>
      </w:r>
      <w:r>
        <w:rPr>
          <w:spacing w:val="-22"/>
        </w:rPr>
        <w:t xml:space="preserve"> </w:t>
      </w:r>
      <w:r>
        <w:t>comunes.</w:t>
      </w:r>
    </w:p>
    <w:p w:rsidR="007A0A6C" w:rsidRDefault="00660E26">
      <w:pPr>
        <w:pStyle w:val="ListParagraph"/>
        <w:numPr>
          <w:ilvl w:val="1"/>
          <w:numId w:val="9"/>
        </w:numPr>
        <w:tabs>
          <w:tab w:val="left" w:pos="1085"/>
        </w:tabs>
        <w:spacing w:before="126" w:line="244" w:lineRule="auto"/>
        <w:ind w:right="561" w:hanging="180"/>
      </w:pPr>
      <w:r>
        <w:t>En consulta con las personas indígenas y sus organizaciones representativas, establezca y administre programas e iniciativas que respeten su cultura para aumentar la tasa de retención de alumnos indígenas en las</w:t>
      </w:r>
      <w:r>
        <w:rPr>
          <w:spacing w:val="-5"/>
        </w:rPr>
        <w:t xml:space="preserve"> </w:t>
      </w:r>
      <w:r>
        <w:t>escuelas.</w:t>
      </w:r>
    </w:p>
    <w:p w:rsidR="007A0A6C" w:rsidRDefault="007A0A6C">
      <w:pPr>
        <w:spacing w:line="244" w:lineRule="auto"/>
        <w:sectPr w:rsidR="007A0A6C">
          <w:pgSz w:w="11910" w:h="16840"/>
          <w:pgMar w:top="640" w:right="440" w:bottom="540" w:left="380" w:header="0" w:footer="343" w:gutter="0"/>
          <w:cols w:space="720"/>
        </w:sectPr>
      </w:pPr>
    </w:p>
    <w:p w:rsidR="007A0A6C" w:rsidRDefault="00660E26">
      <w:pPr>
        <w:pStyle w:val="Heading1"/>
        <w:tabs>
          <w:tab w:val="left" w:pos="10825"/>
        </w:tabs>
        <w:ind w:left="337"/>
      </w:pPr>
      <w:bookmarkStart w:id="81" w:name="Salud_(artículo_25)"/>
      <w:bookmarkStart w:id="82" w:name="_bookmark25"/>
      <w:bookmarkEnd w:id="81"/>
      <w:bookmarkEnd w:id="82"/>
      <w:r>
        <w:rPr>
          <w:color w:val="FFFFFF"/>
          <w:spacing w:val="-59"/>
          <w:shd w:val="clear" w:color="auto" w:fill="B31D30"/>
        </w:rPr>
        <w:lastRenderedPageBreak/>
        <w:t xml:space="preserve"> </w:t>
      </w:r>
      <w:bookmarkStart w:id="83" w:name="_Toc15026995"/>
      <w:bookmarkStart w:id="84" w:name="_Toc15027135"/>
      <w:r>
        <w:rPr>
          <w:color w:val="FFFFFF"/>
          <w:shd w:val="clear" w:color="auto" w:fill="B31D30"/>
        </w:rPr>
        <w:t>Salud (artículo 25)</w:t>
      </w:r>
      <w:bookmarkEnd w:id="83"/>
      <w:bookmarkEnd w:id="84"/>
      <w:r>
        <w:rPr>
          <w:color w:val="FFFFFF"/>
          <w:shd w:val="clear" w:color="auto" w:fill="B31D30"/>
        </w:rPr>
        <w:tab/>
      </w:r>
    </w:p>
    <w:p w:rsidR="007A0A6C" w:rsidRDefault="00660E26">
      <w:pPr>
        <w:pStyle w:val="BodyText"/>
        <w:spacing w:before="161" w:line="247" w:lineRule="auto"/>
        <w:ind w:left="1197" w:right="549" w:hanging="860"/>
      </w:pPr>
      <w:r>
        <w:t>27(a)(b) Las personas con discapacidad tienen 10 veces más de probabilidades que las personas sin discapacidad de que su salud sea evaluada como deficiente.</w:t>
      </w:r>
      <w:r>
        <w:rPr>
          <w:position w:val="7"/>
          <w:sz w:val="13"/>
        </w:rPr>
        <w:t xml:space="preserve">209 </w:t>
      </w:r>
      <w:r>
        <w:t>El 50 % de las personas con discapacidad no tiene acceso a la atención sanitaria, a las instalaciones y a los tratamientos que ellos necesitan, y más de la mitad manifiesta que los prestadores de asistencia sanitaria no</w:t>
      </w:r>
    </w:p>
    <w:p w:rsidR="007A0A6C" w:rsidRDefault="00660E26">
      <w:pPr>
        <w:pStyle w:val="BodyText"/>
        <w:spacing w:line="247" w:lineRule="auto"/>
        <w:ind w:left="1197"/>
        <w:rPr>
          <w:sz w:val="13"/>
        </w:rPr>
      </w:pPr>
      <w:r>
        <w:t>comprenden sus necesidades.</w:t>
      </w:r>
      <w:r>
        <w:rPr>
          <w:position w:val="7"/>
          <w:sz w:val="13"/>
        </w:rPr>
        <w:t xml:space="preserve">210 </w:t>
      </w:r>
      <w:r>
        <w:t>El 20 % de las personas con discapacidad no visita a un médico debido a los costos, y el 66 % no visita un dentista debido al costo.</w:t>
      </w:r>
      <w:r>
        <w:rPr>
          <w:position w:val="7"/>
          <w:sz w:val="13"/>
        </w:rPr>
        <w:t>211</w:t>
      </w:r>
    </w:p>
    <w:p w:rsidR="007A0A6C" w:rsidRDefault="00660E26">
      <w:pPr>
        <w:pStyle w:val="BodyText"/>
        <w:spacing w:before="97" w:line="247" w:lineRule="auto"/>
        <w:ind w:left="1197" w:right="252" w:hanging="1"/>
        <w:rPr>
          <w:sz w:val="13"/>
        </w:rPr>
      </w:pPr>
      <w:r>
        <w:t>A las personas con discapacidad intelectual</w:t>
      </w:r>
      <w:r>
        <w:rPr>
          <w:position w:val="7"/>
          <w:sz w:val="13"/>
        </w:rPr>
        <w:t xml:space="preserve">212 </w:t>
      </w:r>
      <w:r>
        <w:t>no se les diagnostica un 42 % de las enfermedades. La formación de la fuerza laboral es inadecuada para abordar las necesidades de atención médica.</w:t>
      </w:r>
      <w:r>
        <w:rPr>
          <w:position w:val="7"/>
          <w:sz w:val="13"/>
        </w:rPr>
        <w:t>213</w:t>
      </w:r>
    </w:p>
    <w:p w:rsidR="007A0A6C" w:rsidRDefault="00660E26">
      <w:pPr>
        <w:pStyle w:val="BodyText"/>
        <w:spacing w:before="138" w:line="247" w:lineRule="auto"/>
        <w:ind w:left="1197" w:right="1056" w:hanging="1"/>
        <w:rPr>
          <w:sz w:val="13"/>
        </w:rPr>
      </w:pPr>
      <w:r>
        <w:t>Las mujeres con discapacidad presentan dificultades para acceder a la información y a los servicios de salud, específicamente, a la salud sexual y reproductiva, y a los servicios de detección de cáncer.</w:t>
      </w:r>
      <w:r>
        <w:rPr>
          <w:position w:val="7"/>
          <w:sz w:val="13"/>
        </w:rPr>
        <w:t>214</w:t>
      </w:r>
    </w:p>
    <w:p w:rsidR="007A0A6C" w:rsidRDefault="00660E26">
      <w:pPr>
        <w:pStyle w:val="BodyText"/>
        <w:spacing w:before="138" w:line="247" w:lineRule="auto"/>
        <w:ind w:left="1197" w:right="1117" w:hanging="1"/>
        <w:rPr>
          <w:sz w:val="13"/>
        </w:rPr>
      </w:pPr>
      <w:r>
        <w:t>Los índices de mortalidad y morbilidad para las personas indígenas con discapacidad son significativamente peores que para las personas no indígenas.</w:t>
      </w:r>
      <w:r>
        <w:rPr>
          <w:position w:val="7"/>
          <w:sz w:val="13"/>
        </w:rPr>
        <w:t>215</w:t>
      </w:r>
    </w:p>
    <w:p w:rsidR="007A0A6C" w:rsidRDefault="00660E26">
      <w:pPr>
        <w:pStyle w:val="BodyText"/>
        <w:spacing w:before="139" w:line="247" w:lineRule="auto"/>
        <w:ind w:left="1197" w:right="578" w:hanging="1"/>
      </w:pPr>
      <w:r>
        <w:t>Más de 700 000 australianos presentan enfermedades mentales graves en el curso de un año. Sin embargo, se espera que solo 64 000 personas con discapacidad psicosocial sean elegibles para los paquetes individuales del NDIS.</w:t>
      </w:r>
      <w:r>
        <w:rPr>
          <w:position w:val="7"/>
          <w:sz w:val="13"/>
        </w:rPr>
        <w:t xml:space="preserve">216 </w:t>
      </w:r>
      <w:r>
        <w:t>Los servicios de salud mental tienen recursos significativamente bajos.</w:t>
      </w:r>
    </w:p>
    <w:p w:rsidR="007A0A6C" w:rsidRDefault="00660E26">
      <w:pPr>
        <w:pStyle w:val="BodyText"/>
        <w:spacing w:before="138" w:line="247" w:lineRule="auto"/>
        <w:ind w:left="1197" w:right="493" w:hanging="1"/>
        <w:rPr>
          <w:sz w:val="13"/>
        </w:rPr>
      </w:pPr>
      <w:r>
        <w:t>Las personas con discapacidad sufren violaciones a los derechos humanos que dan como resultado malos tratos, tales como tratamientos médicos e intervenciones forzosas; privación de la libertad; prácticas represivas; denegación del derecho a la capacidad jurídica; y cualquier otra forma de violencia.</w:t>
      </w:r>
      <w:r>
        <w:rPr>
          <w:position w:val="7"/>
          <w:sz w:val="13"/>
        </w:rPr>
        <w:t>217</w:t>
      </w:r>
    </w:p>
    <w:p w:rsidR="007A0A6C" w:rsidRDefault="00660E26">
      <w:pPr>
        <w:pStyle w:val="BodyText"/>
        <w:spacing w:before="138" w:line="247" w:lineRule="auto"/>
        <w:ind w:left="1197" w:right="538" w:hanging="1"/>
        <w:rPr>
          <w:sz w:val="13"/>
        </w:rPr>
      </w:pPr>
      <w:r>
        <w:t>No existe un mecanismo nacional que permita recopilar datos sobre la salud de las personas con discapacidad.</w:t>
      </w:r>
      <w:r>
        <w:rPr>
          <w:position w:val="7"/>
          <w:sz w:val="13"/>
        </w:rPr>
        <w:t xml:space="preserve">218  </w:t>
      </w:r>
      <w:r>
        <w:t>Hay una falta de disponibilidad de datos administrativos sobre el uso de los servicios de salud comunes por parte de las personas con discapacidad. Muchos datos recopilados relacionados con la salud</w:t>
      </w:r>
      <w:r>
        <w:rPr>
          <w:position w:val="7"/>
          <w:sz w:val="13"/>
        </w:rPr>
        <w:t xml:space="preserve">219 </w:t>
      </w:r>
      <w:r>
        <w:t>no incluyen ninguna manera de verificar si una persona tiene una</w:t>
      </w:r>
      <w:r>
        <w:rPr>
          <w:spacing w:val="-2"/>
        </w:rPr>
        <w:t xml:space="preserve"> </w:t>
      </w:r>
      <w:r>
        <w:t>discapacidad.</w:t>
      </w:r>
      <w:r>
        <w:rPr>
          <w:position w:val="7"/>
          <w:sz w:val="13"/>
        </w:rPr>
        <w:t>220</w:t>
      </w:r>
    </w:p>
    <w:p w:rsidR="007A0A6C" w:rsidRDefault="00660E26">
      <w:pPr>
        <w:pStyle w:val="Heading2"/>
        <w:tabs>
          <w:tab w:val="left" w:pos="10825"/>
        </w:tabs>
        <w:spacing w:before="206"/>
        <w:ind w:left="337"/>
      </w:pPr>
      <w:r>
        <w:rPr>
          <w:color w:val="FFFFFF"/>
          <w:spacing w:val="-37"/>
          <w:shd w:val="clear" w:color="auto" w:fill="4C418E"/>
        </w:rPr>
        <w:t xml:space="preserve"> </w:t>
      </w:r>
      <w:r>
        <w:rPr>
          <w:color w:val="FFFFFF"/>
          <w:shd w:val="clear" w:color="auto" w:fill="4C418E"/>
        </w:rPr>
        <w:t>Recomendaciones</w:t>
      </w:r>
      <w:r>
        <w:rPr>
          <w:color w:val="FFFFFF"/>
          <w:shd w:val="clear" w:color="auto" w:fill="4C418E"/>
        </w:rPr>
        <w:tab/>
      </w:r>
    </w:p>
    <w:p w:rsidR="007A0A6C" w:rsidRDefault="00660E26">
      <w:pPr>
        <w:pStyle w:val="BodyText"/>
        <w:spacing w:before="179"/>
        <w:ind w:left="337"/>
      </w:pPr>
      <w:r>
        <w:t>Que Australia:</w:t>
      </w:r>
    </w:p>
    <w:p w:rsidR="007A0A6C" w:rsidRDefault="00660E26">
      <w:pPr>
        <w:pStyle w:val="ListParagraph"/>
        <w:numPr>
          <w:ilvl w:val="1"/>
          <w:numId w:val="9"/>
        </w:numPr>
        <w:tabs>
          <w:tab w:val="left" w:pos="1082"/>
        </w:tabs>
        <w:spacing w:before="88" w:line="244" w:lineRule="auto"/>
        <w:ind w:left="1057" w:right="821" w:hanging="180"/>
      </w:pPr>
      <w:r>
        <w:t>Implemente medidas para abordar los deficientes resultados con respecto a la salud de las personas con discapacidad, focalizándose específicamente en las personas indígenas con discapacidad, en las personas con discapacidad intelectual, en las personas con discapacidad psicosocial y en las mujeres con</w:t>
      </w:r>
      <w:r>
        <w:rPr>
          <w:spacing w:val="-5"/>
        </w:rPr>
        <w:t xml:space="preserve"> </w:t>
      </w:r>
      <w:r>
        <w:t>discapacidad.</w:t>
      </w:r>
    </w:p>
    <w:p w:rsidR="007A0A6C" w:rsidRDefault="00660E26">
      <w:pPr>
        <w:pStyle w:val="ListParagraph"/>
        <w:numPr>
          <w:ilvl w:val="1"/>
          <w:numId w:val="9"/>
        </w:numPr>
        <w:tabs>
          <w:tab w:val="left" w:pos="1082"/>
        </w:tabs>
        <w:spacing w:before="125" w:line="244" w:lineRule="auto"/>
        <w:ind w:left="1057" w:right="722" w:hanging="180"/>
      </w:pPr>
      <w:r>
        <w:t>Financie la creación de una red nacional de especialistas sanitarios en discapacidad intelectual para mejorar la capacidad de los servicios comunes, de modo que satisfagan las necesidades específicas de las personas con discapacidad</w:t>
      </w:r>
      <w:r>
        <w:rPr>
          <w:spacing w:val="-9"/>
        </w:rPr>
        <w:t xml:space="preserve"> </w:t>
      </w:r>
      <w:r>
        <w:t>intelectual.</w:t>
      </w:r>
    </w:p>
    <w:p w:rsidR="007A0A6C" w:rsidRDefault="00660E26">
      <w:pPr>
        <w:pStyle w:val="ListParagraph"/>
        <w:numPr>
          <w:ilvl w:val="1"/>
          <w:numId w:val="9"/>
        </w:numPr>
        <w:tabs>
          <w:tab w:val="left" w:pos="1082"/>
        </w:tabs>
        <w:spacing w:before="122" w:line="244" w:lineRule="auto"/>
        <w:ind w:left="1057" w:right="367" w:hanging="180"/>
      </w:pPr>
      <w:r>
        <w:t>Aumente la financiación de los servicios y programas compartidos de salud mental, que garanticen alternativas al confinamiento y a los tratamientos forzosos y que apoyen a las personas con discapacidad psicosocial, independientemente de la elegibilidad del</w:t>
      </w:r>
      <w:r>
        <w:rPr>
          <w:spacing w:val="-16"/>
        </w:rPr>
        <w:t xml:space="preserve"> </w:t>
      </w:r>
      <w:r>
        <w:t>NDIS.</w:t>
      </w:r>
    </w:p>
    <w:p w:rsidR="007A0A6C" w:rsidRDefault="00660E26">
      <w:pPr>
        <w:pStyle w:val="ListParagraph"/>
        <w:numPr>
          <w:ilvl w:val="1"/>
          <w:numId w:val="9"/>
        </w:numPr>
        <w:tabs>
          <w:tab w:val="left" w:pos="1082"/>
        </w:tabs>
        <w:spacing w:before="123" w:line="242" w:lineRule="auto"/>
        <w:ind w:left="1057" w:right="771" w:hanging="180"/>
      </w:pPr>
      <w:r>
        <w:t>Elabore un mecanismo nacional que permita recopilar datos desglosados sobre la salud de las personas con</w:t>
      </w:r>
      <w:r>
        <w:rPr>
          <w:spacing w:val="-2"/>
        </w:rPr>
        <w:t xml:space="preserve"> </w:t>
      </w:r>
      <w:r>
        <w:t>discapacidad.</w:t>
      </w:r>
    </w:p>
    <w:p w:rsidR="007A0A6C" w:rsidRDefault="007A0A6C">
      <w:pPr>
        <w:spacing w:line="242" w:lineRule="auto"/>
        <w:sectPr w:rsidR="007A0A6C">
          <w:pgSz w:w="11910" w:h="16840"/>
          <w:pgMar w:top="640" w:right="440" w:bottom="540" w:left="380" w:header="0" w:footer="343" w:gutter="0"/>
          <w:cols w:space="720"/>
        </w:sectPr>
      </w:pPr>
    </w:p>
    <w:p w:rsidR="007A0A6C" w:rsidRDefault="004638C1">
      <w:pPr>
        <w:pStyle w:val="BodyText"/>
        <w:ind w:left="337"/>
        <w:rPr>
          <w:sz w:val="20"/>
        </w:rPr>
      </w:pPr>
      <w:r>
        <w:rPr>
          <w:sz w:val="20"/>
        </w:rPr>
      </w:r>
      <w:r>
        <w:rPr>
          <w:sz w:val="20"/>
        </w:rPr>
        <w:pict>
          <v:shape id="_x0000_s1028" type="#_x0000_t202" alt="" style="width:524.4pt;height:57.2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b31d30" stroked="f">
            <v:textbox inset="0,0,0,0">
              <w:txbxContent>
                <w:p w:rsidR="007A0A6C" w:rsidRDefault="00660E26">
                  <w:pPr>
                    <w:spacing w:before="38" w:line="230" w:lineRule="auto"/>
                    <w:ind w:left="59" w:right="1444"/>
                    <w:rPr>
                      <w:rFonts w:ascii="Raleway-SemiBold" w:hAnsi="Raleway-SemiBold"/>
                      <w:b/>
                      <w:sz w:val="48"/>
                    </w:rPr>
                  </w:pPr>
                  <w:bookmarkStart w:id="85" w:name="Acceso_a_la_habilitación_y_rehabilitació"/>
                  <w:bookmarkStart w:id="86" w:name="_bookmark26"/>
                  <w:bookmarkEnd w:id="85"/>
                  <w:bookmarkEnd w:id="86"/>
                  <w:r>
                    <w:rPr>
                      <w:rFonts w:ascii="Raleway-SemiBold" w:hAnsi="Raleway-SemiBold"/>
                      <w:b/>
                      <w:color w:val="FFFFFF"/>
                      <w:sz w:val="48"/>
                    </w:rPr>
                    <w:t>Acceso a la habilitación y rehabilitación (artículo 26)</w:t>
                  </w:r>
                </w:p>
              </w:txbxContent>
            </v:textbox>
            <w10:anchorlock/>
          </v:shape>
        </w:pict>
      </w:r>
    </w:p>
    <w:p w:rsidR="007A0A6C" w:rsidRDefault="00660E26">
      <w:pPr>
        <w:pStyle w:val="BodyText"/>
        <w:tabs>
          <w:tab w:val="left" w:pos="1057"/>
        </w:tabs>
        <w:spacing w:before="117" w:line="247" w:lineRule="auto"/>
        <w:ind w:left="1057" w:right="551" w:hanging="720"/>
      </w:pPr>
      <w:r>
        <w:t>28(a)</w:t>
      </w:r>
      <w:r>
        <w:tab/>
        <w:t>La implementación del NDIS está cambiando significativamente la forma en la que las personas con discapacidad acceden a los servicios. Sin embargo, la falta de claridad y de una interrelación eficaz entre el NDIS y los sistemas de servicios comunes han generado impedimentos artificiales que se interponen activamente para evitar la prestación de un cuidado integrado y</w:t>
      </w:r>
      <w:r>
        <w:rPr>
          <w:spacing w:val="-42"/>
        </w:rPr>
        <w:t xml:space="preserve"> </w:t>
      </w:r>
      <w:r>
        <w:t>holístico</w:t>
      </w:r>
    </w:p>
    <w:p w:rsidR="007A0A6C" w:rsidRDefault="00660E26">
      <w:pPr>
        <w:pStyle w:val="BodyText"/>
        <w:spacing w:line="247" w:lineRule="auto"/>
        <w:ind w:left="1057" w:right="754"/>
        <w:rPr>
          <w:sz w:val="13"/>
        </w:rPr>
      </w:pPr>
      <w:r>
        <w:t xml:space="preserve">para las personas con discapacidad, entre los que se incluyen la </w:t>
      </w:r>
      <w:r>
        <w:rPr>
          <w:color w:val="201F1E"/>
        </w:rPr>
        <w:t>ayuda para la habilitación y la rehabilitación</w:t>
      </w:r>
      <w:r>
        <w:t>.</w:t>
      </w:r>
      <w:r>
        <w:rPr>
          <w:position w:val="7"/>
          <w:sz w:val="13"/>
        </w:rPr>
        <w:t>221</w:t>
      </w:r>
    </w:p>
    <w:p w:rsidR="007A0A6C" w:rsidRDefault="00660E26">
      <w:pPr>
        <w:pStyle w:val="BodyText"/>
        <w:spacing w:before="96" w:line="247" w:lineRule="auto"/>
        <w:ind w:left="1057" w:right="291"/>
        <w:rPr>
          <w:sz w:val="13"/>
        </w:rPr>
      </w:pPr>
      <w:r>
        <w:t xml:space="preserve">El traslado de los programas estaduales, territoriales y del </w:t>
      </w:r>
      <w:r>
        <w:rPr>
          <w:i/>
        </w:rPr>
        <w:t xml:space="preserve">Commonwealth </w:t>
      </w:r>
      <w:r>
        <w:t>al NDIS contribuye a la carencia de servicios y a una disminución de los servicios de tratamiento basados en la comunidad, específicamente para las personas que no son elegibles para el NDIS.</w:t>
      </w:r>
      <w:r>
        <w:rPr>
          <w:position w:val="7"/>
          <w:sz w:val="13"/>
        </w:rPr>
        <w:t>222</w:t>
      </w:r>
    </w:p>
    <w:p w:rsidR="007A0A6C" w:rsidRDefault="00660E26">
      <w:pPr>
        <w:pStyle w:val="BodyText"/>
        <w:spacing w:before="139" w:line="247" w:lineRule="auto"/>
        <w:ind w:left="1057" w:right="783"/>
      </w:pPr>
      <w:r>
        <w:t xml:space="preserve">Las interacciones entre el NDIS y los servicios comunes están regidas por los </w:t>
      </w:r>
      <w:r>
        <w:rPr>
          <w:i/>
        </w:rPr>
        <w:t>Principios para Determinar las Responsabilidades del NDIS y de otros Sistemas de Servicios.</w:t>
      </w:r>
      <w:r>
        <w:rPr>
          <w:position w:val="7"/>
          <w:sz w:val="13"/>
        </w:rPr>
        <w:t xml:space="preserve">223 </w:t>
      </w:r>
      <w:r>
        <w:t>Sin embargo, los Principios están sujetos a la interpretación y no son claros. Esto da como resultado temas de limitaciones y disputas sobre la financiación que pueden redundar en un menor acceso o a la imposibilidad de acceder a los servicios tanto para los participantes del NDIS como para las personas con discapacidad que no son elegibles para el NDIS.</w:t>
      </w:r>
      <w:r>
        <w:rPr>
          <w:position w:val="7"/>
          <w:sz w:val="13"/>
        </w:rPr>
        <w:t xml:space="preserve">224 </w:t>
      </w:r>
      <w:r>
        <w:t>A pesar de que los Principios</w:t>
      </w:r>
    </w:p>
    <w:p w:rsidR="007A0A6C" w:rsidRDefault="00660E26">
      <w:pPr>
        <w:pStyle w:val="BodyText"/>
        <w:spacing w:line="247" w:lineRule="auto"/>
        <w:ind w:left="1057" w:right="400"/>
      </w:pPr>
      <w:r>
        <w:t>permiten brindar apoyos para la discapacidad a las personas con discapacidad [que están] en las cárceles y en detención forense, aún existe una incertidumbre sobre cómo, o si, se brindará apoyo a esta prestación.</w:t>
      </w:r>
    </w:p>
    <w:p w:rsidR="007A0A6C" w:rsidRDefault="00660E26">
      <w:pPr>
        <w:pStyle w:val="BodyText"/>
        <w:spacing w:before="135" w:line="247" w:lineRule="auto"/>
        <w:ind w:left="1057" w:right="804"/>
        <w:rPr>
          <w:sz w:val="13"/>
        </w:rPr>
      </w:pPr>
      <w:r>
        <w:t>La focalización en el diagnóstico permanente descalifica para el NDIS a muchas personas con discapacidad.</w:t>
      </w:r>
      <w:r>
        <w:rPr>
          <w:position w:val="7"/>
          <w:sz w:val="13"/>
        </w:rPr>
        <w:t xml:space="preserve">225 </w:t>
      </w:r>
      <w:r>
        <w:t>Las personas con discapacidad sostienen que el énfasis se debe poner en la evaluación de la capacidad funcional y las necesidades para determinar la elegibilidad.</w:t>
      </w:r>
      <w:r>
        <w:rPr>
          <w:position w:val="7"/>
          <w:sz w:val="13"/>
        </w:rPr>
        <w:t>226</w:t>
      </w:r>
    </w:p>
    <w:p w:rsidR="007A0A6C" w:rsidRDefault="00660E26">
      <w:pPr>
        <w:pStyle w:val="BodyText"/>
        <w:spacing w:before="138" w:line="247" w:lineRule="auto"/>
        <w:ind w:left="1057" w:right="363"/>
      </w:pPr>
      <w:r>
        <w:t>El acceso al NDIS representa una oportunidad para disminuir las tasas de encarcelación para las personas con una deficiencia cognitiva o psicosocial, específicamente para las personas indígenas con discapacidad, representadas desproporcionadamente en prisión. Sin embargo, el NDIS</w:t>
      </w:r>
    </w:p>
    <w:p w:rsidR="007A0A6C" w:rsidRDefault="00660E26">
      <w:pPr>
        <w:pStyle w:val="BodyText"/>
        <w:spacing w:line="247" w:lineRule="auto"/>
        <w:ind w:left="1057"/>
      </w:pPr>
      <w:r>
        <w:t>se suspende cuando una persona está detenida,</w:t>
      </w:r>
      <w:r>
        <w:rPr>
          <w:position w:val="7"/>
          <w:sz w:val="13"/>
        </w:rPr>
        <w:t xml:space="preserve">227 </w:t>
      </w:r>
      <w:r>
        <w:t xml:space="preserve">lo que le niega el apoyo para </w:t>
      </w:r>
      <w:r>
        <w:rPr>
          <w:color w:val="201F1E"/>
        </w:rPr>
        <w:t>habilitación o rehabilitación para ayudarla a reintegrarse a la comunidad.</w:t>
      </w:r>
    </w:p>
    <w:p w:rsidR="007A0A6C" w:rsidRDefault="00660E26">
      <w:pPr>
        <w:pStyle w:val="BodyText"/>
        <w:spacing w:before="137"/>
        <w:ind w:left="1057"/>
      </w:pPr>
      <w:r>
        <w:t>En Australia, se permite el tratamiento forzoso según las leyes de tutela y de salud mental.</w:t>
      </w:r>
    </w:p>
    <w:p w:rsidR="007A0A6C" w:rsidRDefault="007A0A6C">
      <w:pPr>
        <w:pStyle w:val="BodyText"/>
        <w:spacing w:before="9"/>
        <w:ind w:left="0"/>
        <w:rPr>
          <w:sz w:val="18"/>
        </w:rPr>
      </w:pPr>
    </w:p>
    <w:p w:rsidR="007A0A6C" w:rsidRDefault="00660E26">
      <w:pPr>
        <w:pStyle w:val="Heading2"/>
        <w:tabs>
          <w:tab w:val="left" w:pos="10825"/>
        </w:tabs>
        <w:spacing w:before="1"/>
        <w:ind w:left="337"/>
      </w:pPr>
      <w:r>
        <w:rPr>
          <w:color w:val="FFFFFF"/>
          <w:spacing w:val="-37"/>
          <w:shd w:val="clear" w:color="auto" w:fill="4C418E"/>
        </w:rPr>
        <w:t xml:space="preserve"> </w:t>
      </w:r>
      <w:r>
        <w:rPr>
          <w:color w:val="FFFFFF"/>
          <w:shd w:val="clear" w:color="auto" w:fill="4C418E"/>
        </w:rPr>
        <w:t>Recomendaciones</w:t>
      </w:r>
      <w:r>
        <w:rPr>
          <w:color w:val="FFFFFF"/>
          <w:shd w:val="clear" w:color="auto" w:fill="4C418E"/>
        </w:rPr>
        <w:tab/>
      </w:r>
    </w:p>
    <w:p w:rsidR="007A0A6C" w:rsidRDefault="00660E26">
      <w:pPr>
        <w:pStyle w:val="BodyText"/>
        <w:spacing w:before="178"/>
        <w:ind w:left="337"/>
      </w:pPr>
      <w:r>
        <w:t>Que Australia:</w:t>
      </w:r>
    </w:p>
    <w:p w:rsidR="007A0A6C" w:rsidRDefault="00660E26">
      <w:pPr>
        <w:pStyle w:val="ListParagraph"/>
        <w:numPr>
          <w:ilvl w:val="1"/>
          <w:numId w:val="9"/>
        </w:numPr>
        <w:tabs>
          <w:tab w:val="left" w:pos="1082"/>
        </w:tabs>
        <w:spacing w:before="89" w:line="242" w:lineRule="auto"/>
        <w:ind w:left="1057" w:right="305" w:hanging="180"/>
      </w:pPr>
      <w:r>
        <w:t>Garantice que las personas con discapacidad [que están] en prisión y en otras formas de detención puedan utilizar su paquete del NDIS mientras están encarcelados o</w:t>
      </w:r>
      <w:r>
        <w:rPr>
          <w:spacing w:val="-19"/>
        </w:rPr>
        <w:t xml:space="preserve"> </w:t>
      </w:r>
      <w:r>
        <w:t>detenidos.</w:t>
      </w:r>
    </w:p>
    <w:p w:rsidR="007A0A6C" w:rsidRDefault="00660E26">
      <w:pPr>
        <w:pStyle w:val="ListParagraph"/>
        <w:numPr>
          <w:ilvl w:val="1"/>
          <w:numId w:val="9"/>
        </w:numPr>
        <w:tabs>
          <w:tab w:val="left" w:pos="1082"/>
        </w:tabs>
        <w:spacing w:before="125" w:line="244" w:lineRule="auto"/>
        <w:ind w:left="1057" w:right="525" w:hanging="180"/>
      </w:pPr>
      <w:r>
        <w:t>Modifique la legislación del NDIS para abordar las disposiciones de permanencia para la elegibilidad del NDIS y asegure que las evaluaciones se basen en la capacidad funcional y en las necesidades en lugar de que se basen en el diagnóstico</w:t>
      </w:r>
      <w:r>
        <w:rPr>
          <w:spacing w:val="-15"/>
        </w:rPr>
        <w:t xml:space="preserve"> </w:t>
      </w:r>
      <w:r>
        <w:t>médico.</w:t>
      </w:r>
    </w:p>
    <w:p w:rsidR="007A0A6C" w:rsidRDefault="007A0A6C">
      <w:pPr>
        <w:spacing w:line="244" w:lineRule="auto"/>
        <w:sectPr w:rsidR="007A0A6C">
          <w:pgSz w:w="11910" w:h="16840"/>
          <w:pgMar w:top="700" w:right="440" w:bottom="540" w:left="380" w:header="0" w:footer="343" w:gutter="0"/>
          <w:cols w:space="720"/>
        </w:sectPr>
      </w:pPr>
    </w:p>
    <w:p w:rsidR="007A0A6C" w:rsidRDefault="00660E26">
      <w:pPr>
        <w:pStyle w:val="Heading1"/>
        <w:tabs>
          <w:tab w:val="left" w:pos="10805"/>
        </w:tabs>
      </w:pPr>
      <w:bookmarkStart w:id="87" w:name="Derecho_al_trabajo_(artículo_27)"/>
      <w:bookmarkStart w:id="88" w:name="_bookmark27"/>
      <w:bookmarkEnd w:id="87"/>
      <w:bookmarkEnd w:id="88"/>
      <w:r>
        <w:rPr>
          <w:color w:val="FFFFFF"/>
          <w:spacing w:val="-59"/>
          <w:shd w:val="clear" w:color="auto" w:fill="B31D30"/>
        </w:rPr>
        <w:lastRenderedPageBreak/>
        <w:t xml:space="preserve"> </w:t>
      </w:r>
      <w:bookmarkStart w:id="89" w:name="_Toc15026996"/>
      <w:bookmarkStart w:id="90" w:name="_Toc15027136"/>
      <w:r>
        <w:rPr>
          <w:color w:val="FFFFFF"/>
          <w:shd w:val="clear" w:color="auto" w:fill="B31D30"/>
        </w:rPr>
        <w:t>Derecho al trabajo (artículo</w:t>
      </w:r>
      <w:r>
        <w:rPr>
          <w:color w:val="FFFFFF"/>
          <w:spacing w:val="-32"/>
          <w:shd w:val="clear" w:color="auto" w:fill="B31D30"/>
        </w:rPr>
        <w:t xml:space="preserve"> </w:t>
      </w:r>
      <w:r>
        <w:rPr>
          <w:color w:val="FFFFFF"/>
          <w:shd w:val="clear" w:color="auto" w:fill="B31D30"/>
        </w:rPr>
        <w:t>27)</w:t>
      </w:r>
      <w:bookmarkEnd w:id="89"/>
      <w:bookmarkEnd w:id="90"/>
      <w:r>
        <w:rPr>
          <w:color w:val="FFFFFF"/>
          <w:shd w:val="clear" w:color="auto" w:fill="B31D30"/>
        </w:rPr>
        <w:tab/>
      </w:r>
    </w:p>
    <w:p w:rsidR="007A0A6C" w:rsidRDefault="00660E26">
      <w:pPr>
        <w:pStyle w:val="ListParagraph"/>
        <w:numPr>
          <w:ilvl w:val="0"/>
          <w:numId w:val="8"/>
        </w:numPr>
        <w:tabs>
          <w:tab w:val="left" w:pos="1059"/>
          <w:tab w:val="left" w:pos="1061"/>
        </w:tabs>
        <w:spacing w:before="161" w:line="247" w:lineRule="auto"/>
        <w:ind w:right="687" w:hanging="720"/>
      </w:pPr>
      <w:r>
        <w:t>La tasa de desempleo de las personas con discapacidad se duplica con respecto a la población general.</w:t>
      </w:r>
      <w:r>
        <w:rPr>
          <w:position w:val="7"/>
          <w:sz w:val="13"/>
        </w:rPr>
        <w:t xml:space="preserve">228 </w:t>
      </w:r>
      <w:r>
        <w:t>La cantidad de personas con discapacidad en la fuerza laboral ha descendido un</w:t>
      </w:r>
      <w:r>
        <w:rPr>
          <w:spacing w:val="-36"/>
        </w:rPr>
        <w:t xml:space="preserve"> </w:t>
      </w:r>
      <w:r>
        <w:t>3,0</w:t>
      </w:r>
    </w:p>
    <w:p w:rsidR="007A0A6C" w:rsidRDefault="00660E26">
      <w:pPr>
        <w:pStyle w:val="BodyText"/>
        <w:spacing w:line="247" w:lineRule="auto"/>
        <w:ind w:right="715"/>
      </w:pPr>
      <w:r>
        <w:t>% en la última década.</w:t>
      </w:r>
      <w:r>
        <w:rPr>
          <w:position w:val="7"/>
          <w:sz w:val="13"/>
        </w:rPr>
        <w:t xml:space="preserve">229 </w:t>
      </w:r>
      <w:r>
        <w:t>Simultáneamente, la cantidad de personas con discapacidad en edad laboral que participan de la fuerza laboral aumentó en un 23 %.</w:t>
      </w:r>
      <w:r>
        <w:rPr>
          <w:position w:val="7"/>
          <w:sz w:val="13"/>
        </w:rPr>
        <w:t xml:space="preserve">230 </w:t>
      </w:r>
      <w:r>
        <w:t>Solo el 9 % de las personas con discapacidad manifiestan que tienen las mismas oportunidades de empleo que las otras</w:t>
      </w:r>
    </w:p>
    <w:p w:rsidR="007A0A6C" w:rsidRDefault="00660E26">
      <w:pPr>
        <w:pStyle w:val="BodyText"/>
        <w:spacing w:line="247" w:lineRule="auto"/>
        <w:rPr>
          <w:sz w:val="13"/>
        </w:rPr>
      </w:pPr>
      <w:r>
        <w:t>personas.</w:t>
      </w:r>
      <w:r>
        <w:rPr>
          <w:position w:val="7"/>
          <w:sz w:val="13"/>
        </w:rPr>
        <w:t xml:space="preserve">231 </w:t>
      </w:r>
      <w:r>
        <w:t>Las quejas sobre discriminación en el empleo representan un porcentaje importante de todas las quejas sobre discriminación por discapacidad presentadas ante los organismos contra la discriminación en Australia.</w:t>
      </w:r>
      <w:r>
        <w:rPr>
          <w:position w:val="7"/>
          <w:sz w:val="13"/>
        </w:rPr>
        <w:t>232</w:t>
      </w:r>
    </w:p>
    <w:p w:rsidR="007A0A6C" w:rsidRDefault="00660E26">
      <w:pPr>
        <w:pStyle w:val="BodyText"/>
        <w:spacing w:before="96" w:line="247" w:lineRule="auto"/>
        <w:ind w:right="508"/>
        <w:rPr>
          <w:sz w:val="13"/>
        </w:rPr>
      </w:pPr>
      <w:r>
        <w:t xml:space="preserve">La revisión del Marco Nacional de Empleo se redujo considerablemente y solo se concentra en el programa de Servicios de Empleo para Personas con Discapacidad (DES) y no se pudo realizar la reforma integral necesaria. Los </w:t>
      </w:r>
      <w:r>
        <w:rPr>
          <w:i/>
        </w:rPr>
        <w:t xml:space="preserve">Servicios de Empleo para Personas con Discapacidad </w:t>
      </w:r>
      <w:r>
        <w:t>(DES)</w:t>
      </w:r>
      <w:r>
        <w:rPr>
          <w:position w:val="7"/>
          <w:sz w:val="13"/>
        </w:rPr>
        <w:t xml:space="preserve">233 </w:t>
      </w:r>
      <w:r>
        <w:t>siguen dando resultados deficientes para las personas con discapacidad.</w:t>
      </w:r>
      <w:r>
        <w:rPr>
          <w:position w:val="7"/>
          <w:sz w:val="13"/>
        </w:rPr>
        <w:t>234</w:t>
      </w:r>
    </w:p>
    <w:p w:rsidR="007A0A6C" w:rsidRDefault="00660E26">
      <w:pPr>
        <w:pStyle w:val="BodyText"/>
        <w:tabs>
          <w:tab w:val="left" w:pos="1059"/>
        </w:tabs>
        <w:spacing w:before="137" w:line="247" w:lineRule="auto"/>
        <w:ind w:right="292" w:hanging="720"/>
      </w:pPr>
      <w:r>
        <w:t>29(a)</w:t>
      </w:r>
      <w:r>
        <w:tab/>
        <w:t>La estructura laboral segregada para las personas con discapacidad a través de las Empresas Australianas</w:t>
      </w:r>
      <w:r>
        <w:rPr>
          <w:spacing w:val="-3"/>
        </w:rPr>
        <w:t xml:space="preserve"> </w:t>
      </w:r>
      <w:r>
        <w:t>para</w:t>
      </w:r>
      <w:r>
        <w:rPr>
          <w:spacing w:val="-3"/>
        </w:rPr>
        <w:t xml:space="preserve"> </w:t>
      </w:r>
      <w:r>
        <w:t>Personas</w:t>
      </w:r>
      <w:r>
        <w:rPr>
          <w:spacing w:val="-3"/>
        </w:rPr>
        <w:t xml:space="preserve"> </w:t>
      </w:r>
      <w:r>
        <w:t>con</w:t>
      </w:r>
      <w:r>
        <w:rPr>
          <w:spacing w:val="-2"/>
        </w:rPr>
        <w:t xml:space="preserve"> </w:t>
      </w:r>
      <w:r>
        <w:t>Discapacidad</w:t>
      </w:r>
      <w:r>
        <w:rPr>
          <w:spacing w:val="-3"/>
        </w:rPr>
        <w:t xml:space="preserve"> </w:t>
      </w:r>
      <w:r>
        <w:t>(ADE)</w:t>
      </w:r>
      <w:r>
        <w:rPr>
          <w:spacing w:val="-3"/>
        </w:rPr>
        <w:t xml:space="preserve"> </w:t>
      </w:r>
      <w:r>
        <w:t>sigue</w:t>
      </w:r>
      <w:r>
        <w:rPr>
          <w:spacing w:val="-2"/>
        </w:rPr>
        <w:t xml:space="preserve"> </w:t>
      </w:r>
      <w:r>
        <w:t>disponible</w:t>
      </w:r>
      <w:r>
        <w:rPr>
          <w:spacing w:val="-3"/>
        </w:rPr>
        <w:t xml:space="preserve"> </w:t>
      </w:r>
      <w:r>
        <w:t>en</w:t>
      </w:r>
      <w:r>
        <w:rPr>
          <w:spacing w:val="-14"/>
        </w:rPr>
        <w:t xml:space="preserve"> </w:t>
      </w:r>
      <w:r>
        <w:t>Australia</w:t>
      </w:r>
      <w:r>
        <w:rPr>
          <w:spacing w:val="-2"/>
        </w:rPr>
        <w:t xml:space="preserve"> </w:t>
      </w:r>
      <w:r>
        <w:t>y</w:t>
      </w:r>
      <w:r>
        <w:rPr>
          <w:spacing w:val="-3"/>
        </w:rPr>
        <w:t xml:space="preserve"> </w:t>
      </w:r>
      <w:r>
        <w:t>le</w:t>
      </w:r>
      <w:r>
        <w:rPr>
          <w:spacing w:val="-3"/>
        </w:rPr>
        <w:t xml:space="preserve"> </w:t>
      </w:r>
      <w:r>
        <w:t>permite</w:t>
      </w:r>
      <w:r>
        <w:rPr>
          <w:spacing w:val="-3"/>
        </w:rPr>
        <w:t xml:space="preserve"> </w:t>
      </w:r>
      <w:r>
        <w:t>a</w:t>
      </w:r>
      <w:r>
        <w:rPr>
          <w:spacing w:val="-4"/>
        </w:rPr>
        <w:t xml:space="preserve"> </w:t>
      </w:r>
      <w:r>
        <w:t>los empleadores pagarle sueldos más bajos a las personas con discapacidad que a otras personas;</w:t>
      </w:r>
      <w:r>
        <w:rPr>
          <w:position w:val="7"/>
          <w:sz w:val="13"/>
        </w:rPr>
        <w:t xml:space="preserve">235 </w:t>
      </w:r>
      <w:r>
        <w:t>además, menos de un 1 % tienen oportunidades de cambiarse a un empleo</w:t>
      </w:r>
      <w:r>
        <w:rPr>
          <w:spacing w:val="-22"/>
        </w:rPr>
        <w:t xml:space="preserve"> </w:t>
      </w:r>
      <w:r>
        <w:t>convencional.</w:t>
      </w:r>
    </w:p>
    <w:p w:rsidR="007A0A6C" w:rsidRDefault="00660E26">
      <w:pPr>
        <w:spacing w:before="98" w:line="247" w:lineRule="auto"/>
        <w:ind w:left="1060" w:right="334"/>
      </w:pPr>
      <w:r>
        <w:t xml:space="preserve">Si bien el BSWAT se ha suspendido, hay una cantidad de herramientas similares de evaluación de sueldos discriminatorios que no se están utilizando. </w:t>
      </w:r>
      <w:r>
        <w:rPr>
          <w:i/>
        </w:rPr>
        <w:t>La Ley sobre el Programa de Pago que utiliza la Herramienta para el Cálculo de Salarios en Servicios Comerciales (BSWAT) de 2015</w:t>
      </w:r>
      <w:r>
        <w:rPr>
          <w:position w:val="7"/>
          <w:sz w:val="13"/>
        </w:rPr>
        <w:t xml:space="preserve">236 </w:t>
      </w:r>
      <w:r>
        <w:t>entregó un pago único de $100 o más en ciertas circunstancias a los empleados de ADE elegibles que tenían una discapacidad intelectual.</w:t>
      </w:r>
      <w:r>
        <w:rPr>
          <w:position w:val="7"/>
          <w:sz w:val="13"/>
        </w:rPr>
        <w:t xml:space="preserve">237 </w:t>
      </w:r>
      <w:r>
        <w:t>Sin embargo, el Programa finalizó en 2018, no se aplica a todos los empleados de ADE y no abarca a las personas con discapacidad a las que se les pagó según el BSWAT después de 2014.</w:t>
      </w:r>
    </w:p>
    <w:p w:rsidR="007A0A6C" w:rsidRDefault="00660E26">
      <w:pPr>
        <w:pStyle w:val="BodyText"/>
        <w:tabs>
          <w:tab w:val="left" w:pos="1059"/>
        </w:tabs>
        <w:spacing w:before="136" w:line="247" w:lineRule="auto"/>
        <w:ind w:right="475" w:hanging="720"/>
      </w:pPr>
      <w:r>
        <w:t>29(b)</w:t>
      </w:r>
      <w:r>
        <w:tab/>
        <w:t xml:space="preserve">El </w:t>
      </w:r>
      <w:r>
        <w:rPr>
          <w:i/>
        </w:rPr>
        <w:t xml:space="preserve">Sistema de Salario Respaldado </w:t>
      </w:r>
      <w:r>
        <w:t>(SWS)</w:t>
      </w:r>
      <w:r>
        <w:rPr>
          <w:position w:val="7"/>
          <w:sz w:val="13"/>
        </w:rPr>
        <w:t xml:space="preserve">238 </w:t>
      </w:r>
      <w:r>
        <w:t>aún contempla que a las personas con discapacidad se les pague un porcentaje prorrata del salario mínimo para la industria según la evaluación de su capacidad.</w:t>
      </w:r>
    </w:p>
    <w:p w:rsidR="007A0A6C" w:rsidRDefault="00660E26">
      <w:pPr>
        <w:pStyle w:val="BodyText"/>
        <w:tabs>
          <w:tab w:val="left" w:pos="1059"/>
        </w:tabs>
        <w:spacing w:before="98" w:line="247" w:lineRule="auto"/>
        <w:ind w:right="415" w:hanging="720"/>
      </w:pPr>
      <w:r>
        <w:t>29(c)</w:t>
      </w:r>
      <w:r>
        <w:tab/>
        <w:t>Durante las últimas décadas, no hubo una mejora en la participación de la fuerza laboral de las mujeres con discapacidad.</w:t>
      </w:r>
      <w:r>
        <w:rPr>
          <w:position w:val="7"/>
          <w:sz w:val="13"/>
        </w:rPr>
        <w:t xml:space="preserve">239 </w:t>
      </w:r>
      <w:r>
        <w:t>Los hombres con discapacidad tienen muchas más posibilidades de empleo que las mujeres con discapacidad.</w:t>
      </w:r>
      <w:r>
        <w:rPr>
          <w:position w:val="7"/>
          <w:sz w:val="13"/>
        </w:rPr>
        <w:t xml:space="preserve">240 </w:t>
      </w:r>
      <w:r>
        <w:t>No hay políticas o programas que aborden la falta de participación en el empleo de mujeres con discapacidad, lo que incluye el abordaje de las barreras estructurales para su participación en la fuerza</w:t>
      </w:r>
      <w:r>
        <w:rPr>
          <w:spacing w:val="-9"/>
        </w:rPr>
        <w:t xml:space="preserve"> </w:t>
      </w:r>
      <w:r>
        <w:t>laboral.</w:t>
      </w:r>
    </w:p>
    <w:p w:rsidR="007A0A6C" w:rsidRDefault="00660E26">
      <w:pPr>
        <w:pStyle w:val="ListParagraph"/>
        <w:numPr>
          <w:ilvl w:val="0"/>
          <w:numId w:val="8"/>
        </w:numPr>
        <w:tabs>
          <w:tab w:val="left" w:pos="1059"/>
          <w:tab w:val="left" w:pos="1061"/>
        </w:tabs>
        <w:spacing w:before="98" w:line="247" w:lineRule="auto"/>
        <w:ind w:right="311" w:hanging="720"/>
      </w:pPr>
      <w:r>
        <w:t xml:space="preserve">No se han implementado las recomendaciones del informe </w:t>
      </w:r>
      <w:r>
        <w:rPr>
          <w:i/>
        </w:rPr>
        <w:t xml:space="preserve">Deseo </w:t>
      </w:r>
      <w:r>
        <w:rPr>
          <w:i/>
          <w:spacing w:val="-3"/>
        </w:rPr>
        <w:t xml:space="preserve">Trabajar </w:t>
      </w:r>
      <w:r>
        <w:t>de 2016.</w:t>
      </w:r>
      <w:r>
        <w:rPr>
          <w:position w:val="7"/>
          <w:sz w:val="13"/>
        </w:rPr>
        <w:t xml:space="preserve">241 </w:t>
      </w:r>
      <w:r>
        <w:t xml:space="preserve">La Encuesta hizo recomendaciones relativas a la legislación y a las acciones de la </w:t>
      </w:r>
      <w:r>
        <w:rPr>
          <w:i/>
        </w:rPr>
        <w:t xml:space="preserve">Commonwealth </w:t>
      </w:r>
      <w:r>
        <w:t>que se podrían tomar [en cuenta] para abordar la discriminación en el</w:t>
      </w:r>
      <w:r>
        <w:rPr>
          <w:spacing w:val="-14"/>
        </w:rPr>
        <w:t xml:space="preserve"> </w:t>
      </w:r>
      <w:r>
        <w:t>empleo.</w:t>
      </w:r>
    </w:p>
    <w:p w:rsidR="007A0A6C" w:rsidRDefault="00660E26">
      <w:pPr>
        <w:pStyle w:val="Heading2"/>
        <w:tabs>
          <w:tab w:val="left" w:pos="10805"/>
        </w:tabs>
        <w:spacing w:before="167"/>
      </w:pPr>
      <w:r>
        <w:rPr>
          <w:color w:val="FFFFFF"/>
          <w:spacing w:val="-37"/>
          <w:shd w:val="clear" w:color="auto" w:fill="4C418E"/>
        </w:rPr>
        <w:t xml:space="preserve"> </w:t>
      </w:r>
      <w:r>
        <w:rPr>
          <w:color w:val="FFFFFF"/>
          <w:shd w:val="clear" w:color="auto" w:fill="4C418E"/>
        </w:rPr>
        <w:t>Recomendaciones</w:t>
      </w:r>
      <w:r>
        <w:rPr>
          <w:color w:val="FFFFFF"/>
          <w:shd w:val="clear" w:color="auto" w:fill="4C418E"/>
        </w:rPr>
        <w:tab/>
      </w:r>
    </w:p>
    <w:p w:rsidR="007A0A6C" w:rsidRDefault="00660E26">
      <w:pPr>
        <w:pStyle w:val="BodyText"/>
        <w:spacing w:before="179"/>
        <w:ind w:left="340"/>
      </w:pPr>
      <w:r>
        <w:t>Que Australia:</w:t>
      </w:r>
    </w:p>
    <w:p w:rsidR="007A0A6C" w:rsidRDefault="00660E26">
      <w:pPr>
        <w:pStyle w:val="ListParagraph"/>
        <w:numPr>
          <w:ilvl w:val="1"/>
          <w:numId w:val="8"/>
        </w:numPr>
        <w:tabs>
          <w:tab w:val="left" w:pos="1085"/>
        </w:tabs>
        <w:spacing w:before="88" w:line="244" w:lineRule="auto"/>
        <w:ind w:right="524" w:hanging="180"/>
      </w:pPr>
      <w:r>
        <w:t>Desarrolle una estrategia nacional de empleo para las personas con discapacidad que incorpore las recomendaciones de la Encuesta Deseo Trabajar y que contenga medidas enfocadas en el género para aumentar la participación de las personas con discapacidad en la fuerza laboral, que incluya abordar las barreras estructurales de</w:t>
      </w:r>
      <w:r>
        <w:rPr>
          <w:spacing w:val="-10"/>
        </w:rPr>
        <w:t xml:space="preserve"> </w:t>
      </w:r>
      <w:r>
        <w:t>empleo.</w:t>
      </w:r>
    </w:p>
    <w:p w:rsidR="007A0A6C" w:rsidRDefault="00660E26">
      <w:pPr>
        <w:pStyle w:val="ListParagraph"/>
        <w:numPr>
          <w:ilvl w:val="1"/>
          <w:numId w:val="8"/>
        </w:numPr>
        <w:tabs>
          <w:tab w:val="left" w:pos="1085"/>
        </w:tabs>
        <w:spacing w:before="125" w:line="244" w:lineRule="auto"/>
        <w:ind w:right="521" w:hanging="180"/>
      </w:pPr>
      <w:r>
        <w:t>Implemente acciones para realizar la transición de un empleo segregado a una formación para [obtener] trabajo genuino y a oportunidades que generen habilidades que le abran el camino a un empleo común y a una remuneración equitativa por el</w:t>
      </w:r>
      <w:r>
        <w:rPr>
          <w:spacing w:val="-9"/>
        </w:rPr>
        <w:t xml:space="preserve"> </w:t>
      </w:r>
      <w:r>
        <w:t>trabajo.</w:t>
      </w:r>
    </w:p>
    <w:p w:rsidR="007A0A6C" w:rsidRDefault="00660E26">
      <w:pPr>
        <w:pStyle w:val="ListParagraph"/>
        <w:numPr>
          <w:ilvl w:val="1"/>
          <w:numId w:val="8"/>
        </w:numPr>
        <w:tabs>
          <w:tab w:val="left" w:pos="1085"/>
        </w:tabs>
        <w:spacing w:before="122" w:line="244" w:lineRule="auto"/>
        <w:ind w:right="340" w:hanging="180"/>
        <w:jc w:val="both"/>
      </w:pPr>
      <w:r>
        <w:t>Emplee medidas para asegurar que las personas con discapacidad puedan acceder a los servicios de empleo que satisfagan sus necesidades personales y que se enfoquen en los resultados a largo plazo.</w:t>
      </w:r>
    </w:p>
    <w:p w:rsidR="007A0A6C" w:rsidRDefault="007A0A6C">
      <w:pPr>
        <w:spacing w:line="244" w:lineRule="auto"/>
        <w:jc w:val="both"/>
        <w:sectPr w:rsidR="007A0A6C">
          <w:pgSz w:w="11910" w:h="16840"/>
          <w:pgMar w:top="640" w:right="440" w:bottom="540" w:left="380" w:header="0" w:footer="343" w:gutter="0"/>
          <w:cols w:space="720"/>
        </w:sectPr>
      </w:pPr>
    </w:p>
    <w:p w:rsidR="007A0A6C" w:rsidRDefault="004638C1">
      <w:pPr>
        <w:pStyle w:val="BodyText"/>
        <w:ind w:left="340"/>
        <w:rPr>
          <w:sz w:val="20"/>
        </w:rPr>
      </w:pPr>
      <w:r>
        <w:rPr>
          <w:sz w:val="20"/>
        </w:rPr>
      </w:r>
      <w:r>
        <w:rPr>
          <w:sz w:val="20"/>
        </w:rPr>
        <w:pict>
          <v:shape id="_x0000_s1027" type="#_x0000_t202" alt="" style="width:523.3pt;height:57.2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b31d30" stroked="f">
            <v:textbox inset="0,0,0,0">
              <w:txbxContent>
                <w:p w:rsidR="007A0A6C" w:rsidRDefault="00660E26">
                  <w:pPr>
                    <w:spacing w:before="38" w:line="230" w:lineRule="auto"/>
                    <w:ind w:left="60" w:right="496"/>
                    <w:rPr>
                      <w:rFonts w:ascii="Raleway-SemiBold" w:hAnsi="Raleway-SemiBold"/>
                      <w:b/>
                      <w:sz w:val="48"/>
                    </w:rPr>
                  </w:pPr>
                  <w:bookmarkStart w:id="91" w:name="Nivel_de_vida_adecuado_y_protección_soci"/>
                  <w:bookmarkStart w:id="92" w:name="_bookmark28"/>
                  <w:bookmarkEnd w:id="91"/>
                  <w:bookmarkEnd w:id="92"/>
                  <w:r>
                    <w:rPr>
                      <w:rFonts w:ascii="Raleway-SemiBold" w:hAnsi="Raleway-SemiBold"/>
                      <w:b/>
                      <w:color w:val="FFFFFF"/>
                      <w:sz w:val="48"/>
                    </w:rPr>
                    <w:t xml:space="preserve">Nivel de vida adecuado y </w:t>
                  </w:r>
                  <w:r>
                    <w:rPr>
                      <w:rFonts w:ascii="Raleway-SemiBold" w:hAnsi="Raleway-SemiBold"/>
                      <w:b/>
                      <w:color w:val="FFFFFF"/>
                      <w:spacing w:val="-3"/>
                      <w:sz w:val="48"/>
                    </w:rPr>
                    <w:t>protección</w:t>
                  </w:r>
                  <w:r>
                    <w:rPr>
                      <w:rFonts w:ascii="Raleway-SemiBold" w:hAnsi="Raleway-SemiBold"/>
                      <w:b/>
                      <w:color w:val="FFFFFF"/>
                      <w:spacing w:val="-57"/>
                      <w:sz w:val="48"/>
                    </w:rPr>
                    <w:t xml:space="preserve"> </w:t>
                  </w:r>
                  <w:r>
                    <w:rPr>
                      <w:rFonts w:ascii="Raleway-SemiBold" w:hAnsi="Raleway-SemiBold"/>
                      <w:b/>
                      <w:color w:val="FFFFFF"/>
                      <w:spacing w:val="-3"/>
                      <w:sz w:val="48"/>
                    </w:rPr>
                    <w:t xml:space="preserve">social </w:t>
                  </w:r>
                  <w:r>
                    <w:rPr>
                      <w:rFonts w:ascii="Raleway-SemiBold" w:hAnsi="Raleway-SemiBold"/>
                      <w:b/>
                      <w:color w:val="FFFFFF"/>
                      <w:sz w:val="48"/>
                    </w:rPr>
                    <w:t>(artículo 28)</w:t>
                  </w:r>
                </w:p>
              </w:txbxContent>
            </v:textbox>
            <w10:anchorlock/>
          </v:shape>
        </w:pict>
      </w:r>
    </w:p>
    <w:p w:rsidR="007A0A6C" w:rsidRDefault="00660E26">
      <w:pPr>
        <w:pStyle w:val="ListParagraph"/>
        <w:numPr>
          <w:ilvl w:val="0"/>
          <w:numId w:val="8"/>
        </w:numPr>
        <w:tabs>
          <w:tab w:val="left" w:pos="1059"/>
          <w:tab w:val="left" w:pos="1061"/>
        </w:tabs>
        <w:spacing w:before="117" w:line="247" w:lineRule="auto"/>
        <w:ind w:right="329" w:hanging="720"/>
        <w:rPr>
          <w:sz w:val="13"/>
        </w:rPr>
      </w:pPr>
      <w:r>
        <w:t>El 45 por ciento de las personas con discapacidad en Australia vive en la pobreza.</w:t>
      </w:r>
      <w:r>
        <w:rPr>
          <w:position w:val="7"/>
          <w:sz w:val="13"/>
        </w:rPr>
        <w:t xml:space="preserve">242 </w:t>
      </w:r>
      <w:r>
        <w:t xml:space="preserve">Un </w:t>
      </w:r>
      <w:r>
        <w:rPr>
          <w:spacing w:val="-5"/>
        </w:rPr>
        <w:t xml:space="preserve">11,2 </w:t>
      </w:r>
      <w:r>
        <w:t>% de las personas con discapacidad sufren desventajas profundas y persistentes, más del doble que la frecuencia nacional.</w:t>
      </w:r>
      <w:r>
        <w:rPr>
          <w:position w:val="7"/>
          <w:sz w:val="13"/>
        </w:rPr>
        <w:t xml:space="preserve">243 </w:t>
      </w:r>
      <w:r>
        <w:t>Este índice es significativamente mayor para las personas indígenas con discapacidad. El 61 % de las personas con discapacidad no pueden cubrir las necesidades básicas con su ingreso</w:t>
      </w:r>
      <w:r>
        <w:rPr>
          <w:spacing w:val="-2"/>
        </w:rPr>
        <w:t xml:space="preserve"> </w:t>
      </w:r>
      <w:r>
        <w:t>actual.</w:t>
      </w:r>
      <w:r>
        <w:rPr>
          <w:position w:val="7"/>
          <w:sz w:val="13"/>
        </w:rPr>
        <w:t>244</w:t>
      </w:r>
    </w:p>
    <w:p w:rsidR="007A0A6C" w:rsidRDefault="00660E26">
      <w:pPr>
        <w:pStyle w:val="BodyText"/>
        <w:spacing w:before="97" w:line="247" w:lineRule="auto"/>
        <w:ind w:right="247"/>
        <w:rPr>
          <w:sz w:val="13"/>
        </w:rPr>
      </w:pPr>
      <w:r>
        <w:t>Las pensiones del Gobierno son la fuente principal del ingreso personal para el 42 % de las personas con discapacidad en edad laboral.</w:t>
      </w:r>
      <w:r>
        <w:rPr>
          <w:position w:val="7"/>
          <w:sz w:val="13"/>
        </w:rPr>
        <w:t xml:space="preserve">245 </w:t>
      </w:r>
      <w:r>
        <w:t>En comparación, el sueldo o el salario es la fuente principal del ingreso personal para un 68 % de las personas en edad laboral sin discapacidad.</w:t>
      </w:r>
      <w:r>
        <w:rPr>
          <w:position w:val="7"/>
          <w:sz w:val="13"/>
        </w:rPr>
        <w:t>246</w:t>
      </w:r>
    </w:p>
    <w:p w:rsidR="007A0A6C" w:rsidRDefault="00660E26">
      <w:pPr>
        <w:pStyle w:val="BodyText"/>
        <w:spacing w:before="138" w:line="247" w:lineRule="auto"/>
        <w:ind w:right="560"/>
        <w:rPr>
          <w:sz w:val="13"/>
        </w:rPr>
      </w:pPr>
      <w:r>
        <w:t>El ingreso personal bruto promedio por semana de las personas con discapacidad es la mitad del de las personas sin discapacidad.</w:t>
      </w:r>
      <w:r>
        <w:rPr>
          <w:position w:val="7"/>
          <w:sz w:val="13"/>
        </w:rPr>
        <w:t xml:space="preserve">247 </w:t>
      </w:r>
      <w:r>
        <w:t>Los sistemas de ingresos, de bienestar e impositivos en Australia no reconocen los costos significativos debidos a la discapacidad en los que incurren las personas con discapacidad durante toda su</w:t>
      </w:r>
      <w:r>
        <w:rPr>
          <w:spacing w:val="-6"/>
        </w:rPr>
        <w:t xml:space="preserve"> </w:t>
      </w:r>
      <w:r>
        <w:t>vida.</w:t>
      </w:r>
      <w:r>
        <w:rPr>
          <w:position w:val="7"/>
          <w:sz w:val="13"/>
        </w:rPr>
        <w:t>248</w:t>
      </w:r>
    </w:p>
    <w:p w:rsidR="007A0A6C" w:rsidRDefault="00660E26">
      <w:pPr>
        <w:pStyle w:val="BodyText"/>
        <w:spacing w:before="138" w:line="247" w:lineRule="auto"/>
        <w:ind w:right="524"/>
        <w:rPr>
          <w:sz w:val="13"/>
        </w:rPr>
      </w:pPr>
      <w:r>
        <w:t xml:space="preserve">La </w:t>
      </w:r>
      <w:r>
        <w:rPr>
          <w:i/>
        </w:rPr>
        <w:t xml:space="preserve">Pensión de apoyo por discapacidad </w:t>
      </w:r>
      <w:r>
        <w:t>(DSP)</w:t>
      </w:r>
      <w:r>
        <w:rPr>
          <w:position w:val="7"/>
          <w:sz w:val="13"/>
        </w:rPr>
        <w:t xml:space="preserve">249 </w:t>
      </w:r>
      <w:r>
        <w:t>no es adecuada para apoyar a las personas con discapacidad.</w:t>
      </w:r>
      <w:r>
        <w:rPr>
          <w:position w:val="7"/>
          <w:sz w:val="13"/>
        </w:rPr>
        <w:t xml:space="preserve">250 </w:t>
      </w:r>
      <w:r>
        <w:t>La elegibilidad de la DSP se ha reducido a tal punto que ahora un 25-30 % de las personas con discapacidad reciben un pago Newstart muy inferior por desempleo,</w:t>
      </w:r>
      <w:r>
        <w:rPr>
          <w:position w:val="7"/>
          <w:sz w:val="13"/>
        </w:rPr>
        <w:t xml:space="preserve">251 </w:t>
      </w:r>
      <w:r>
        <w:t xml:space="preserve">lo que provoca una mayor pobreza arraigada. El índice de reclamos exitosos por DSP ha disminuido considerablemente, de un 69 % en </w:t>
      </w:r>
      <w:r>
        <w:rPr>
          <w:spacing w:val="-5"/>
        </w:rPr>
        <w:t xml:space="preserve">2011 </w:t>
      </w:r>
      <w:r>
        <w:t>a un 29,8 % en 2018.</w:t>
      </w:r>
      <w:r>
        <w:rPr>
          <w:position w:val="7"/>
          <w:sz w:val="13"/>
        </w:rPr>
        <w:t xml:space="preserve">252 </w:t>
      </w:r>
      <w:r>
        <w:t xml:space="preserve">Mientras que los gobiernos han reducido de manera significativa la cantidad de personas que reciben la </w:t>
      </w:r>
      <w:r>
        <w:rPr>
          <w:spacing w:val="-8"/>
        </w:rPr>
        <w:t xml:space="preserve">DSP, </w:t>
      </w:r>
      <w:r>
        <w:t>esto no redunda en un</w:t>
      </w:r>
      <w:r>
        <w:rPr>
          <w:spacing w:val="-4"/>
        </w:rPr>
        <w:t xml:space="preserve"> </w:t>
      </w:r>
      <w:r>
        <w:t>aumento</w:t>
      </w:r>
      <w:r>
        <w:rPr>
          <w:spacing w:val="-4"/>
        </w:rPr>
        <w:t xml:space="preserve"> </w:t>
      </w:r>
      <w:r>
        <w:t>del</w:t>
      </w:r>
      <w:r>
        <w:rPr>
          <w:spacing w:val="-4"/>
        </w:rPr>
        <w:t xml:space="preserve"> </w:t>
      </w:r>
      <w:r>
        <w:t>empleo</w:t>
      </w:r>
      <w:r>
        <w:rPr>
          <w:spacing w:val="-3"/>
        </w:rPr>
        <w:t xml:space="preserve"> </w:t>
      </w:r>
      <w:r>
        <w:t>y</w:t>
      </w:r>
      <w:r>
        <w:rPr>
          <w:spacing w:val="-3"/>
        </w:rPr>
        <w:t xml:space="preserve"> </w:t>
      </w:r>
      <w:r>
        <w:t>en</w:t>
      </w:r>
      <w:r>
        <w:rPr>
          <w:spacing w:val="-4"/>
        </w:rPr>
        <w:t xml:space="preserve"> </w:t>
      </w:r>
      <w:r>
        <w:t>una</w:t>
      </w:r>
      <w:r>
        <w:rPr>
          <w:spacing w:val="-4"/>
        </w:rPr>
        <w:t xml:space="preserve"> </w:t>
      </w:r>
      <w:r>
        <w:t>seguridad</w:t>
      </w:r>
      <w:r>
        <w:rPr>
          <w:spacing w:val="-2"/>
        </w:rPr>
        <w:t xml:space="preserve"> </w:t>
      </w:r>
      <w:r>
        <w:t>económica</w:t>
      </w:r>
      <w:r>
        <w:rPr>
          <w:spacing w:val="-4"/>
        </w:rPr>
        <w:t xml:space="preserve"> </w:t>
      </w:r>
      <w:r>
        <w:t>para</w:t>
      </w:r>
      <w:r>
        <w:rPr>
          <w:spacing w:val="-4"/>
        </w:rPr>
        <w:t xml:space="preserve"> </w:t>
      </w:r>
      <w:r>
        <w:t>las</w:t>
      </w:r>
      <w:r>
        <w:rPr>
          <w:spacing w:val="-4"/>
        </w:rPr>
        <w:t xml:space="preserve"> </w:t>
      </w:r>
      <w:r>
        <w:t>personas</w:t>
      </w:r>
      <w:r>
        <w:rPr>
          <w:spacing w:val="-3"/>
        </w:rPr>
        <w:t xml:space="preserve"> </w:t>
      </w:r>
      <w:r>
        <w:t>con</w:t>
      </w:r>
      <w:r>
        <w:rPr>
          <w:spacing w:val="-3"/>
        </w:rPr>
        <w:t xml:space="preserve"> </w:t>
      </w:r>
      <w:r>
        <w:t>discapacidad.</w:t>
      </w:r>
      <w:r>
        <w:rPr>
          <w:position w:val="7"/>
          <w:sz w:val="13"/>
        </w:rPr>
        <w:t>253</w:t>
      </w:r>
    </w:p>
    <w:p w:rsidR="007A0A6C" w:rsidRDefault="00660E26">
      <w:pPr>
        <w:pStyle w:val="BodyText"/>
        <w:spacing w:before="136" w:line="247" w:lineRule="auto"/>
        <w:ind w:right="389"/>
        <w:rPr>
          <w:sz w:val="13"/>
        </w:rPr>
      </w:pPr>
      <w:r>
        <w:t>Las personas con discapacidad psicosocial componen el grupo de clientes con crecimiento más rápido en la población de Servicios Especializados para los Desamparados;</w:t>
      </w:r>
      <w:r>
        <w:rPr>
          <w:position w:val="7"/>
          <w:sz w:val="13"/>
        </w:rPr>
        <w:t xml:space="preserve">254 </w:t>
      </w:r>
      <w:r>
        <w:t>la tasa de uso del servicio se duplicó en los últimos 5 años y la mayoría son mujeres con discapacidad psicosocial.</w:t>
      </w:r>
      <w:r>
        <w:rPr>
          <w:position w:val="7"/>
          <w:sz w:val="13"/>
        </w:rPr>
        <w:t xml:space="preserve">255 </w:t>
      </w:r>
      <w:r>
        <w:t>La violencia familiar y la discapacidad psicosocial son ahora las causas más comunes para los desamparados en Australia.</w:t>
      </w:r>
      <w:r>
        <w:rPr>
          <w:position w:val="7"/>
          <w:sz w:val="13"/>
        </w:rPr>
        <w:t>256</w:t>
      </w:r>
    </w:p>
    <w:p w:rsidR="007A0A6C" w:rsidRDefault="00660E26">
      <w:pPr>
        <w:pStyle w:val="BodyText"/>
        <w:spacing w:before="137" w:line="247" w:lineRule="auto"/>
        <w:ind w:right="578"/>
      </w:pPr>
      <w:r>
        <w:t>A nivel nacional, en junio de 2018, el porcentaje de la capacidad ocupada de alquiler era de un 97 % para las viviendas públicas.</w:t>
      </w:r>
      <w:r>
        <w:rPr>
          <w:position w:val="7"/>
          <w:sz w:val="13"/>
        </w:rPr>
        <w:t xml:space="preserve">257 </w:t>
      </w:r>
      <w:r>
        <w:t>Un 29 % de las personas que viven en viviendas de alquiler públicas reciben la DSP</w:t>
      </w:r>
      <w:r>
        <w:rPr>
          <w:position w:val="7"/>
          <w:sz w:val="13"/>
        </w:rPr>
        <w:t xml:space="preserve">258 </w:t>
      </w:r>
      <w:r>
        <w:t>y gastan un tercio de sus ingresos en gastos de vivienda.</w:t>
      </w:r>
      <w:r>
        <w:rPr>
          <w:position w:val="7"/>
          <w:sz w:val="13"/>
        </w:rPr>
        <w:t xml:space="preserve">259 </w:t>
      </w:r>
      <w:r>
        <w:t>Casi el 81</w:t>
      </w:r>
    </w:p>
    <w:p w:rsidR="007A0A6C" w:rsidRDefault="00660E26">
      <w:pPr>
        <w:pStyle w:val="BodyText"/>
        <w:spacing w:line="247" w:lineRule="auto"/>
        <w:ind w:right="568"/>
        <w:rPr>
          <w:sz w:val="13"/>
        </w:rPr>
      </w:pPr>
      <w:r>
        <w:t>% de las personas con discapacidad manifiestan que viven en viviendas públicas de un estándar inaceptable.</w:t>
      </w:r>
      <w:r>
        <w:rPr>
          <w:position w:val="7"/>
          <w:sz w:val="13"/>
        </w:rPr>
        <w:t xml:space="preserve">260 </w:t>
      </w:r>
      <w:r>
        <w:t>Muchas de las personas con discapacidad no tienen un nivel de vida adecuado como para poder alquilar en el mercado privado o para comprar sus propias viviendas.</w:t>
      </w:r>
      <w:r>
        <w:rPr>
          <w:position w:val="7"/>
          <w:sz w:val="13"/>
        </w:rPr>
        <w:t>261</w:t>
      </w:r>
    </w:p>
    <w:p w:rsidR="007A0A6C" w:rsidRDefault="00660E26">
      <w:pPr>
        <w:pStyle w:val="Heading2"/>
        <w:tabs>
          <w:tab w:val="left" w:pos="10805"/>
        </w:tabs>
        <w:spacing w:before="206"/>
      </w:pPr>
      <w:r>
        <w:rPr>
          <w:color w:val="FFFFFF"/>
          <w:spacing w:val="-37"/>
          <w:shd w:val="clear" w:color="auto" w:fill="4C418E"/>
        </w:rPr>
        <w:t xml:space="preserve"> </w:t>
      </w:r>
      <w:r>
        <w:rPr>
          <w:color w:val="FFFFFF"/>
          <w:shd w:val="clear" w:color="auto" w:fill="4C418E"/>
        </w:rPr>
        <w:t>Recomendaciones</w:t>
      </w:r>
      <w:r>
        <w:rPr>
          <w:color w:val="FFFFFF"/>
          <w:shd w:val="clear" w:color="auto" w:fill="4C418E"/>
        </w:rPr>
        <w:tab/>
      </w:r>
    </w:p>
    <w:p w:rsidR="007A0A6C" w:rsidRDefault="00660E26">
      <w:pPr>
        <w:pStyle w:val="BodyText"/>
        <w:spacing w:before="179"/>
        <w:ind w:left="340"/>
      </w:pPr>
      <w:r>
        <w:t>Que Australia:</w:t>
      </w:r>
    </w:p>
    <w:p w:rsidR="007A0A6C" w:rsidRDefault="00660E26">
      <w:pPr>
        <w:pStyle w:val="ListParagraph"/>
        <w:numPr>
          <w:ilvl w:val="1"/>
          <w:numId w:val="8"/>
        </w:numPr>
        <w:tabs>
          <w:tab w:val="left" w:pos="1085"/>
        </w:tabs>
        <w:spacing w:before="88" w:line="244" w:lineRule="auto"/>
        <w:ind w:right="903" w:hanging="180"/>
      </w:pPr>
      <w:r>
        <w:t xml:space="preserve">Ponga fin a las restricciones permanentes de elegibilidad continuas para la </w:t>
      </w:r>
      <w:r>
        <w:rPr>
          <w:spacing w:val="-8"/>
        </w:rPr>
        <w:t xml:space="preserve">DSP, </w:t>
      </w:r>
      <w:r>
        <w:t>aumente la tasa de Newstart y de otros pagos de ayuda económica para garantizar que las personas con discapacidad tengan acceso a un nivel de vida</w:t>
      </w:r>
      <w:r>
        <w:rPr>
          <w:spacing w:val="-10"/>
        </w:rPr>
        <w:t xml:space="preserve"> </w:t>
      </w:r>
      <w:r>
        <w:t>adecuado.</w:t>
      </w:r>
    </w:p>
    <w:p w:rsidR="007A0A6C" w:rsidRDefault="00660E26">
      <w:pPr>
        <w:pStyle w:val="ListParagraph"/>
        <w:numPr>
          <w:ilvl w:val="1"/>
          <w:numId w:val="8"/>
        </w:numPr>
        <w:tabs>
          <w:tab w:val="left" w:pos="1085"/>
        </w:tabs>
        <w:spacing w:before="123" w:line="242" w:lineRule="auto"/>
        <w:ind w:right="463" w:hanging="180"/>
      </w:pPr>
      <w:r>
        <w:t>Dé prioridad a la concreción del derecho a un nivel de vida adecuado y a la protección social para las personas indígenas con</w:t>
      </w:r>
      <w:r>
        <w:rPr>
          <w:spacing w:val="-5"/>
        </w:rPr>
        <w:t xml:space="preserve"> </w:t>
      </w:r>
      <w:r>
        <w:t>discapacidad.</w:t>
      </w:r>
    </w:p>
    <w:p w:rsidR="007A0A6C" w:rsidRDefault="00660E26">
      <w:pPr>
        <w:pStyle w:val="ListParagraph"/>
        <w:numPr>
          <w:ilvl w:val="1"/>
          <w:numId w:val="8"/>
        </w:numPr>
        <w:tabs>
          <w:tab w:val="left" w:pos="1085"/>
        </w:tabs>
        <w:spacing w:before="125" w:line="242" w:lineRule="auto"/>
        <w:ind w:right="951" w:hanging="180"/>
      </w:pPr>
      <w:r>
        <w:t>Aborde las causas fundamentales de los desamparados para las personas con discapacidad psicosocial y para las mujeres con</w:t>
      </w:r>
      <w:r>
        <w:rPr>
          <w:spacing w:val="-6"/>
        </w:rPr>
        <w:t xml:space="preserve"> </w:t>
      </w:r>
      <w:r>
        <w:t>discapacidad.</w:t>
      </w:r>
    </w:p>
    <w:p w:rsidR="007A0A6C" w:rsidRDefault="007A0A6C">
      <w:pPr>
        <w:spacing w:line="242" w:lineRule="auto"/>
        <w:sectPr w:rsidR="007A0A6C">
          <w:pgSz w:w="11910" w:h="16840"/>
          <w:pgMar w:top="700" w:right="440" w:bottom="540" w:left="380" w:header="0" w:footer="343" w:gutter="0"/>
          <w:cols w:space="720"/>
        </w:sectPr>
      </w:pPr>
    </w:p>
    <w:p w:rsidR="007A0A6C" w:rsidRDefault="004638C1">
      <w:pPr>
        <w:pStyle w:val="BodyText"/>
        <w:ind w:left="340"/>
        <w:rPr>
          <w:sz w:val="20"/>
        </w:rPr>
      </w:pPr>
      <w:r>
        <w:rPr>
          <w:sz w:val="20"/>
        </w:rPr>
      </w:r>
      <w:r>
        <w:rPr>
          <w:sz w:val="20"/>
        </w:rPr>
        <w:pict>
          <v:shape id="_x0000_s1026" type="#_x0000_t202" alt="" style="width:523.3pt;height:59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b31d30" stroked="f">
            <v:textbox inset="0,0,0,0">
              <w:txbxContent>
                <w:p w:rsidR="007A0A6C" w:rsidRDefault="00660E26">
                  <w:pPr>
                    <w:spacing w:line="244" w:lineRule="auto"/>
                    <w:ind w:left="60" w:right="496"/>
                    <w:rPr>
                      <w:rFonts w:ascii="Raleway-SemiBold" w:hAnsi="Raleway-SemiBold"/>
                      <w:b/>
                      <w:sz w:val="48"/>
                    </w:rPr>
                  </w:pPr>
                  <w:bookmarkStart w:id="93" w:name="Participación_en_la_vida_política_y_públ"/>
                  <w:bookmarkStart w:id="94" w:name="_bookmark29"/>
                  <w:bookmarkEnd w:id="93"/>
                  <w:bookmarkEnd w:id="94"/>
                  <w:r>
                    <w:rPr>
                      <w:rFonts w:ascii="Raleway-SemiBold" w:hAnsi="Raleway-SemiBold"/>
                      <w:b/>
                      <w:color w:val="FFFFFF"/>
                      <w:sz w:val="48"/>
                    </w:rPr>
                    <w:t>Participación en la vida política y pública (artículo 29)</w:t>
                  </w:r>
                </w:p>
              </w:txbxContent>
            </v:textbox>
            <w10:anchorlock/>
          </v:shape>
        </w:pict>
      </w:r>
    </w:p>
    <w:p w:rsidR="007A0A6C" w:rsidRDefault="00660E26">
      <w:pPr>
        <w:pStyle w:val="BodyText"/>
        <w:tabs>
          <w:tab w:val="left" w:pos="1059"/>
        </w:tabs>
        <w:spacing w:before="123" w:line="247" w:lineRule="auto"/>
        <w:ind w:right="339" w:hanging="720"/>
        <w:rPr>
          <w:sz w:val="13"/>
        </w:rPr>
      </w:pPr>
      <w:r>
        <w:t>32(a)</w:t>
      </w:r>
      <w:r>
        <w:tab/>
        <w:t>Las disposiciones de ‘mente insana’ en la Ley Electoral y en la legislación electoral estadual, territorial del Gobierno local les niegan el derecho a votar a algunas personas con discapacidad, en particular, a las personas con deficiencia cognitiva y con discapacidad</w:t>
      </w:r>
      <w:r>
        <w:rPr>
          <w:spacing w:val="-24"/>
        </w:rPr>
        <w:t xml:space="preserve"> </w:t>
      </w:r>
      <w:r>
        <w:t>psicosocial.</w:t>
      </w:r>
      <w:r>
        <w:rPr>
          <w:position w:val="7"/>
          <w:sz w:val="13"/>
        </w:rPr>
        <w:t>262</w:t>
      </w:r>
    </w:p>
    <w:p w:rsidR="007A0A6C" w:rsidRDefault="00660E26">
      <w:pPr>
        <w:pStyle w:val="BodyText"/>
        <w:tabs>
          <w:tab w:val="left" w:pos="1059"/>
        </w:tabs>
        <w:spacing w:before="98" w:line="247" w:lineRule="auto"/>
        <w:ind w:right="547" w:hanging="720"/>
      </w:pPr>
      <w:r>
        <w:t>32(b)</w:t>
      </w:r>
      <w:r>
        <w:tab/>
        <w:t>El derecho de las personas con discapacidad a votar de manera independiente y en secreto en las elecciones de los gobiernos locales, estaduales/territoriales y federales no es una realidad para muchas personas con discapacidad, debido a la falta de coherencia para contemplar el voto electrónico y barreras arquitectónicas para emitir el</w:t>
      </w:r>
      <w:r>
        <w:rPr>
          <w:spacing w:val="-11"/>
        </w:rPr>
        <w:t xml:space="preserve"> </w:t>
      </w:r>
      <w:r>
        <w:t>sufragio.</w:t>
      </w:r>
    </w:p>
    <w:p w:rsidR="007A0A6C" w:rsidRDefault="00660E26">
      <w:pPr>
        <w:pStyle w:val="Heading2"/>
        <w:tabs>
          <w:tab w:val="left" w:pos="10805"/>
        </w:tabs>
        <w:spacing w:before="167"/>
      </w:pPr>
      <w:r>
        <w:rPr>
          <w:color w:val="FFFFFF"/>
          <w:spacing w:val="-37"/>
          <w:shd w:val="clear" w:color="auto" w:fill="4C418E"/>
        </w:rPr>
        <w:t xml:space="preserve"> </w:t>
      </w:r>
      <w:r>
        <w:rPr>
          <w:color w:val="FFFFFF"/>
          <w:shd w:val="clear" w:color="auto" w:fill="4C418E"/>
        </w:rPr>
        <w:t>Recomendaciones</w:t>
      </w:r>
      <w:r>
        <w:rPr>
          <w:color w:val="FFFFFF"/>
          <w:shd w:val="clear" w:color="auto" w:fill="4C418E"/>
        </w:rPr>
        <w:tab/>
      </w:r>
    </w:p>
    <w:p w:rsidR="007A0A6C" w:rsidRDefault="00660E26">
      <w:pPr>
        <w:pStyle w:val="BodyText"/>
        <w:spacing w:before="179"/>
        <w:ind w:left="340"/>
      </w:pPr>
      <w:r>
        <w:t>Que Australia:</w:t>
      </w:r>
    </w:p>
    <w:p w:rsidR="007A0A6C" w:rsidRDefault="00660E26">
      <w:pPr>
        <w:pStyle w:val="ListParagraph"/>
        <w:numPr>
          <w:ilvl w:val="1"/>
          <w:numId w:val="8"/>
        </w:numPr>
        <w:tabs>
          <w:tab w:val="left" w:pos="1085"/>
        </w:tabs>
        <w:spacing w:before="88" w:line="244" w:lineRule="auto"/>
        <w:ind w:right="499" w:hanging="180"/>
      </w:pPr>
      <w:r>
        <w:t>Mantenga el derecho de las personas con discapacidad a votar en las elecciones sobre una base igualitaria con respecto a otras personas eliminando el artículo 93(8) de la Ley Electoral de 1918 (Cth) (disposición de ‘mente insana’) y promulgue una legislación alternativa que restablezca la presunción de capacidad para votar y ejercer su elección de las personas con</w:t>
      </w:r>
      <w:r>
        <w:rPr>
          <w:spacing w:val="-37"/>
        </w:rPr>
        <w:t xml:space="preserve"> </w:t>
      </w:r>
      <w:r>
        <w:t>discapacidad.</w:t>
      </w:r>
    </w:p>
    <w:p w:rsidR="007A0A6C" w:rsidRDefault="007A0A6C">
      <w:pPr>
        <w:spacing w:line="244" w:lineRule="auto"/>
        <w:sectPr w:rsidR="007A0A6C">
          <w:pgSz w:w="11910" w:h="16840"/>
          <w:pgMar w:top="700" w:right="440" w:bottom="540" w:left="380" w:header="0" w:footer="343" w:gutter="0"/>
          <w:cols w:space="720"/>
        </w:sectPr>
      </w:pPr>
    </w:p>
    <w:p w:rsidR="007A0A6C" w:rsidRDefault="00660E26">
      <w:pPr>
        <w:spacing w:before="71"/>
        <w:ind w:left="340"/>
        <w:rPr>
          <w:rFonts w:ascii="Raleway-SemiBold" w:hAnsi="Raleway-SemiBold"/>
          <w:b/>
          <w:sz w:val="47"/>
        </w:rPr>
      </w:pPr>
      <w:bookmarkStart w:id="95" w:name="Recopilación_de_datos_y_estadísticas_(ar"/>
      <w:bookmarkStart w:id="96" w:name="_bookmark30"/>
      <w:bookmarkEnd w:id="95"/>
      <w:bookmarkEnd w:id="96"/>
      <w:r>
        <w:rPr>
          <w:rFonts w:ascii="Raleway-SemiBold" w:hAnsi="Raleway-SemiBold"/>
          <w:b/>
          <w:color w:val="FFFFFF"/>
          <w:spacing w:val="-54"/>
          <w:w w:val="98"/>
          <w:sz w:val="47"/>
          <w:shd w:val="clear" w:color="auto" w:fill="B31D30"/>
        </w:rPr>
        <w:lastRenderedPageBreak/>
        <w:t xml:space="preserve"> </w:t>
      </w:r>
      <w:r>
        <w:rPr>
          <w:rFonts w:ascii="Raleway-SemiBold" w:hAnsi="Raleway-SemiBold"/>
          <w:b/>
          <w:color w:val="FFFFFF"/>
          <w:spacing w:val="-6"/>
          <w:sz w:val="47"/>
          <w:shd w:val="clear" w:color="auto" w:fill="B31D30"/>
        </w:rPr>
        <w:t xml:space="preserve">Recopilación </w:t>
      </w:r>
      <w:r>
        <w:rPr>
          <w:rFonts w:ascii="Raleway-SemiBold" w:hAnsi="Raleway-SemiBold"/>
          <w:b/>
          <w:color w:val="FFFFFF"/>
          <w:spacing w:val="-3"/>
          <w:sz w:val="47"/>
          <w:shd w:val="clear" w:color="auto" w:fill="B31D30"/>
        </w:rPr>
        <w:t xml:space="preserve">de </w:t>
      </w:r>
      <w:r>
        <w:rPr>
          <w:rFonts w:ascii="Raleway-SemiBold" w:hAnsi="Raleway-SemiBold"/>
          <w:b/>
          <w:color w:val="FFFFFF"/>
          <w:spacing w:val="-6"/>
          <w:sz w:val="47"/>
          <w:shd w:val="clear" w:color="auto" w:fill="B31D30"/>
        </w:rPr>
        <w:t xml:space="preserve">datos </w:t>
      </w:r>
      <w:r>
        <w:rPr>
          <w:rFonts w:ascii="Raleway-SemiBold" w:hAnsi="Raleway-SemiBold"/>
          <w:b/>
          <w:color w:val="FFFFFF"/>
          <w:sz w:val="47"/>
          <w:shd w:val="clear" w:color="auto" w:fill="B31D30"/>
        </w:rPr>
        <w:t xml:space="preserve">y </w:t>
      </w:r>
      <w:r>
        <w:rPr>
          <w:rFonts w:ascii="Raleway-SemiBold" w:hAnsi="Raleway-SemiBold"/>
          <w:b/>
          <w:color w:val="FFFFFF"/>
          <w:spacing w:val="-5"/>
          <w:sz w:val="47"/>
          <w:shd w:val="clear" w:color="auto" w:fill="B31D30"/>
        </w:rPr>
        <w:t xml:space="preserve">estadísticas (artículo </w:t>
      </w:r>
      <w:r>
        <w:rPr>
          <w:rFonts w:ascii="Raleway-SemiBold" w:hAnsi="Raleway-SemiBold"/>
          <w:b/>
          <w:color w:val="FFFFFF"/>
          <w:spacing w:val="-4"/>
          <w:sz w:val="47"/>
          <w:shd w:val="clear" w:color="auto" w:fill="B31D30"/>
        </w:rPr>
        <w:t>31)</w:t>
      </w:r>
      <w:r>
        <w:rPr>
          <w:rFonts w:ascii="Raleway-SemiBold" w:hAnsi="Raleway-SemiBold"/>
          <w:b/>
          <w:color w:val="FFFFFF"/>
          <w:spacing w:val="-6"/>
          <w:sz w:val="47"/>
          <w:shd w:val="clear" w:color="auto" w:fill="B31D30"/>
        </w:rPr>
        <w:t xml:space="preserve"> </w:t>
      </w:r>
    </w:p>
    <w:p w:rsidR="007A0A6C" w:rsidRDefault="00660E26">
      <w:pPr>
        <w:pStyle w:val="BodyText"/>
        <w:tabs>
          <w:tab w:val="left" w:pos="1059"/>
        </w:tabs>
        <w:spacing w:before="184" w:line="247" w:lineRule="auto"/>
        <w:ind w:right="659" w:hanging="720"/>
      </w:pPr>
      <w:r>
        <w:t>33(a)</w:t>
      </w:r>
      <w:r>
        <w:tab/>
        <w:t>No hay medidas uniformes a nivel nacional para recabar e informar de manera pública los datos desglosados en la totalidad de las obligaciones contenidas en la</w:t>
      </w:r>
      <w:r>
        <w:rPr>
          <w:spacing w:val="-15"/>
        </w:rPr>
        <w:t xml:space="preserve"> </w:t>
      </w:r>
      <w:r>
        <w:t>CRPD.</w:t>
      </w:r>
    </w:p>
    <w:p w:rsidR="007A0A6C" w:rsidRDefault="00660E26">
      <w:pPr>
        <w:pStyle w:val="BodyText"/>
        <w:tabs>
          <w:tab w:val="left" w:pos="1059"/>
        </w:tabs>
        <w:spacing w:before="99" w:line="247" w:lineRule="auto"/>
        <w:ind w:right="474" w:hanging="720"/>
      </w:pPr>
      <w:r>
        <w:t>33(b)</w:t>
      </w:r>
      <w:r>
        <w:tab/>
        <w:t>A pesar de las recomendaciones de los organismos de supervisión del tratado de las Naciones Unidas,</w:t>
      </w:r>
      <w:r>
        <w:rPr>
          <w:spacing w:val="-15"/>
        </w:rPr>
        <w:t xml:space="preserve"> </w:t>
      </w:r>
      <w:r>
        <w:t>Australia</w:t>
      </w:r>
      <w:r>
        <w:rPr>
          <w:spacing w:val="-3"/>
        </w:rPr>
        <w:t xml:space="preserve"> </w:t>
      </w:r>
      <w:r>
        <w:t>aún</w:t>
      </w:r>
      <w:r>
        <w:rPr>
          <w:spacing w:val="-3"/>
        </w:rPr>
        <w:t xml:space="preserve"> </w:t>
      </w:r>
      <w:r>
        <w:t>no</w:t>
      </w:r>
      <w:r>
        <w:rPr>
          <w:spacing w:val="-3"/>
        </w:rPr>
        <w:t xml:space="preserve"> </w:t>
      </w:r>
      <w:r>
        <w:t>pidió</w:t>
      </w:r>
      <w:r>
        <w:rPr>
          <w:spacing w:val="-4"/>
        </w:rPr>
        <w:t xml:space="preserve"> </w:t>
      </w:r>
      <w:r>
        <w:t>ni</w:t>
      </w:r>
      <w:r>
        <w:rPr>
          <w:spacing w:val="-3"/>
        </w:rPr>
        <w:t xml:space="preserve"> </w:t>
      </w:r>
      <w:r>
        <w:t>financió</w:t>
      </w:r>
      <w:r>
        <w:rPr>
          <w:spacing w:val="-2"/>
        </w:rPr>
        <w:t xml:space="preserve"> </w:t>
      </w:r>
      <w:r>
        <w:t>una</w:t>
      </w:r>
      <w:r>
        <w:rPr>
          <w:spacing w:val="-3"/>
        </w:rPr>
        <w:t xml:space="preserve"> </w:t>
      </w:r>
      <w:r>
        <w:t>evaluación</w:t>
      </w:r>
      <w:r>
        <w:rPr>
          <w:spacing w:val="-4"/>
        </w:rPr>
        <w:t xml:space="preserve"> </w:t>
      </w:r>
      <w:r>
        <w:t>integral</w:t>
      </w:r>
      <w:r>
        <w:rPr>
          <w:spacing w:val="-3"/>
        </w:rPr>
        <w:t xml:space="preserve"> </w:t>
      </w:r>
      <w:r>
        <w:t>sobre</w:t>
      </w:r>
      <w:r>
        <w:rPr>
          <w:spacing w:val="-2"/>
        </w:rPr>
        <w:t xml:space="preserve"> </w:t>
      </w:r>
      <w:r>
        <w:t>la</w:t>
      </w:r>
      <w:r>
        <w:rPr>
          <w:spacing w:val="-4"/>
        </w:rPr>
        <w:t xml:space="preserve"> </w:t>
      </w:r>
      <w:r>
        <w:t>situación</w:t>
      </w:r>
      <w:r>
        <w:rPr>
          <w:spacing w:val="-2"/>
        </w:rPr>
        <w:t xml:space="preserve"> </w:t>
      </w:r>
      <w:r>
        <w:t>de</w:t>
      </w:r>
      <w:r>
        <w:rPr>
          <w:spacing w:val="-3"/>
        </w:rPr>
        <w:t xml:space="preserve"> </w:t>
      </w:r>
      <w:r>
        <w:t>las</w:t>
      </w:r>
      <w:r>
        <w:rPr>
          <w:spacing w:val="-4"/>
        </w:rPr>
        <w:t xml:space="preserve"> </w:t>
      </w:r>
      <w:r>
        <w:t>mujeres con discapacidad,</w:t>
      </w:r>
      <w:r>
        <w:rPr>
          <w:position w:val="7"/>
          <w:sz w:val="13"/>
        </w:rPr>
        <w:t xml:space="preserve">263 </w:t>
      </w:r>
      <w:r>
        <w:t>sobre la situación de los niños y jóvenes con discapacidad</w:t>
      </w:r>
      <w:r>
        <w:rPr>
          <w:position w:val="7"/>
          <w:sz w:val="13"/>
        </w:rPr>
        <w:t xml:space="preserve">264 </w:t>
      </w:r>
      <w:r>
        <w:t>y sobre la situación de las mujeres indígenas con</w:t>
      </w:r>
      <w:r>
        <w:rPr>
          <w:spacing w:val="-5"/>
        </w:rPr>
        <w:t xml:space="preserve"> </w:t>
      </w:r>
      <w:r>
        <w:t>discapacidad.</w:t>
      </w:r>
    </w:p>
    <w:p w:rsidR="007A0A6C" w:rsidRDefault="00660E26">
      <w:pPr>
        <w:pStyle w:val="BodyText"/>
        <w:spacing w:before="98" w:line="247" w:lineRule="auto"/>
        <w:ind w:right="357"/>
        <w:jc w:val="both"/>
      </w:pPr>
      <w:r>
        <w:t>La falta de datos desglosados uniformes a nivel nacional</w:t>
      </w:r>
      <w:r>
        <w:rPr>
          <w:position w:val="7"/>
          <w:sz w:val="13"/>
        </w:rPr>
        <w:t xml:space="preserve">265 </w:t>
      </w:r>
      <w:r>
        <w:t>suscita preocupaciones graves sobre la capacidad de Australia para cumplir con la CRPD y para supervisar y evaluar la implementación de la NDS y los Objetivos de Desarrollo Sostenible (ODS).</w:t>
      </w:r>
    </w:p>
    <w:p w:rsidR="007A0A6C" w:rsidRDefault="00660E26">
      <w:pPr>
        <w:pStyle w:val="Heading2"/>
        <w:tabs>
          <w:tab w:val="left" w:pos="10805"/>
        </w:tabs>
      </w:pPr>
      <w:r>
        <w:rPr>
          <w:color w:val="FFFFFF"/>
          <w:spacing w:val="-37"/>
          <w:shd w:val="clear" w:color="auto" w:fill="4C418E"/>
        </w:rPr>
        <w:t xml:space="preserve"> </w:t>
      </w:r>
      <w:r>
        <w:rPr>
          <w:color w:val="FFFFFF"/>
          <w:shd w:val="clear" w:color="auto" w:fill="4C418E"/>
        </w:rPr>
        <w:t>Recomendaciones</w:t>
      </w:r>
      <w:r>
        <w:rPr>
          <w:color w:val="FFFFFF"/>
          <w:shd w:val="clear" w:color="auto" w:fill="4C418E"/>
        </w:rPr>
        <w:tab/>
      </w:r>
    </w:p>
    <w:p w:rsidR="007A0A6C" w:rsidRDefault="00660E26">
      <w:pPr>
        <w:pStyle w:val="BodyText"/>
        <w:spacing w:before="179"/>
        <w:ind w:left="340"/>
      </w:pPr>
      <w:r>
        <w:t>Que Australia:</w:t>
      </w:r>
    </w:p>
    <w:p w:rsidR="007A0A6C" w:rsidRDefault="007A0A6C">
      <w:pPr>
        <w:pStyle w:val="BodyText"/>
        <w:spacing w:before="8"/>
        <w:ind w:left="0"/>
        <w:rPr>
          <w:sz w:val="27"/>
        </w:rPr>
      </w:pPr>
    </w:p>
    <w:p w:rsidR="007A0A6C" w:rsidRDefault="00660E26">
      <w:pPr>
        <w:pStyle w:val="ListParagraph"/>
        <w:numPr>
          <w:ilvl w:val="1"/>
          <w:numId w:val="8"/>
        </w:numPr>
        <w:tabs>
          <w:tab w:val="left" w:pos="1085"/>
        </w:tabs>
        <w:spacing w:before="0" w:line="244" w:lineRule="auto"/>
        <w:ind w:right="426" w:hanging="180"/>
      </w:pPr>
      <w:r>
        <w:t>Lleve a cabo una evaluación integral de la situación de las mujeres con discapacidad, de la situación de los niños y jóvenes con discapacidad, y de la situación de las personas indígenas con discapacidad.</w:t>
      </w:r>
    </w:p>
    <w:p w:rsidR="007A0A6C" w:rsidRDefault="00660E26">
      <w:pPr>
        <w:pStyle w:val="ListParagraph"/>
        <w:numPr>
          <w:ilvl w:val="1"/>
          <w:numId w:val="8"/>
        </w:numPr>
        <w:tabs>
          <w:tab w:val="left" w:pos="1085"/>
        </w:tabs>
        <w:spacing w:before="122" w:line="242" w:lineRule="auto"/>
        <w:ind w:right="330" w:hanging="180"/>
      </w:pPr>
      <w:r>
        <w:t>Desarrolle medidas uniformes a nivel nacional para recabar e informar de manera pública los datos desglosados en la totalidad de las obligaciones contenidas en la</w:t>
      </w:r>
      <w:r>
        <w:rPr>
          <w:spacing w:val="-14"/>
        </w:rPr>
        <w:t xml:space="preserve"> </w:t>
      </w:r>
      <w:r>
        <w:t>CRPD.</w:t>
      </w:r>
    </w:p>
    <w:p w:rsidR="007A0A6C" w:rsidRDefault="007A0A6C">
      <w:pPr>
        <w:spacing w:line="242" w:lineRule="auto"/>
        <w:sectPr w:rsidR="007A0A6C">
          <w:pgSz w:w="11910" w:h="16840"/>
          <w:pgMar w:top="640" w:right="440" w:bottom="540" w:left="380" w:header="0" w:footer="343" w:gutter="0"/>
          <w:cols w:space="720"/>
        </w:sectPr>
      </w:pPr>
    </w:p>
    <w:p w:rsidR="007A0A6C" w:rsidRDefault="00660E26">
      <w:pPr>
        <w:pStyle w:val="Heading1"/>
        <w:tabs>
          <w:tab w:val="left" w:pos="10805"/>
        </w:tabs>
      </w:pPr>
      <w:bookmarkStart w:id="97" w:name="Cooperación_internacional_(artículo_32)"/>
      <w:bookmarkStart w:id="98" w:name="_bookmark31"/>
      <w:bookmarkEnd w:id="97"/>
      <w:bookmarkEnd w:id="98"/>
      <w:r>
        <w:rPr>
          <w:color w:val="FFFFFF"/>
          <w:spacing w:val="-59"/>
          <w:shd w:val="clear" w:color="auto" w:fill="B31D30"/>
        </w:rPr>
        <w:lastRenderedPageBreak/>
        <w:t xml:space="preserve"> </w:t>
      </w:r>
      <w:bookmarkStart w:id="99" w:name="_Toc15026997"/>
      <w:bookmarkStart w:id="100" w:name="_Toc15027137"/>
      <w:r>
        <w:rPr>
          <w:color w:val="FFFFFF"/>
          <w:shd w:val="clear" w:color="auto" w:fill="B31D30"/>
        </w:rPr>
        <w:t>Cooperación internacional (artículo</w:t>
      </w:r>
      <w:r>
        <w:rPr>
          <w:color w:val="FFFFFF"/>
          <w:spacing w:val="-29"/>
          <w:shd w:val="clear" w:color="auto" w:fill="B31D30"/>
        </w:rPr>
        <w:t xml:space="preserve"> </w:t>
      </w:r>
      <w:r>
        <w:rPr>
          <w:color w:val="FFFFFF"/>
          <w:shd w:val="clear" w:color="auto" w:fill="B31D30"/>
        </w:rPr>
        <w:t>32)</w:t>
      </w:r>
      <w:bookmarkEnd w:id="99"/>
      <w:bookmarkEnd w:id="100"/>
      <w:r>
        <w:rPr>
          <w:color w:val="FFFFFF"/>
          <w:shd w:val="clear" w:color="auto" w:fill="B31D30"/>
        </w:rPr>
        <w:tab/>
      </w:r>
    </w:p>
    <w:p w:rsidR="007A0A6C" w:rsidRDefault="00660E26">
      <w:pPr>
        <w:pStyle w:val="ListParagraph"/>
        <w:numPr>
          <w:ilvl w:val="0"/>
          <w:numId w:val="7"/>
        </w:numPr>
        <w:tabs>
          <w:tab w:val="left" w:pos="1059"/>
          <w:tab w:val="left" w:pos="1061"/>
        </w:tabs>
        <w:spacing w:before="181" w:line="247" w:lineRule="auto"/>
        <w:ind w:right="327" w:hanging="720"/>
      </w:pPr>
      <w:r>
        <w:t>En el Examen Periódico Universal (2016) Australia asumió el compromiso voluntario</w:t>
      </w:r>
      <w:r>
        <w:rPr>
          <w:position w:val="7"/>
          <w:sz w:val="13"/>
        </w:rPr>
        <w:t xml:space="preserve">266 </w:t>
      </w:r>
      <w:r>
        <w:t xml:space="preserve">de avanzar en la </w:t>
      </w:r>
      <w:r>
        <w:rPr>
          <w:i/>
        </w:rPr>
        <w:t>Agenda 2030 para el Desarrollo Sostenible</w:t>
      </w:r>
      <w:r>
        <w:rPr>
          <w:position w:val="7"/>
          <w:sz w:val="13"/>
        </w:rPr>
        <w:t xml:space="preserve">267 </w:t>
      </w:r>
      <w:r>
        <w:t xml:space="preserve">para su </w:t>
      </w:r>
      <w:r>
        <w:rPr>
          <w:i/>
        </w:rPr>
        <w:t xml:space="preserve">Desarrollo para </w:t>
      </w:r>
      <w:r>
        <w:rPr>
          <w:i/>
          <w:spacing w:val="-4"/>
        </w:rPr>
        <w:t xml:space="preserve">Todos: </w:t>
      </w:r>
      <w:r>
        <w:rPr>
          <w:i/>
        </w:rPr>
        <w:t>Estrategia 2015- 2020</w:t>
      </w:r>
      <w:r>
        <w:rPr>
          <w:position w:val="7"/>
          <w:sz w:val="13"/>
        </w:rPr>
        <w:t xml:space="preserve">268 </w:t>
      </w:r>
      <w:r>
        <w:t xml:space="preserve">y su </w:t>
      </w:r>
      <w:r>
        <w:rPr>
          <w:i/>
        </w:rPr>
        <w:t>Estrategia Internacional para las Personas Indígenas</w:t>
      </w:r>
      <w:r>
        <w:rPr>
          <w:i/>
          <w:spacing w:val="-23"/>
        </w:rPr>
        <w:t xml:space="preserve"> </w:t>
      </w:r>
      <w:r>
        <w:rPr>
          <w:i/>
        </w:rPr>
        <w:t>2015-2019</w:t>
      </w:r>
      <w:r>
        <w:t>.</w:t>
      </w:r>
      <w:r>
        <w:rPr>
          <w:position w:val="7"/>
          <w:sz w:val="13"/>
        </w:rPr>
        <w:t>269</w:t>
      </w:r>
    </w:p>
    <w:p w:rsidR="007A0A6C" w:rsidRDefault="00660E26">
      <w:pPr>
        <w:pStyle w:val="BodyText"/>
        <w:spacing w:before="99" w:line="247" w:lineRule="auto"/>
        <w:ind w:right="385"/>
      </w:pPr>
      <w:r>
        <w:t xml:space="preserve">Una evaluación del </w:t>
      </w:r>
      <w:r>
        <w:rPr>
          <w:i/>
        </w:rPr>
        <w:t xml:space="preserve">Desarrollo para Todos </w:t>
      </w:r>
      <w:r>
        <w:t xml:space="preserve">[realizada] en 2018 le recomendó a Australia continuar con el compromiso de incluir el desarrollo de la discapacidad inclusiva como un derecho humano y las prioridades de ayuda; además del aprovechamiento de los avances [logrados] hasta la fecha. No hay información sobre una tercera propuesta de la </w:t>
      </w:r>
      <w:r>
        <w:rPr>
          <w:i/>
        </w:rPr>
        <w:t xml:space="preserve">Estrategia de Desarrollo para Todos </w:t>
      </w:r>
      <w:r>
        <w:t>para después de 2020.</w:t>
      </w:r>
    </w:p>
    <w:p w:rsidR="007A0A6C" w:rsidRDefault="00660E26">
      <w:pPr>
        <w:pStyle w:val="BodyText"/>
        <w:spacing w:before="137" w:line="247" w:lineRule="auto"/>
        <w:ind w:right="520"/>
      </w:pPr>
      <w:r>
        <w:t>No hay un mecanismo para la participación de las personas con discapacidad y de las DPO en la aplicación y supervisión de los ODS en Australia.</w:t>
      </w:r>
    </w:p>
    <w:p w:rsidR="007A0A6C" w:rsidRDefault="00660E26">
      <w:pPr>
        <w:pStyle w:val="Heading2"/>
        <w:tabs>
          <w:tab w:val="left" w:pos="10805"/>
        </w:tabs>
        <w:spacing w:before="208"/>
      </w:pPr>
      <w:r>
        <w:rPr>
          <w:color w:val="FFFFFF"/>
          <w:spacing w:val="-37"/>
          <w:shd w:val="clear" w:color="auto" w:fill="4C418E"/>
        </w:rPr>
        <w:t xml:space="preserve"> </w:t>
      </w:r>
      <w:r>
        <w:rPr>
          <w:color w:val="FFFFFF"/>
          <w:shd w:val="clear" w:color="auto" w:fill="4C418E"/>
        </w:rPr>
        <w:t>Recomendaciones</w:t>
      </w:r>
      <w:r>
        <w:rPr>
          <w:color w:val="FFFFFF"/>
          <w:shd w:val="clear" w:color="auto" w:fill="4C418E"/>
        </w:rPr>
        <w:tab/>
      </w:r>
    </w:p>
    <w:p w:rsidR="007A0A6C" w:rsidRDefault="00660E26">
      <w:pPr>
        <w:pStyle w:val="BodyText"/>
        <w:spacing w:before="179"/>
        <w:ind w:left="340"/>
      </w:pPr>
      <w:r>
        <w:t>Que Australia:</w:t>
      </w:r>
    </w:p>
    <w:p w:rsidR="007A0A6C" w:rsidRDefault="00660E26">
      <w:pPr>
        <w:pStyle w:val="ListParagraph"/>
        <w:numPr>
          <w:ilvl w:val="1"/>
          <w:numId w:val="7"/>
        </w:numPr>
        <w:tabs>
          <w:tab w:val="left" w:pos="1085"/>
        </w:tabs>
        <w:spacing w:before="88" w:line="242" w:lineRule="auto"/>
        <w:ind w:right="817" w:hanging="180"/>
      </w:pPr>
      <w:r>
        <w:t>Establezca un mecanismo formal para la participación de las personas con discapacidad en la aplicación y supervisión de la CRPD y de los</w:t>
      </w:r>
      <w:r>
        <w:rPr>
          <w:spacing w:val="-8"/>
        </w:rPr>
        <w:t xml:space="preserve"> </w:t>
      </w:r>
      <w:r>
        <w:t>ODS.</w:t>
      </w:r>
    </w:p>
    <w:p w:rsidR="007A0A6C" w:rsidRDefault="007A0A6C">
      <w:pPr>
        <w:spacing w:line="242" w:lineRule="auto"/>
        <w:sectPr w:rsidR="007A0A6C">
          <w:pgSz w:w="11910" w:h="16840"/>
          <w:pgMar w:top="620" w:right="440" w:bottom="540" w:left="380" w:header="0" w:footer="343" w:gutter="0"/>
          <w:cols w:space="720"/>
        </w:sectPr>
      </w:pPr>
    </w:p>
    <w:p w:rsidR="007A0A6C" w:rsidRDefault="00660E26">
      <w:pPr>
        <w:pStyle w:val="Heading1"/>
      </w:pPr>
      <w:bookmarkStart w:id="101" w:name="Aplicación_y_supervisión_nacional_(artíc"/>
      <w:bookmarkStart w:id="102" w:name="_bookmark32"/>
      <w:bookmarkEnd w:id="101"/>
      <w:bookmarkEnd w:id="102"/>
      <w:r>
        <w:rPr>
          <w:color w:val="FFFFFF"/>
          <w:spacing w:val="-59"/>
          <w:shd w:val="clear" w:color="auto" w:fill="B31D30"/>
        </w:rPr>
        <w:lastRenderedPageBreak/>
        <w:t xml:space="preserve"> </w:t>
      </w:r>
      <w:bookmarkStart w:id="103" w:name="_Toc15026998"/>
      <w:bookmarkStart w:id="104" w:name="_Toc15027138"/>
      <w:r>
        <w:rPr>
          <w:color w:val="FFFFFF"/>
          <w:shd w:val="clear" w:color="auto" w:fill="B31D30"/>
        </w:rPr>
        <w:t>Aplicación y supervisión nacional (artículo 33)</w:t>
      </w:r>
      <w:bookmarkEnd w:id="103"/>
      <w:bookmarkEnd w:id="104"/>
      <w:r>
        <w:rPr>
          <w:color w:val="FFFFFF"/>
          <w:spacing w:val="4"/>
          <w:shd w:val="clear" w:color="auto" w:fill="B31D30"/>
        </w:rPr>
        <w:t xml:space="preserve"> </w:t>
      </w:r>
    </w:p>
    <w:p w:rsidR="007A0A6C" w:rsidRDefault="00660E26">
      <w:pPr>
        <w:pStyle w:val="ListParagraph"/>
        <w:numPr>
          <w:ilvl w:val="0"/>
          <w:numId w:val="7"/>
        </w:numPr>
        <w:tabs>
          <w:tab w:val="left" w:pos="1059"/>
          <w:tab w:val="left" w:pos="1060"/>
        </w:tabs>
        <w:spacing w:before="201" w:line="247" w:lineRule="auto"/>
        <w:ind w:right="303" w:hanging="720"/>
        <w:rPr>
          <w:sz w:val="20"/>
        </w:rPr>
      </w:pPr>
      <w:r>
        <w:t>El Departamento de Servicios Sociales (DSS) y el Departamento de la Fiscalía General (AGD) actúan como un ‘punto focal conjunto’ dentro del Gobierno de Australia para coordinar la implementación de la CRPD.</w:t>
      </w:r>
      <w:r>
        <w:rPr>
          <w:position w:val="7"/>
          <w:sz w:val="13"/>
        </w:rPr>
        <w:t xml:space="preserve">270 </w:t>
      </w:r>
      <w:r>
        <w:t>Esto reduce, en gran medida, la implementación de la NDS, que cuenta con escasos recursos y con medidas deficientes. Las recomendaciones de las revisiones de supervisión del tratado de las Naciones Unidas con respecto a los derechos de las personas con discapacidad no están incorporadas a las acciones concretas dentro de los marcos legislativos y políticos, que incluye a la</w:t>
      </w:r>
      <w:r>
        <w:rPr>
          <w:spacing w:val="-6"/>
        </w:rPr>
        <w:t xml:space="preserve"> </w:t>
      </w:r>
      <w:r>
        <w:t>NDS.</w:t>
      </w:r>
    </w:p>
    <w:p w:rsidR="007A0A6C" w:rsidRDefault="00660E26">
      <w:pPr>
        <w:pStyle w:val="BodyText"/>
        <w:spacing w:before="96" w:line="247" w:lineRule="auto"/>
        <w:ind w:right="633"/>
      </w:pPr>
      <w:r>
        <w:t>El AGD ha desarrollado una página web que supervisa el EPU</w:t>
      </w:r>
      <w:r>
        <w:rPr>
          <w:position w:val="7"/>
          <w:sz w:val="13"/>
        </w:rPr>
        <w:t xml:space="preserve">271 </w:t>
      </w:r>
      <w:r>
        <w:t>y que brinda información sobre el avance en cuanto a las recomendaciones del EPU. El informe del progreso está recopilado a partir de la información brindada por las entidades del Gobierno de Australia, pero no incluye ni información ni participación de las personas con discapacidad.</w:t>
      </w:r>
    </w:p>
    <w:p w:rsidR="007A0A6C" w:rsidRDefault="00660E26">
      <w:pPr>
        <w:pStyle w:val="BodyText"/>
        <w:spacing w:before="138" w:line="247" w:lineRule="auto"/>
      </w:pPr>
      <w:r>
        <w:t>La Comisión Australiana de Derechos Humanos carece de recursos adecuados para supervisar completamente la implementación de la CRPD.</w:t>
      </w:r>
    </w:p>
    <w:p w:rsidR="007A0A6C" w:rsidRDefault="00660E26">
      <w:pPr>
        <w:pStyle w:val="BodyText"/>
        <w:spacing w:before="139" w:line="247" w:lineRule="auto"/>
        <w:ind w:right="447"/>
      </w:pPr>
      <w:r>
        <w:t>No hay un mecanismo de participación formal con las DPO o DRO para garantizar la participación activa de las personas con discapacidad en la aplicación y supervisión nacional.</w:t>
      </w:r>
    </w:p>
    <w:p w:rsidR="007A0A6C" w:rsidRDefault="00660E26">
      <w:pPr>
        <w:pStyle w:val="Heading2"/>
        <w:tabs>
          <w:tab w:val="left" w:pos="10805"/>
        </w:tabs>
        <w:spacing w:before="208"/>
      </w:pPr>
      <w:r>
        <w:rPr>
          <w:color w:val="FFFFFF"/>
          <w:spacing w:val="-37"/>
          <w:shd w:val="clear" w:color="auto" w:fill="4C418E"/>
        </w:rPr>
        <w:t xml:space="preserve"> </w:t>
      </w:r>
      <w:r>
        <w:rPr>
          <w:color w:val="FFFFFF"/>
          <w:shd w:val="clear" w:color="auto" w:fill="4C418E"/>
        </w:rPr>
        <w:t>Recomendaciones</w:t>
      </w:r>
      <w:r>
        <w:rPr>
          <w:color w:val="FFFFFF"/>
          <w:shd w:val="clear" w:color="auto" w:fill="4C418E"/>
        </w:rPr>
        <w:tab/>
      </w:r>
    </w:p>
    <w:p w:rsidR="007A0A6C" w:rsidRDefault="00660E26">
      <w:pPr>
        <w:pStyle w:val="BodyText"/>
        <w:spacing w:before="179"/>
        <w:ind w:left="340"/>
      </w:pPr>
      <w:r>
        <w:t>Que Australia:</w:t>
      </w:r>
    </w:p>
    <w:p w:rsidR="007A0A6C" w:rsidRDefault="00660E26">
      <w:pPr>
        <w:pStyle w:val="ListParagraph"/>
        <w:numPr>
          <w:ilvl w:val="1"/>
          <w:numId w:val="7"/>
        </w:numPr>
        <w:tabs>
          <w:tab w:val="left" w:pos="1085"/>
        </w:tabs>
        <w:spacing w:before="88" w:line="244" w:lineRule="auto"/>
        <w:ind w:right="279" w:hanging="180"/>
      </w:pPr>
      <w:r>
        <w:t>Establezca un mecanismo formal para la participación productiva de las personas con discapacidad en la aplicación y supervisión de la CRPD, así como también en otros tratados sobre derechos humanos y recomendaciones del</w:t>
      </w:r>
      <w:r>
        <w:rPr>
          <w:spacing w:val="-3"/>
        </w:rPr>
        <w:t xml:space="preserve"> </w:t>
      </w:r>
      <w:r>
        <w:t>EPU.</w:t>
      </w:r>
    </w:p>
    <w:p w:rsidR="007A0A6C" w:rsidRDefault="00660E26">
      <w:pPr>
        <w:pStyle w:val="ListParagraph"/>
        <w:numPr>
          <w:ilvl w:val="1"/>
          <w:numId w:val="7"/>
        </w:numPr>
        <w:tabs>
          <w:tab w:val="left" w:pos="1085"/>
        </w:tabs>
        <w:spacing w:before="123" w:line="242" w:lineRule="auto"/>
        <w:ind w:right="415" w:hanging="180"/>
      </w:pPr>
      <w:r>
        <w:t>Que financie adecuadamente a las DPO y DRO para participar en la aplicación y supervisión de la CRPD.</w:t>
      </w:r>
    </w:p>
    <w:p w:rsidR="007A0A6C" w:rsidRDefault="007A0A6C">
      <w:pPr>
        <w:spacing w:line="242" w:lineRule="auto"/>
        <w:sectPr w:rsidR="007A0A6C">
          <w:pgSz w:w="11910" w:h="16840"/>
          <w:pgMar w:top="620" w:right="440" w:bottom="540" w:left="380" w:header="0" w:footer="343" w:gutter="0"/>
          <w:cols w:space="720"/>
        </w:sectPr>
      </w:pPr>
    </w:p>
    <w:p w:rsidR="007A0A6C" w:rsidRDefault="00660E26">
      <w:pPr>
        <w:pStyle w:val="Heading1"/>
        <w:tabs>
          <w:tab w:val="left" w:pos="10805"/>
        </w:tabs>
      </w:pPr>
      <w:bookmarkStart w:id="105" w:name="Referencias_y_notas"/>
      <w:bookmarkStart w:id="106" w:name="_bookmark33"/>
      <w:bookmarkEnd w:id="105"/>
      <w:bookmarkEnd w:id="106"/>
      <w:r>
        <w:rPr>
          <w:color w:val="FFFFFF"/>
          <w:spacing w:val="-59"/>
          <w:shd w:val="clear" w:color="auto" w:fill="B31D30"/>
        </w:rPr>
        <w:lastRenderedPageBreak/>
        <w:t xml:space="preserve"> </w:t>
      </w:r>
      <w:bookmarkStart w:id="107" w:name="_Toc15026999"/>
      <w:bookmarkStart w:id="108" w:name="_Toc15027139"/>
      <w:r>
        <w:rPr>
          <w:color w:val="FFFFFF"/>
          <w:spacing w:val="-4"/>
          <w:shd w:val="clear" w:color="auto" w:fill="B31D30"/>
        </w:rPr>
        <w:t xml:space="preserve">Referencias </w:t>
      </w:r>
      <w:r>
        <w:rPr>
          <w:color w:val="FFFFFF"/>
          <w:shd w:val="clear" w:color="auto" w:fill="B31D30"/>
        </w:rPr>
        <w:t>y</w:t>
      </w:r>
      <w:r>
        <w:rPr>
          <w:color w:val="FFFFFF"/>
          <w:spacing w:val="-20"/>
          <w:shd w:val="clear" w:color="auto" w:fill="B31D30"/>
        </w:rPr>
        <w:t xml:space="preserve"> </w:t>
      </w:r>
      <w:r>
        <w:rPr>
          <w:color w:val="FFFFFF"/>
          <w:shd w:val="clear" w:color="auto" w:fill="B31D30"/>
        </w:rPr>
        <w:t>notas</w:t>
      </w:r>
      <w:bookmarkEnd w:id="107"/>
      <w:bookmarkEnd w:id="108"/>
      <w:r>
        <w:rPr>
          <w:color w:val="FFFFFF"/>
          <w:shd w:val="clear" w:color="auto" w:fill="B31D30"/>
        </w:rPr>
        <w:tab/>
      </w:r>
    </w:p>
    <w:p w:rsidR="007A0A6C" w:rsidRDefault="00660E26">
      <w:pPr>
        <w:pStyle w:val="ListParagraph"/>
        <w:numPr>
          <w:ilvl w:val="0"/>
          <w:numId w:val="6"/>
        </w:numPr>
        <w:tabs>
          <w:tab w:val="left" w:pos="699"/>
          <w:tab w:val="left" w:pos="700"/>
        </w:tabs>
        <w:spacing w:before="178" w:line="261" w:lineRule="auto"/>
        <w:ind w:right="517" w:firstLine="0"/>
        <w:rPr>
          <w:sz w:val="16"/>
        </w:rPr>
      </w:pPr>
      <w:r>
        <w:rPr>
          <w:sz w:val="16"/>
        </w:rPr>
        <w:t>In early-mid 2019, the National Civil Society CRPD Shadow Report Working Group conducted an online survey for people with disability in Australia to provide an additional opportunity to contribute to the development of this Report. More than 1,000 people with disability responded to the Survey, and the findings of the Survey have been incorporated into this</w:t>
      </w:r>
      <w:r>
        <w:rPr>
          <w:spacing w:val="-11"/>
          <w:sz w:val="16"/>
        </w:rPr>
        <w:t xml:space="preserve"> </w:t>
      </w:r>
      <w:r>
        <w:rPr>
          <w:sz w:val="16"/>
        </w:rPr>
        <w:t>Report.</w:t>
      </w:r>
    </w:p>
    <w:p w:rsidR="007A0A6C" w:rsidRDefault="00660E26">
      <w:pPr>
        <w:pStyle w:val="ListParagraph"/>
        <w:numPr>
          <w:ilvl w:val="0"/>
          <w:numId w:val="6"/>
        </w:numPr>
        <w:tabs>
          <w:tab w:val="left" w:pos="700"/>
        </w:tabs>
        <w:spacing w:before="98" w:line="261" w:lineRule="auto"/>
        <w:ind w:right="448" w:firstLine="0"/>
        <w:jc w:val="both"/>
        <w:rPr>
          <w:sz w:val="16"/>
        </w:rPr>
      </w:pPr>
      <w:r>
        <w:rPr>
          <w:sz w:val="16"/>
        </w:rPr>
        <w:t>The</w:t>
      </w:r>
      <w:r>
        <w:rPr>
          <w:color w:val="215E9E"/>
          <w:sz w:val="16"/>
        </w:rPr>
        <w:t xml:space="preserve"> </w:t>
      </w:r>
      <w:r>
        <w:rPr>
          <w:color w:val="215E9E"/>
          <w:sz w:val="16"/>
          <w:u w:val="single" w:color="215E9E"/>
        </w:rPr>
        <w:t>Disability Discrimination Act 1992</w:t>
      </w:r>
      <w:r>
        <w:rPr>
          <w:color w:val="215E9E"/>
          <w:sz w:val="16"/>
        </w:rPr>
        <w:t xml:space="preserve"> </w:t>
      </w:r>
      <w:r>
        <w:rPr>
          <w:sz w:val="16"/>
        </w:rPr>
        <w:t>(Cth) (DDA) makes direct and indirect discrimination on the grounds of disability unlawful in relation to employment, education, access to premises, the provision of goods and services, accommodation, membership of clubs, associations, sports and the administration of Australian Federal laws and</w:t>
      </w:r>
      <w:r>
        <w:rPr>
          <w:spacing w:val="-14"/>
          <w:sz w:val="16"/>
        </w:rPr>
        <w:t xml:space="preserve"> </w:t>
      </w:r>
      <w:r>
        <w:rPr>
          <w:sz w:val="16"/>
        </w:rPr>
        <w:t>programs.</w:t>
      </w:r>
    </w:p>
    <w:p w:rsidR="007A0A6C" w:rsidRDefault="00660E26">
      <w:pPr>
        <w:pStyle w:val="ListParagraph"/>
        <w:numPr>
          <w:ilvl w:val="0"/>
          <w:numId w:val="6"/>
        </w:numPr>
        <w:tabs>
          <w:tab w:val="left" w:pos="699"/>
          <w:tab w:val="left" w:pos="700"/>
        </w:tabs>
        <w:spacing w:before="98" w:line="261" w:lineRule="auto"/>
        <w:ind w:right="386" w:firstLine="0"/>
        <w:rPr>
          <w:sz w:val="16"/>
        </w:rPr>
      </w:pPr>
      <w:r>
        <w:rPr>
          <w:sz w:val="16"/>
        </w:rPr>
        <w:t xml:space="preserve">For example: Victoria, Australian Capital </w:t>
      </w:r>
      <w:r>
        <w:rPr>
          <w:spacing w:val="-3"/>
          <w:sz w:val="16"/>
        </w:rPr>
        <w:t xml:space="preserve">Territory </w:t>
      </w:r>
      <w:r>
        <w:rPr>
          <w:sz w:val="16"/>
        </w:rPr>
        <w:t>(ACT) and Queensland human rights legislation do not protect economic, social and cultural rights.</w:t>
      </w:r>
    </w:p>
    <w:p w:rsidR="007A0A6C" w:rsidRDefault="00660E26">
      <w:pPr>
        <w:pStyle w:val="ListParagraph"/>
        <w:numPr>
          <w:ilvl w:val="0"/>
          <w:numId w:val="6"/>
        </w:numPr>
        <w:tabs>
          <w:tab w:val="left" w:pos="699"/>
          <w:tab w:val="left" w:pos="700"/>
        </w:tabs>
        <w:spacing w:before="99" w:line="261" w:lineRule="auto"/>
        <w:ind w:right="716" w:firstLine="0"/>
        <w:rPr>
          <w:sz w:val="16"/>
        </w:rPr>
      </w:pPr>
      <w:r>
        <w:rPr>
          <w:sz w:val="16"/>
        </w:rPr>
        <w:t>There remain many significant gaps, particularly in relation to fundamental human rights, including freedom from torture and ill-treatment, recognition of legal capacity, institutionalisation, indefinite and arbitrary detention and involuntary</w:t>
      </w:r>
      <w:r>
        <w:rPr>
          <w:spacing w:val="-22"/>
          <w:sz w:val="16"/>
        </w:rPr>
        <w:t xml:space="preserve"> </w:t>
      </w:r>
      <w:r>
        <w:rPr>
          <w:sz w:val="16"/>
        </w:rPr>
        <w:t>treatment.</w:t>
      </w:r>
    </w:p>
    <w:p w:rsidR="007A0A6C" w:rsidRDefault="00660E26">
      <w:pPr>
        <w:pStyle w:val="ListParagraph"/>
        <w:numPr>
          <w:ilvl w:val="0"/>
          <w:numId w:val="6"/>
        </w:numPr>
        <w:tabs>
          <w:tab w:val="left" w:pos="699"/>
          <w:tab w:val="left" w:pos="700"/>
        </w:tabs>
        <w:spacing w:before="99" w:line="261" w:lineRule="auto"/>
        <w:ind w:right="568" w:firstLine="0"/>
        <w:rPr>
          <w:sz w:val="16"/>
        </w:rPr>
      </w:pPr>
      <w:r>
        <w:rPr>
          <w:sz w:val="16"/>
        </w:rPr>
        <w:t>UN</w:t>
      </w:r>
      <w:r>
        <w:rPr>
          <w:spacing w:val="-4"/>
          <w:sz w:val="16"/>
        </w:rPr>
        <w:t xml:space="preserve"> </w:t>
      </w:r>
      <w:r>
        <w:rPr>
          <w:sz w:val="16"/>
        </w:rPr>
        <w:t>General</w:t>
      </w:r>
      <w:r>
        <w:rPr>
          <w:spacing w:val="-11"/>
          <w:sz w:val="16"/>
        </w:rPr>
        <w:t xml:space="preserve"> </w:t>
      </w:r>
      <w:r>
        <w:rPr>
          <w:sz w:val="16"/>
        </w:rPr>
        <w:t>Assembly,</w:t>
      </w:r>
      <w:r>
        <w:rPr>
          <w:spacing w:val="-2"/>
          <w:sz w:val="16"/>
        </w:rPr>
        <w:t xml:space="preserve"> </w:t>
      </w:r>
      <w:r>
        <w:rPr>
          <w:sz w:val="16"/>
        </w:rPr>
        <w:t>Human</w:t>
      </w:r>
      <w:r>
        <w:rPr>
          <w:spacing w:val="-3"/>
          <w:sz w:val="16"/>
        </w:rPr>
        <w:t xml:space="preserve"> </w:t>
      </w:r>
      <w:r>
        <w:rPr>
          <w:sz w:val="16"/>
        </w:rPr>
        <w:t>Rights</w:t>
      </w:r>
      <w:r>
        <w:rPr>
          <w:spacing w:val="-4"/>
          <w:sz w:val="16"/>
        </w:rPr>
        <w:t xml:space="preserve"> </w:t>
      </w:r>
      <w:r>
        <w:rPr>
          <w:sz w:val="16"/>
        </w:rPr>
        <w:t>Council</w:t>
      </w:r>
      <w:r>
        <w:rPr>
          <w:spacing w:val="-3"/>
          <w:sz w:val="16"/>
        </w:rPr>
        <w:t xml:space="preserve"> </w:t>
      </w:r>
      <w:r>
        <w:rPr>
          <w:sz w:val="16"/>
        </w:rPr>
        <w:t>Report</w:t>
      </w:r>
      <w:r>
        <w:rPr>
          <w:spacing w:val="-4"/>
          <w:sz w:val="16"/>
        </w:rPr>
        <w:t xml:space="preserve"> </w:t>
      </w:r>
      <w:r>
        <w:rPr>
          <w:sz w:val="16"/>
        </w:rPr>
        <w:t>of</w:t>
      </w:r>
      <w:r>
        <w:rPr>
          <w:spacing w:val="-3"/>
          <w:sz w:val="16"/>
        </w:rPr>
        <w:t xml:space="preserve"> </w:t>
      </w:r>
      <w:r>
        <w:rPr>
          <w:sz w:val="16"/>
        </w:rPr>
        <w:t>the</w:t>
      </w:r>
      <w:r>
        <w:rPr>
          <w:spacing w:val="-2"/>
          <w:sz w:val="16"/>
        </w:rPr>
        <w:t xml:space="preserve"> </w:t>
      </w:r>
      <w:r>
        <w:rPr>
          <w:sz w:val="16"/>
        </w:rPr>
        <w:t>Special</w:t>
      </w:r>
      <w:r>
        <w:rPr>
          <w:spacing w:val="-3"/>
          <w:sz w:val="16"/>
        </w:rPr>
        <w:t xml:space="preserve"> </w:t>
      </w:r>
      <w:r>
        <w:rPr>
          <w:sz w:val="16"/>
        </w:rPr>
        <w:t>Rapporteur</w:t>
      </w:r>
      <w:r>
        <w:rPr>
          <w:spacing w:val="-3"/>
          <w:sz w:val="16"/>
        </w:rPr>
        <w:t xml:space="preserve"> </w:t>
      </w:r>
      <w:r>
        <w:rPr>
          <w:sz w:val="16"/>
        </w:rPr>
        <w:t>on</w:t>
      </w:r>
      <w:r>
        <w:rPr>
          <w:spacing w:val="-3"/>
          <w:sz w:val="16"/>
        </w:rPr>
        <w:t xml:space="preserve"> </w:t>
      </w:r>
      <w:r>
        <w:rPr>
          <w:sz w:val="16"/>
        </w:rPr>
        <w:t>the</w:t>
      </w:r>
      <w:r>
        <w:rPr>
          <w:spacing w:val="-3"/>
          <w:sz w:val="16"/>
        </w:rPr>
        <w:t xml:space="preserve"> </w:t>
      </w:r>
      <w:r>
        <w:rPr>
          <w:sz w:val="16"/>
        </w:rPr>
        <w:t>human</w:t>
      </w:r>
      <w:r>
        <w:rPr>
          <w:spacing w:val="-3"/>
          <w:sz w:val="16"/>
        </w:rPr>
        <w:t xml:space="preserve"> </w:t>
      </w:r>
      <w:r>
        <w:rPr>
          <w:sz w:val="16"/>
        </w:rPr>
        <w:t>rights</w:t>
      </w:r>
      <w:r>
        <w:rPr>
          <w:spacing w:val="-3"/>
          <w:sz w:val="16"/>
        </w:rPr>
        <w:t xml:space="preserve"> </w:t>
      </w:r>
      <w:r>
        <w:rPr>
          <w:sz w:val="16"/>
        </w:rPr>
        <w:t>of</w:t>
      </w:r>
      <w:r>
        <w:rPr>
          <w:spacing w:val="-3"/>
          <w:sz w:val="16"/>
        </w:rPr>
        <w:t xml:space="preserve"> </w:t>
      </w:r>
      <w:r>
        <w:rPr>
          <w:sz w:val="16"/>
        </w:rPr>
        <w:t>migrants</w:t>
      </w:r>
      <w:r>
        <w:rPr>
          <w:spacing w:val="-2"/>
          <w:sz w:val="16"/>
        </w:rPr>
        <w:t xml:space="preserve"> </w:t>
      </w:r>
      <w:r>
        <w:rPr>
          <w:sz w:val="16"/>
        </w:rPr>
        <w:t>on</w:t>
      </w:r>
      <w:r>
        <w:rPr>
          <w:spacing w:val="-4"/>
          <w:sz w:val="16"/>
        </w:rPr>
        <w:t xml:space="preserve"> </w:t>
      </w:r>
      <w:r>
        <w:rPr>
          <w:sz w:val="16"/>
        </w:rPr>
        <w:t>his</w:t>
      </w:r>
      <w:r>
        <w:rPr>
          <w:spacing w:val="-3"/>
          <w:sz w:val="16"/>
        </w:rPr>
        <w:t xml:space="preserve"> </w:t>
      </w:r>
      <w:r>
        <w:rPr>
          <w:sz w:val="16"/>
        </w:rPr>
        <w:t>mission</w:t>
      </w:r>
      <w:r>
        <w:rPr>
          <w:spacing w:val="-2"/>
          <w:sz w:val="16"/>
        </w:rPr>
        <w:t xml:space="preserve"> </w:t>
      </w:r>
      <w:r>
        <w:rPr>
          <w:sz w:val="16"/>
        </w:rPr>
        <w:t>to</w:t>
      </w:r>
      <w:r>
        <w:rPr>
          <w:spacing w:val="-11"/>
          <w:sz w:val="16"/>
        </w:rPr>
        <w:t xml:space="preserve"> </w:t>
      </w:r>
      <w:r>
        <w:rPr>
          <w:sz w:val="16"/>
        </w:rPr>
        <w:t>Australia and the regional processing centres in Nauru; 24 April 2017, UN Doc No. A/HRC/35/25/Add.3. See also: Australian Government,</w:t>
      </w:r>
      <w:r>
        <w:rPr>
          <w:color w:val="215E9E"/>
          <w:sz w:val="16"/>
        </w:rPr>
        <w:t xml:space="preserve"> </w:t>
      </w:r>
      <w:r>
        <w:rPr>
          <w:color w:val="215E9E"/>
          <w:sz w:val="16"/>
          <w:u w:val="single" w:color="215E9E"/>
        </w:rPr>
        <w:t>Australian Government response to the Senate Community Affairs References Committee Reports</w:t>
      </w:r>
      <w:r>
        <w:rPr>
          <w:color w:val="215E9E"/>
          <w:sz w:val="16"/>
        </w:rPr>
        <w:t xml:space="preserve"> </w:t>
      </w:r>
      <w:r>
        <w:rPr>
          <w:sz w:val="16"/>
        </w:rPr>
        <w:t>(May</w:t>
      </w:r>
      <w:r>
        <w:rPr>
          <w:spacing w:val="-17"/>
          <w:sz w:val="16"/>
        </w:rPr>
        <w:t xml:space="preserve"> </w:t>
      </w:r>
      <w:r>
        <w:rPr>
          <w:sz w:val="16"/>
        </w:rPr>
        <w:t>2015).</w:t>
      </w:r>
    </w:p>
    <w:p w:rsidR="007A0A6C" w:rsidRDefault="00660E26">
      <w:pPr>
        <w:pStyle w:val="ListParagraph"/>
        <w:numPr>
          <w:ilvl w:val="0"/>
          <w:numId w:val="6"/>
        </w:numPr>
        <w:tabs>
          <w:tab w:val="left" w:pos="700"/>
        </w:tabs>
        <w:spacing w:before="98" w:line="261" w:lineRule="auto"/>
        <w:ind w:right="963" w:firstLine="0"/>
        <w:jc w:val="both"/>
        <w:rPr>
          <w:sz w:val="16"/>
        </w:rPr>
      </w:pPr>
      <w:r>
        <w:rPr>
          <w:sz w:val="16"/>
        </w:rPr>
        <w:t>Engagement is usually ad-hoc and/or one-off consultation processes, and do not reflect the Committee on the Rights of Persons with Disabilities, General comment No. 7 (2018) on the participation of persons with disabilities, including children with disabilities, through their representative organizations, in the implementation and monitoring of the Convention. See: UN Doc No.</w:t>
      </w:r>
      <w:r>
        <w:rPr>
          <w:spacing w:val="-27"/>
          <w:sz w:val="16"/>
        </w:rPr>
        <w:t xml:space="preserve"> </w:t>
      </w:r>
      <w:r>
        <w:rPr>
          <w:sz w:val="16"/>
        </w:rPr>
        <w:t>CRPD/C/GC/7.</w:t>
      </w:r>
    </w:p>
    <w:p w:rsidR="007A0A6C" w:rsidRDefault="00660E26">
      <w:pPr>
        <w:pStyle w:val="ListParagraph"/>
        <w:numPr>
          <w:ilvl w:val="0"/>
          <w:numId w:val="6"/>
        </w:numPr>
        <w:tabs>
          <w:tab w:val="left" w:pos="699"/>
          <w:tab w:val="left" w:pos="700"/>
        </w:tabs>
        <w:spacing w:before="99" w:line="261" w:lineRule="auto"/>
        <w:ind w:right="613" w:firstLine="0"/>
        <w:rPr>
          <w:sz w:val="16"/>
        </w:rPr>
      </w:pPr>
      <w:r>
        <w:rPr>
          <w:sz w:val="16"/>
        </w:rPr>
        <w:t>DPOs and DROs are only funded for a two year period, indexation is not applied to funding and there are restrictions on how this funding can be used. DPO and DRO funding contracts specify that funding cannot be used for international travel, including for CRPD related and other international human rights</w:t>
      </w:r>
      <w:r>
        <w:rPr>
          <w:spacing w:val="-3"/>
          <w:sz w:val="16"/>
        </w:rPr>
        <w:t xml:space="preserve"> </w:t>
      </w:r>
      <w:r>
        <w:rPr>
          <w:sz w:val="16"/>
        </w:rPr>
        <w:t>events.</w:t>
      </w:r>
    </w:p>
    <w:p w:rsidR="007A0A6C" w:rsidRDefault="00660E26">
      <w:pPr>
        <w:pStyle w:val="ListParagraph"/>
        <w:numPr>
          <w:ilvl w:val="0"/>
          <w:numId w:val="6"/>
        </w:numPr>
        <w:tabs>
          <w:tab w:val="left" w:pos="699"/>
          <w:tab w:val="left" w:pos="700"/>
        </w:tabs>
        <w:spacing w:before="98" w:line="261" w:lineRule="auto"/>
        <w:ind w:right="348" w:firstLine="0"/>
        <w:rPr>
          <w:sz w:val="16"/>
        </w:rPr>
      </w:pPr>
      <w:r>
        <w:rPr>
          <w:color w:val="215E9E"/>
          <w:sz w:val="16"/>
          <w:u w:val="single" w:color="215E9E"/>
        </w:rPr>
        <w:t>The National Disability Advocacy Program (NDAP)</w:t>
      </w:r>
      <w:r>
        <w:rPr>
          <w:color w:val="215E9E"/>
          <w:sz w:val="16"/>
        </w:rPr>
        <w:t xml:space="preserve"> </w:t>
      </w:r>
      <w:r>
        <w:rPr>
          <w:sz w:val="16"/>
        </w:rPr>
        <w:t>provides people with disability with access to effective disability advocacy that promotes, protects</w:t>
      </w:r>
      <w:r>
        <w:rPr>
          <w:spacing w:val="-5"/>
          <w:sz w:val="16"/>
        </w:rPr>
        <w:t xml:space="preserve"> </w:t>
      </w:r>
      <w:r>
        <w:rPr>
          <w:sz w:val="16"/>
        </w:rPr>
        <w:t>and</w:t>
      </w:r>
      <w:r>
        <w:rPr>
          <w:spacing w:val="-4"/>
          <w:sz w:val="16"/>
        </w:rPr>
        <w:t xml:space="preserve"> </w:t>
      </w:r>
      <w:r>
        <w:rPr>
          <w:sz w:val="16"/>
        </w:rPr>
        <w:t>ensures</w:t>
      </w:r>
      <w:r>
        <w:rPr>
          <w:spacing w:val="-4"/>
          <w:sz w:val="16"/>
        </w:rPr>
        <w:t xml:space="preserve"> </w:t>
      </w:r>
      <w:r>
        <w:rPr>
          <w:sz w:val="16"/>
        </w:rPr>
        <w:t>their</w:t>
      </w:r>
      <w:r>
        <w:rPr>
          <w:spacing w:val="-3"/>
          <w:sz w:val="16"/>
        </w:rPr>
        <w:t xml:space="preserve"> </w:t>
      </w:r>
      <w:r>
        <w:rPr>
          <w:sz w:val="16"/>
        </w:rPr>
        <w:t>full</w:t>
      </w:r>
      <w:r>
        <w:rPr>
          <w:spacing w:val="-4"/>
          <w:sz w:val="16"/>
        </w:rPr>
        <w:t xml:space="preserve"> </w:t>
      </w:r>
      <w:r>
        <w:rPr>
          <w:sz w:val="16"/>
        </w:rPr>
        <w:t>and</w:t>
      </w:r>
      <w:r>
        <w:rPr>
          <w:spacing w:val="-4"/>
          <w:sz w:val="16"/>
        </w:rPr>
        <w:t xml:space="preserve"> </w:t>
      </w:r>
      <w:r>
        <w:rPr>
          <w:sz w:val="16"/>
        </w:rPr>
        <w:t>equal</w:t>
      </w:r>
      <w:r>
        <w:rPr>
          <w:spacing w:val="-4"/>
          <w:sz w:val="16"/>
        </w:rPr>
        <w:t xml:space="preserve"> </w:t>
      </w:r>
      <w:r>
        <w:rPr>
          <w:sz w:val="16"/>
        </w:rPr>
        <w:t>enjoyment</w:t>
      </w:r>
      <w:r>
        <w:rPr>
          <w:spacing w:val="-4"/>
          <w:sz w:val="16"/>
        </w:rPr>
        <w:t xml:space="preserve"> </w:t>
      </w:r>
      <w:r>
        <w:rPr>
          <w:sz w:val="16"/>
        </w:rPr>
        <w:t>of</w:t>
      </w:r>
      <w:r>
        <w:rPr>
          <w:spacing w:val="-4"/>
          <w:sz w:val="16"/>
        </w:rPr>
        <w:t xml:space="preserve"> </w:t>
      </w:r>
      <w:r>
        <w:rPr>
          <w:sz w:val="16"/>
        </w:rPr>
        <w:t>all</w:t>
      </w:r>
      <w:r>
        <w:rPr>
          <w:spacing w:val="-4"/>
          <w:sz w:val="16"/>
        </w:rPr>
        <w:t xml:space="preserve"> </w:t>
      </w:r>
      <w:r>
        <w:rPr>
          <w:sz w:val="16"/>
        </w:rPr>
        <w:t>human</w:t>
      </w:r>
      <w:r>
        <w:rPr>
          <w:spacing w:val="-5"/>
          <w:sz w:val="16"/>
        </w:rPr>
        <w:t xml:space="preserve"> </w:t>
      </w:r>
      <w:r>
        <w:rPr>
          <w:sz w:val="16"/>
        </w:rPr>
        <w:t>rights</w:t>
      </w:r>
      <w:r>
        <w:rPr>
          <w:spacing w:val="-3"/>
          <w:sz w:val="16"/>
        </w:rPr>
        <w:t xml:space="preserve"> </w:t>
      </w:r>
      <w:r>
        <w:rPr>
          <w:sz w:val="16"/>
        </w:rPr>
        <w:t>enabling</w:t>
      </w:r>
      <w:r>
        <w:rPr>
          <w:spacing w:val="-4"/>
          <w:sz w:val="16"/>
        </w:rPr>
        <w:t xml:space="preserve"> </w:t>
      </w:r>
      <w:r>
        <w:rPr>
          <w:sz w:val="16"/>
        </w:rPr>
        <w:t>community</w:t>
      </w:r>
      <w:r>
        <w:rPr>
          <w:spacing w:val="-3"/>
          <w:sz w:val="16"/>
        </w:rPr>
        <w:t xml:space="preserve"> </w:t>
      </w:r>
      <w:r>
        <w:rPr>
          <w:sz w:val="16"/>
        </w:rPr>
        <w:t>participation.</w:t>
      </w:r>
      <w:r>
        <w:rPr>
          <w:spacing w:val="-5"/>
          <w:sz w:val="16"/>
        </w:rPr>
        <w:t xml:space="preserve"> </w:t>
      </w:r>
      <w:r>
        <w:rPr>
          <w:sz w:val="16"/>
        </w:rPr>
        <w:t>See</w:t>
      </w:r>
      <w:r>
        <w:rPr>
          <w:spacing w:val="-3"/>
          <w:sz w:val="16"/>
        </w:rPr>
        <w:t xml:space="preserve"> </w:t>
      </w:r>
      <w:r>
        <w:rPr>
          <w:sz w:val="16"/>
        </w:rPr>
        <w:t>also:</w:t>
      </w:r>
      <w:r>
        <w:rPr>
          <w:spacing w:val="-10"/>
          <w:sz w:val="16"/>
        </w:rPr>
        <w:t xml:space="preserve"> </w:t>
      </w:r>
      <w:r>
        <w:rPr>
          <w:sz w:val="16"/>
        </w:rPr>
        <w:t>Australian</w:t>
      </w:r>
      <w:r>
        <w:rPr>
          <w:spacing w:val="-4"/>
          <w:sz w:val="16"/>
        </w:rPr>
        <w:t xml:space="preserve"> </w:t>
      </w:r>
      <w:r>
        <w:rPr>
          <w:sz w:val="16"/>
        </w:rPr>
        <w:t>Department</w:t>
      </w:r>
      <w:r>
        <w:rPr>
          <w:spacing w:val="-4"/>
          <w:sz w:val="16"/>
        </w:rPr>
        <w:t xml:space="preserve"> </w:t>
      </w:r>
      <w:r>
        <w:rPr>
          <w:sz w:val="16"/>
        </w:rPr>
        <w:t>of</w:t>
      </w:r>
      <w:r>
        <w:rPr>
          <w:spacing w:val="-4"/>
          <w:sz w:val="16"/>
        </w:rPr>
        <w:t xml:space="preserve"> </w:t>
      </w:r>
      <w:r>
        <w:rPr>
          <w:sz w:val="16"/>
        </w:rPr>
        <w:t>Social Services (DSS)</w:t>
      </w:r>
      <w:r>
        <w:rPr>
          <w:color w:val="215E9E"/>
          <w:sz w:val="16"/>
        </w:rPr>
        <w:t xml:space="preserve"> </w:t>
      </w:r>
      <w:r>
        <w:rPr>
          <w:color w:val="215E9E"/>
          <w:sz w:val="16"/>
          <w:u w:val="single" w:color="215E9E"/>
        </w:rPr>
        <w:t>Fact Sheet: Disability advocacy and the</w:t>
      </w:r>
      <w:r>
        <w:rPr>
          <w:color w:val="215E9E"/>
          <w:spacing w:val="-6"/>
          <w:sz w:val="16"/>
          <w:u w:val="single" w:color="215E9E"/>
        </w:rPr>
        <w:t xml:space="preserve"> </w:t>
      </w:r>
      <w:r>
        <w:rPr>
          <w:color w:val="215E9E"/>
          <w:sz w:val="16"/>
          <w:u w:val="single" w:color="215E9E"/>
        </w:rPr>
        <w:t>NDIS</w:t>
      </w:r>
      <w:r>
        <w:rPr>
          <w:sz w:val="16"/>
        </w:rPr>
        <w:t>.</w:t>
      </w:r>
    </w:p>
    <w:p w:rsidR="007A0A6C" w:rsidRDefault="00660E26">
      <w:pPr>
        <w:pStyle w:val="ListParagraph"/>
        <w:numPr>
          <w:ilvl w:val="0"/>
          <w:numId w:val="6"/>
        </w:numPr>
        <w:tabs>
          <w:tab w:val="left" w:pos="699"/>
          <w:tab w:val="left" w:pos="700"/>
        </w:tabs>
        <w:spacing w:before="99" w:line="261" w:lineRule="auto"/>
        <w:ind w:right="518" w:firstLine="0"/>
        <w:rPr>
          <w:sz w:val="16"/>
        </w:rPr>
      </w:pPr>
      <w:r>
        <w:rPr>
          <w:color w:val="215E9E"/>
          <w:sz w:val="16"/>
          <w:u w:val="single" w:color="215E9E"/>
        </w:rPr>
        <w:t>The</w:t>
      </w:r>
      <w:r>
        <w:rPr>
          <w:color w:val="215E9E"/>
          <w:spacing w:val="-3"/>
          <w:sz w:val="16"/>
          <w:u w:val="single" w:color="215E9E"/>
        </w:rPr>
        <w:t xml:space="preserve"> </w:t>
      </w:r>
      <w:r>
        <w:rPr>
          <w:color w:val="215E9E"/>
          <w:sz w:val="16"/>
          <w:u w:val="single" w:color="215E9E"/>
        </w:rPr>
        <w:t>National</w:t>
      </w:r>
      <w:r>
        <w:rPr>
          <w:color w:val="215E9E"/>
          <w:spacing w:val="-4"/>
          <w:sz w:val="16"/>
          <w:u w:val="single" w:color="215E9E"/>
        </w:rPr>
        <w:t xml:space="preserve"> </w:t>
      </w:r>
      <w:r>
        <w:rPr>
          <w:color w:val="215E9E"/>
          <w:sz w:val="16"/>
          <w:u w:val="single" w:color="215E9E"/>
        </w:rPr>
        <w:t>Disability</w:t>
      </w:r>
      <w:r>
        <w:rPr>
          <w:color w:val="215E9E"/>
          <w:spacing w:val="-3"/>
          <w:sz w:val="16"/>
          <w:u w:val="single" w:color="215E9E"/>
        </w:rPr>
        <w:t xml:space="preserve"> </w:t>
      </w:r>
      <w:r>
        <w:rPr>
          <w:color w:val="215E9E"/>
          <w:sz w:val="16"/>
          <w:u w:val="single" w:color="215E9E"/>
        </w:rPr>
        <w:t>Insurance</w:t>
      </w:r>
      <w:r>
        <w:rPr>
          <w:color w:val="215E9E"/>
          <w:spacing w:val="-3"/>
          <w:sz w:val="16"/>
          <w:u w:val="single" w:color="215E9E"/>
        </w:rPr>
        <w:t xml:space="preserve"> </w:t>
      </w:r>
      <w:r>
        <w:rPr>
          <w:color w:val="215E9E"/>
          <w:sz w:val="16"/>
          <w:u w:val="single" w:color="215E9E"/>
        </w:rPr>
        <w:t>Scheme</w:t>
      </w:r>
      <w:r>
        <w:rPr>
          <w:color w:val="215E9E"/>
          <w:spacing w:val="-3"/>
          <w:sz w:val="16"/>
          <w:u w:val="single" w:color="215E9E"/>
        </w:rPr>
        <w:t xml:space="preserve"> </w:t>
      </w:r>
      <w:r>
        <w:rPr>
          <w:color w:val="215E9E"/>
          <w:sz w:val="16"/>
          <w:u w:val="single" w:color="215E9E"/>
        </w:rPr>
        <w:t>(NDIS)</w:t>
      </w:r>
      <w:r>
        <w:rPr>
          <w:color w:val="215E9E"/>
          <w:spacing w:val="-2"/>
          <w:sz w:val="16"/>
        </w:rPr>
        <w:t xml:space="preserve"> </w:t>
      </w:r>
      <w:r>
        <w:rPr>
          <w:sz w:val="16"/>
        </w:rPr>
        <w:t>is</w:t>
      </w:r>
      <w:r>
        <w:rPr>
          <w:spacing w:val="-4"/>
          <w:sz w:val="16"/>
        </w:rPr>
        <w:t xml:space="preserve"> </w:t>
      </w:r>
      <w:r>
        <w:rPr>
          <w:sz w:val="16"/>
        </w:rPr>
        <w:t>a</w:t>
      </w:r>
      <w:r>
        <w:rPr>
          <w:spacing w:val="-3"/>
          <w:sz w:val="16"/>
        </w:rPr>
        <w:t xml:space="preserve"> </w:t>
      </w:r>
      <w:r>
        <w:rPr>
          <w:sz w:val="16"/>
        </w:rPr>
        <w:t>universal</w:t>
      </w:r>
      <w:r>
        <w:rPr>
          <w:spacing w:val="-4"/>
          <w:sz w:val="16"/>
        </w:rPr>
        <w:t xml:space="preserve"> </w:t>
      </w:r>
      <w:r>
        <w:rPr>
          <w:sz w:val="16"/>
        </w:rPr>
        <w:t>scheme</w:t>
      </w:r>
      <w:r>
        <w:rPr>
          <w:spacing w:val="-3"/>
          <w:sz w:val="16"/>
        </w:rPr>
        <w:t xml:space="preserve"> </w:t>
      </w:r>
      <w:r>
        <w:rPr>
          <w:sz w:val="16"/>
        </w:rPr>
        <w:t>that</w:t>
      </w:r>
      <w:r>
        <w:rPr>
          <w:spacing w:val="-2"/>
          <w:sz w:val="16"/>
        </w:rPr>
        <w:t xml:space="preserve"> </w:t>
      </w:r>
      <w:r>
        <w:rPr>
          <w:sz w:val="16"/>
        </w:rPr>
        <w:t>funds</w:t>
      </w:r>
      <w:r>
        <w:rPr>
          <w:spacing w:val="-3"/>
          <w:sz w:val="16"/>
        </w:rPr>
        <w:t xml:space="preserve"> </w:t>
      </w:r>
      <w:r>
        <w:rPr>
          <w:sz w:val="16"/>
        </w:rPr>
        <w:t>‘reasonable</w:t>
      </w:r>
      <w:r>
        <w:rPr>
          <w:spacing w:val="-3"/>
          <w:sz w:val="16"/>
        </w:rPr>
        <w:t xml:space="preserve"> </w:t>
      </w:r>
      <w:r>
        <w:rPr>
          <w:sz w:val="16"/>
        </w:rPr>
        <w:t>and</w:t>
      </w:r>
      <w:r>
        <w:rPr>
          <w:spacing w:val="-4"/>
          <w:sz w:val="16"/>
        </w:rPr>
        <w:t xml:space="preserve"> </w:t>
      </w:r>
      <w:r>
        <w:rPr>
          <w:sz w:val="16"/>
        </w:rPr>
        <w:t>necessary’</w:t>
      </w:r>
      <w:r>
        <w:rPr>
          <w:spacing w:val="-8"/>
          <w:sz w:val="16"/>
        </w:rPr>
        <w:t xml:space="preserve"> </w:t>
      </w:r>
      <w:r>
        <w:rPr>
          <w:sz w:val="16"/>
        </w:rPr>
        <w:t>supports</w:t>
      </w:r>
      <w:r>
        <w:rPr>
          <w:spacing w:val="-3"/>
          <w:sz w:val="16"/>
        </w:rPr>
        <w:t xml:space="preserve"> </w:t>
      </w:r>
      <w:r>
        <w:rPr>
          <w:sz w:val="16"/>
        </w:rPr>
        <w:t>for</w:t>
      </w:r>
      <w:r>
        <w:rPr>
          <w:spacing w:val="-11"/>
          <w:sz w:val="16"/>
        </w:rPr>
        <w:t xml:space="preserve"> </w:t>
      </w:r>
      <w:r>
        <w:rPr>
          <w:sz w:val="16"/>
        </w:rPr>
        <w:t>Australians</w:t>
      </w:r>
      <w:r>
        <w:rPr>
          <w:spacing w:val="-3"/>
          <w:sz w:val="16"/>
        </w:rPr>
        <w:t xml:space="preserve"> </w:t>
      </w:r>
      <w:r>
        <w:rPr>
          <w:sz w:val="16"/>
        </w:rPr>
        <w:t>with permanent and significant disability, and which is expected to be fully rolled out across Australia by</w:t>
      </w:r>
      <w:r>
        <w:rPr>
          <w:spacing w:val="-30"/>
          <w:sz w:val="16"/>
        </w:rPr>
        <w:t xml:space="preserve"> </w:t>
      </w:r>
      <w:r>
        <w:rPr>
          <w:sz w:val="16"/>
        </w:rPr>
        <w:t>2020.</w:t>
      </w:r>
    </w:p>
    <w:p w:rsidR="007A0A6C" w:rsidRDefault="00660E26">
      <w:pPr>
        <w:spacing w:before="98"/>
        <w:ind w:left="340"/>
        <w:rPr>
          <w:sz w:val="16"/>
        </w:rPr>
      </w:pPr>
      <w:r>
        <w:rPr>
          <w:sz w:val="16"/>
        </w:rPr>
        <w:t>10  This is particularly the case for Aboriginal and Torres Strait Islander peoples in rural and remote areas.</w:t>
      </w:r>
    </w:p>
    <w:p w:rsidR="007A0A6C" w:rsidRDefault="00660E26">
      <w:pPr>
        <w:pStyle w:val="ListParagraph"/>
        <w:numPr>
          <w:ilvl w:val="0"/>
          <w:numId w:val="5"/>
        </w:numPr>
        <w:tabs>
          <w:tab w:val="left" w:pos="700"/>
        </w:tabs>
        <w:spacing w:line="261" w:lineRule="auto"/>
        <w:ind w:right="640" w:firstLine="0"/>
        <w:rPr>
          <w:sz w:val="16"/>
        </w:rPr>
      </w:pPr>
      <w:r>
        <w:rPr>
          <w:sz w:val="16"/>
        </w:rPr>
        <w:t>The</w:t>
      </w:r>
      <w:r>
        <w:rPr>
          <w:color w:val="215E9E"/>
          <w:spacing w:val="-4"/>
          <w:sz w:val="16"/>
        </w:rPr>
        <w:t xml:space="preserve"> </w:t>
      </w:r>
      <w:r>
        <w:rPr>
          <w:color w:val="215E9E"/>
          <w:sz w:val="16"/>
          <w:u w:val="single" w:color="215E9E"/>
        </w:rPr>
        <w:t>Productivity</w:t>
      </w:r>
      <w:r>
        <w:rPr>
          <w:color w:val="215E9E"/>
          <w:spacing w:val="-2"/>
          <w:sz w:val="16"/>
          <w:u w:val="single" w:color="215E9E"/>
        </w:rPr>
        <w:t xml:space="preserve"> </w:t>
      </w:r>
      <w:r>
        <w:rPr>
          <w:color w:val="215E9E"/>
          <w:sz w:val="16"/>
          <w:u w:val="single" w:color="215E9E"/>
        </w:rPr>
        <w:t>Commission</w:t>
      </w:r>
      <w:r>
        <w:rPr>
          <w:color w:val="215E9E"/>
          <w:spacing w:val="-3"/>
          <w:sz w:val="16"/>
        </w:rPr>
        <w:t xml:space="preserve"> </w:t>
      </w:r>
      <w:r>
        <w:rPr>
          <w:sz w:val="16"/>
        </w:rPr>
        <w:t>is</w:t>
      </w:r>
      <w:r>
        <w:rPr>
          <w:spacing w:val="-4"/>
          <w:sz w:val="16"/>
        </w:rPr>
        <w:t xml:space="preserve"> </w:t>
      </w:r>
      <w:r>
        <w:rPr>
          <w:sz w:val="16"/>
        </w:rPr>
        <w:t>the</w:t>
      </w:r>
      <w:r>
        <w:rPr>
          <w:spacing w:val="-11"/>
          <w:sz w:val="16"/>
        </w:rPr>
        <w:t xml:space="preserve"> </w:t>
      </w:r>
      <w:r>
        <w:rPr>
          <w:sz w:val="16"/>
        </w:rPr>
        <w:t>Australian</w:t>
      </w:r>
      <w:r>
        <w:rPr>
          <w:spacing w:val="-2"/>
          <w:sz w:val="16"/>
        </w:rPr>
        <w:t xml:space="preserve"> </w:t>
      </w:r>
      <w:r>
        <w:rPr>
          <w:sz w:val="16"/>
        </w:rPr>
        <w:t>Government’s</w:t>
      </w:r>
      <w:r>
        <w:rPr>
          <w:spacing w:val="-3"/>
          <w:sz w:val="16"/>
        </w:rPr>
        <w:t xml:space="preserve"> </w:t>
      </w:r>
      <w:r>
        <w:rPr>
          <w:sz w:val="16"/>
        </w:rPr>
        <w:t>independent</w:t>
      </w:r>
      <w:r>
        <w:rPr>
          <w:spacing w:val="-3"/>
          <w:sz w:val="16"/>
        </w:rPr>
        <w:t xml:space="preserve"> </w:t>
      </w:r>
      <w:r>
        <w:rPr>
          <w:sz w:val="16"/>
        </w:rPr>
        <w:t>research</w:t>
      </w:r>
      <w:r>
        <w:rPr>
          <w:spacing w:val="-3"/>
          <w:sz w:val="16"/>
        </w:rPr>
        <w:t xml:space="preserve"> </w:t>
      </w:r>
      <w:r>
        <w:rPr>
          <w:sz w:val="16"/>
        </w:rPr>
        <w:t>and</w:t>
      </w:r>
      <w:r>
        <w:rPr>
          <w:spacing w:val="-3"/>
          <w:sz w:val="16"/>
        </w:rPr>
        <w:t xml:space="preserve"> </w:t>
      </w:r>
      <w:r>
        <w:rPr>
          <w:sz w:val="16"/>
        </w:rPr>
        <w:t>advisory</w:t>
      </w:r>
      <w:r>
        <w:rPr>
          <w:spacing w:val="-4"/>
          <w:sz w:val="16"/>
        </w:rPr>
        <w:t xml:space="preserve"> </w:t>
      </w:r>
      <w:r>
        <w:rPr>
          <w:sz w:val="16"/>
        </w:rPr>
        <w:t>body</w:t>
      </w:r>
      <w:r>
        <w:rPr>
          <w:spacing w:val="-3"/>
          <w:sz w:val="16"/>
        </w:rPr>
        <w:t xml:space="preserve"> </w:t>
      </w:r>
      <w:r>
        <w:rPr>
          <w:sz w:val="16"/>
        </w:rPr>
        <w:t>on</w:t>
      </w:r>
      <w:r>
        <w:rPr>
          <w:spacing w:val="-3"/>
          <w:sz w:val="16"/>
        </w:rPr>
        <w:t xml:space="preserve"> </w:t>
      </w:r>
      <w:r>
        <w:rPr>
          <w:sz w:val="16"/>
        </w:rPr>
        <w:t>a</w:t>
      </w:r>
      <w:r>
        <w:rPr>
          <w:spacing w:val="-4"/>
          <w:sz w:val="16"/>
        </w:rPr>
        <w:t xml:space="preserve"> </w:t>
      </w:r>
      <w:r>
        <w:rPr>
          <w:sz w:val="16"/>
        </w:rPr>
        <w:t>range</w:t>
      </w:r>
      <w:r>
        <w:rPr>
          <w:spacing w:val="-2"/>
          <w:sz w:val="16"/>
        </w:rPr>
        <w:t xml:space="preserve"> </w:t>
      </w:r>
      <w:r>
        <w:rPr>
          <w:sz w:val="16"/>
        </w:rPr>
        <w:t>of</w:t>
      </w:r>
      <w:r>
        <w:rPr>
          <w:spacing w:val="-4"/>
          <w:sz w:val="16"/>
        </w:rPr>
        <w:t xml:space="preserve"> </w:t>
      </w:r>
      <w:r>
        <w:rPr>
          <w:sz w:val="16"/>
        </w:rPr>
        <w:t>economic,</w:t>
      </w:r>
      <w:r>
        <w:rPr>
          <w:spacing w:val="-3"/>
          <w:sz w:val="16"/>
        </w:rPr>
        <w:t xml:space="preserve"> </w:t>
      </w:r>
      <w:r>
        <w:rPr>
          <w:sz w:val="16"/>
        </w:rPr>
        <w:t>social</w:t>
      </w:r>
      <w:r>
        <w:rPr>
          <w:spacing w:val="-3"/>
          <w:sz w:val="16"/>
        </w:rPr>
        <w:t xml:space="preserve"> </w:t>
      </w:r>
      <w:r>
        <w:rPr>
          <w:sz w:val="16"/>
        </w:rPr>
        <w:t>and environmental issues affecting the welfare of</w:t>
      </w:r>
      <w:r>
        <w:rPr>
          <w:spacing w:val="-14"/>
          <w:sz w:val="16"/>
        </w:rPr>
        <w:t xml:space="preserve"> </w:t>
      </w:r>
      <w:r>
        <w:rPr>
          <w:sz w:val="16"/>
        </w:rPr>
        <w:t>Australians.</w:t>
      </w:r>
    </w:p>
    <w:p w:rsidR="007A0A6C" w:rsidRDefault="00660E26">
      <w:pPr>
        <w:pStyle w:val="ListParagraph"/>
        <w:numPr>
          <w:ilvl w:val="0"/>
          <w:numId w:val="5"/>
        </w:numPr>
        <w:tabs>
          <w:tab w:val="left" w:pos="700"/>
        </w:tabs>
        <w:spacing w:before="99"/>
        <w:ind w:left="700"/>
        <w:rPr>
          <w:sz w:val="16"/>
        </w:rPr>
      </w:pPr>
      <w:r>
        <w:rPr>
          <w:sz w:val="16"/>
        </w:rPr>
        <w:t>Productivity Commission (2017)</w:t>
      </w:r>
      <w:r>
        <w:rPr>
          <w:color w:val="215E9E"/>
          <w:sz w:val="16"/>
        </w:rPr>
        <w:t xml:space="preserve"> </w:t>
      </w:r>
      <w:r>
        <w:rPr>
          <w:color w:val="215E9E"/>
          <w:sz w:val="16"/>
          <w:u w:val="single" w:color="215E9E"/>
        </w:rPr>
        <w:t>National Disability Insurance Scheme (NDIS) Costs</w:t>
      </w:r>
      <w:r>
        <w:rPr>
          <w:sz w:val="16"/>
        </w:rPr>
        <w:t>, Study Report,</w:t>
      </w:r>
      <w:r>
        <w:rPr>
          <w:spacing w:val="-11"/>
          <w:sz w:val="16"/>
        </w:rPr>
        <w:t xml:space="preserve"> </w:t>
      </w:r>
      <w:r>
        <w:rPr>
          <w:sz w:val="16"/>
        </w:rPr>
        <w:t>Canberra.</w:t>
      </w:r>
    </w:p>
    <w:p w:rsidR="007A0A6C" w:rsidRDefault="00660E26">
      <w:pPr>
        <w:pStyle w:val="ListParagraph"/>
        <w:numPr>
          <w:ilvl w:val="0"/>
          <w:numId w:val="5"/>
        </w:numPr>
        <w:tabs>
          <w:tab w:val="left" w:pos="700"/>
        </w:tabs>
        <w:ind w:left="700"/>
        <w:rPr>
          <w:sz w:val="16"/>
        </w:rPr>
      </w:pPr>
      <w:r>
        <w:rPr>
          <w:sz w:val="16"/>
        </w:rPr>
        <w:t>Australian Government,</w:t>
      </w:r>
      <w:r>
        <w:rPr>
          <w:color w:val="215E9E"/>
          <w:sz w:val="16"/>
        </w:rPr>
        <w:t xml:space="preserve"> </w:t>
      </w:r>
      <w:r>
        <w:rPr>
          <w:color w:val="215E9E"/>
          <w:sz w:val="16"/>
          <w:u w:val="single" w:color="215E9E"/>
        </w:rPr>
        <w:t>National Disability Strategy 2010-2020</w:t>
      </w:r>
      <w:r>
        <w:rPr>
          <w:sz w:val="16"/>
        </w:rPr>
        <w:t>. Department of Social Services,</w:t>
      </w:r>
      <w:r>
        <w:rPr>
          <w:spacing w:val="-11"/>
          <w:sz w:val="16"/>
        </w:rPr>
        <w:t xml:space="preserve"> </w:t>
      </w:r>
      <w:r>
        <w:rPr>
          <w:sz w:val="16"/>
        </w:rPr>
        <w:t>Canberra.</w:t>
      </w:r>
    </w:p>
    <w:p w:rsidR="007A0A6C" w:rsidRDefault="00660E26">
      <w:pPr>
        <w:spacing w:before="116"/>
        <w:ind w:left="340"/>
        <w:rPr>
          <w:sz w:val="16"/>
        </w:rPr>
      </w:pPr>
      <w:r>
        <w:rPr>
          <w:sz w:val="16"/>
        </w:rPr>
        <w:t xml:space="preserve">14  The </w:t>
      </w:r>
      <w:r>
        <w:rPr>
          <w:color w:val="215E9E"/>
          <w:sz w:val="16"/>
          <w:u w:val="single" w:color="215E9E"/>
        </w:rPr>
        <w:t>National Disability Strategy (NDS)</w:t>
      </w:r>
      <w:r>
        <w:rPr>
          <w:color w:val="215E9E"/>
          <w:sz w:val="16"/>
        </w:rPr>
        <w:t xml:space="preserve"> </w:t>
      </w:r>
      <w:r>
        <w:rPr>
          <w:sz w:val="16"/>
        </w:rPr>
        <w:t>sets out goals and objectives under six areas of mainstream and disability-specific public policy.</w:t>
      </w:r>
    </w:p>
    <w:p w:rsidR="007A0A6C" w:rsidRDefault="00660E26">
      <w:pPr>
        <w:spacing w:before="16" w:line="261" w:lineRule="auto"/>
        <w:ind w:left="340" w:right="270"/>
        <w:rPr>
          <w:sz w:val="16"/>
        </w:rPr>
      </w:pPr>
      <w:r>
        <w:rPr>
          <w:sz w:val="16"/>
        </w:rPr>
        <w:t>The six areas are: 1) Inclusive and accessible communities; 2) Rights protection, justice and legislation; 3) Economic security; 4) Personal and community support; 5) Learning and skills; and 6) Health and well-being. The NDS is being delivered in three phases through the following four-year implementation plans: ‘Laying the Groundwork’ (2011-2014) set the foundation for each State and Territory Government to have its own disability plan to improve outcomes through mainstream policies, programs, services and infrastructure. ‘Driving Action’ (2015-2018) outlines new priority actions as well as ongoing commitments to consolidate actions that are driving improved outcomes and identify where more effort is needed.</w:t>
      </w:r>
    </w:p>
    <w:p w:rsidR="007A0A6C" w:rsidRDefault="00660E26">
      <w:pPr>
        <w:spacing w:line="391" w:lineRule="auto"/>
        <w:ind w:left="340" w:right="324"/>
        <w:rPr>
          <w:sz w:val="16"/>
        </w:rPr>
      </w:pPr>
      <w:r>
        <w:rPr>
          <w:sz w:val="16"/>
        </w:rPr>
        <w:t>Measuring Progress (2019-2022) will identify new and emerging outcomes to be implemented in order to ensure the objectives of the NDS are met. 15  Commonwealth of Australia, National Disability Strategy Implementation Plan, ‘Measuring Progress (2019-2020)’.</w:t>
      </w:r>
    </w:p>
    <w:p w:rsidR="007A0A6C" w:rsidRDefault="00660E26">
      <w:pPr>
        <w:spacing w:line="261" w:lineRule="auto"/>
        <w:ind w:left="340" w:right="404"/>
        <w:rPr>
          <w:sz w:val="16"/>
        </w:rPr>
      </w:pPr>
      <w:r>
        <w:rPr>
          <w:sz w:val="16"/>
        </w:rPr>
        <w:t xml:space="preserve">16  Commonwealth of Australia (2017) Senate Standing Committee on Community Affairs, Report: </w:t>
      </w:r>
      <w:r>
        <w:rPr>
          <w:color w:val="215E9E"/>
          <w:sz w:val="16"/>
          <w:u w:val="single" w:color="215E9E"/>
        </w:rPr>
        <w:t>Delivery of outcomes under the National</w:t>
      </w:r>
      <w:r>
        <w:rPr>
          <w:color w:val="215E9E"/>
          <w:sz w:val="16"/>
        </w:rPr>
        <w:t xml:space="preserve"> </w:t>
      </w:r>
      <w:r>
        <w:rPr>
          <w:color w:val="215E9E"/>
          <w:sz w:val="16"/>
          <w:u w:val="single" w:color="215E9E"/>
        </w:rPr>
        <w:t>Disability Strategy 2010-2020 to build inclusive and accessible communities</w:t>
      </w:r>
      <w:r>
        <w:rPr>
          <w:sz w:val="16"/>
        </w:rPr>
        <w:t>.</w:t>
      </w:r>
    </w:p>
    <w:p w:rsidR="007A0A6C" w:rsidRDefault="00660E26">
      <w:pPr>
        <w:spacing w:before="97" w:line="261" w:lineRule="auto"/>
        <w:ind w:left="340" w:right="247"/>
        <w:rPr>
          <w:sz w:val="16"/>
        </w:rPr>
      </w:pPr>
      <w:r>
        <w:rPr>
          <w:sz w:val="16"/>
        </w:rPr>
        <w:t xml:space="preserve">17  Women with Disabilities Australia (WWDA), (2014) </w:t>
      </w:r>
      <w:r>
        <w:rPr>
          <w:color w:val="215E9E"/>
          <w:sz w:val="16"/>
          <w:u w:val="single" w:color="215E9E"/>
        </w:rPr>
        <w:t>‘Gender Blind, Gender Neutral’: The effectiveness of the National Disability Strategy in</w:t>
      </w:r>
      <w:r>
        <w:rPr>
          <w:color w:val="215E9E"/>
          <w:sz w:val="16"/>
        </w:rPr>
        <w:t xml:space="preserve"> </w:t>
      </w:r>
      <w:r>
        <w:rPr>
          <w:color w:val="215E9E"/>
          <w:sz w:val="16"/>
          <w:u w:val="single" w:color="215E9E"/>
        </w:rPr>
        <w:t>improving the lives of women and girls with disabilities</w:t>
      </w:r>
      <w:r>
        <w:rPr>
          <w:sz w:val="16"/>
        </w:rPr>
        <w:t>. WWDA, Hobart, Tasmania, ISBN: 978-0-9585268-2-1.</w:t>
      </w:r>
    </w:p>
    <w:p w:rsidR="007A0A6C" w:rsidRDefault="00660E26">
      <w:pPr>
        <w:spacing w:before="99" w:line="261" w:lineRule="auto"/>
        <w:ind w:left="340" w:right="247"/>
        <w:rPr>
          <w:sz w:val="16"/>
        </w:rPr>
      </w:pPr>
      <w:r>
        <w:rPr>
          <w:sz w:val="16"/>
        </w:rPr>
        <w:t xml:space="preserve">18  Disabled People’s Organisations Australia (DPO Australia) (2017) </w:t>
      </w:r>
      <w:r>
        <w:rPr>
          <w:color w:val="215E9E"/>
          <w:sz w:val="16"/>
          <w:u w:val="single" w:color="215E9E"/>
        </w:rPr>
        <w:t>Submission to the Senate Community Affairs References Committee Inquiry</w:t>
      </w:r>
      <w:r>
        <w:rPr>
          <w:color w:val="215E9E"/>
          <w:sz w:val="16"/>
        </w:rPr>
        <w:t xml:space="preserve"> </w:t>
      </w:r>
      <w:r>
        <w:rPr>
          <w:color w:val="215E9E"/>
          <w:sz w:val="16"/>
          <w:u w:val="single" w:color="215E9E"/>
        </w:rPr>
        <w:t>into the delivery of outcomes under the National Disability Strategy 2010-2020</w:t>
      </w:r>
      <w:r>
        <w:rPr>
          <w:color w:val="215E9E"/>
          <w:sz w:val="16"/>
        </w:rPr>
        <w:t xml:space="preserve"> </w:t>
      </w:r>
      <w:r>
        <w:rPr>
          <w:sz w:val="16"/>
        </w:rPr>
        <w:t>(NDS).</w:t>
      </w:r>
    </w:p>
    <w:p w:rsidR="007A0A6C" w:rsidRDefault="00660E26">
      <w:pPr>
        <w:spacing w:before="99" w:line="261" w:lineRule="auto"/>
        <w:ind w:left="340" w:right="404"/>
        <w:rPr>
          <w:sz w:val="16"/>
        </w:rPr>
      </w:pPr>
      <w:r>
        <w:rPr>
          <w:sz w:val="16"/>
        </w:rPr>
        <w:t xml:space="preserve">19  Commonwealth of Australia (2017) Senate Standing Committee on Community Affairs, Report: </w:t>
      </w:r>
      <w:r>
        <w:rPr>
          <w:color w:val="215E9E"/>
          <w:sz w:val="16"/>
          <w:u w:val="single" w:color="215E9E"/>
        </w:rPr>
        <w:t>Delivery of outcomes under the National</w:t>
      </w:r>
      <w:r>
        <w:rPr>
          <w:color w:val="215E9E"/>
          <w:sz w:val="16"/>
        </w:rPr>
        <w:t xml:space="preserve"> </w:t>
      </w:r>
      <w:r>
        <w:rPr>
          <w:color w:val="215E9E"/>
          <w:sz w:val="16"/>
          <w:u w:val="single" w:color="215E9E"/>
        </w:rPr>
        <w:t>Disability Strategy 2010-2020 to build inclusive and accessible communities.</w:t>
      </w:r>
    </w:p>
    <w:p w:rsidR="007A0A6C" w:rsidRDefault="00660E26">
      <w:pPr>
        <w:spacing w:before="99" w:line="261" w:lineRule="auto"/>
        <w:ind w:left="340" w:right="404"/>
        <w:rPr>
          <w:sz w:val="16"/>
        </w:rPr>
      </w:pPr>
      <w:r>
        <w:rPr>
          <w:sz w:val="16"/>
        </w:rPr>
        <w:t xml:space="preserve">20  Commonwealth of Australia (2018) </w:t>
      </w:r>
      <w:r>
        <w:rPr>
          <w:color w:val="215E9E"/>
          <w:sz w:val="16"/>
          <w:u w:val="single" w:color="215E9E"/>
        </w:rPr>
        <w:t>Australian Government Response</w:t>
      </w:r>
      <w:r>
        <w:rPr>
          <w:color w:val="215E9E"/>
          <w:sz w:val="16"/>
        </w:rPr>
        <w:t xml:space="preserve"> </w:t>
      </w:r>
      <w:r>
        <w:rPr>
          <w:sz w:val="16"/>
        </w:rPr>
        <w:t>to the Senate Standing Committee on Community Affairs, Report: Delivery of outcomes under the National Disability Strategy 2010-2020 to build inclusive and accessible communities.</w:t>
      </w:r>
    </w:p>
    <w:p w:rsidR="007A0A6C" w:rsidRDefault="00660E26">
      <w:pPr>
        <w:spacing w:before="99" w:line="261" w:lineRule="auto"/>
        <w:ind w:left="340" w:right="441"/>
        <w:rPr>
          <w:sz w:val="16"/>
        </w:rPr>
      </w:pPr>
      <w:r>
        <w:rPr>
          <w:sz w:val="16"/>
        </w:rPr>
        <w:t xml:space="preserve">21  A person satisfies the </w:t>
      </w:r>
      <w:r>
        <w:rPr>
          <w:color w:val="215E9E"/>
          <w:sz w:val="16"/>
          <w:u w:val="single" w:color="215E9E"/>
        </w:rPr>
        <w:t>Assessment criteria for the NDIS</w:t>
      </w:r>
      <w:r>
        <w:rPr>
          <w:color w:val="215E9E"/>
          <w:sz w:val="16"/>
        </w:rPr>
        <w:t xml:space="preserve"> </w:t>
      </w:r>
      <w:r>
        <w:rPr>
          <w:sz w:val="16"/>
        </w:rPr>
        <w:t>if: (a) They are under the age of 65; (b) They have a disability that is due to an impairment likely to be permanent and life long; (c) Their impairment substantially reduces their ability to participate effectively in everyday life; (d) They are an Australian citizen or permanent resident; and (e) They require reasonable and necessary supports to live an ordinary life.</w:t>
      </w:r>
    </w:p>
    <w:p w:rsidR="007A0A6C" w:rsidRDefault="00660E26">
      <w:pPr>
        <w:spacing w:before="98" w:line="261" w:lineRule="auto"/>
        <w:ind w:left="340" w:right="404"/>
        <w:rPr>
          <w:sz w:val="16"/>
        </w:rPr>
      </w:pPr>
      <w:r>
        <w:rPr>
          <w:sz w:val="16"/>
        </w:rPr>
        <w:t xml:space="preserve">22  The legislation is not well drafted and has resulted in contradictory interpretations by the NDIA and the Administrative Appeals Tribunal. There is not yet an established body of case law from the Federal Court to provide authoritative guidance on many issues. See the NDIS Act at: </w:t>
      </w:r>
      <w:r>
        <w:rPr>
          <w:color w:val="215E9E"/>
          <w:sz w:val="16"/>
          <w:u w:val="single" w:color="215E9E"/>
        </w:rPr>
        <w:t>https://</w:t>
      </w:r>
      <w:r>
        <w:rPr>
          <w:color w:val="215E9E"/>
          <w:sz w:val="16"/>
        </w:rPr>
        <w:t xml:space="preserve"> </w:t>
      </w:r>
      <w:hyperlink r:id="rId42">
        <w:r>
          <w:rPr>
            <w:color w:val="215E9E"/>
            <w:sz w:val="16"/>
            <w:u w:val="single" w:color="215E9E"/>
          </w:rPr>
          <w:t>www.legislation.gov.au/Details/C2013A00020</w:t>
        </w:r>
      </w:hyperlink>
    </w:p>
    <w:p w:rsidR="007A0A6C" w:rsidRDefault="00660E26">
      <w:pPr>
        <w:spacing w:before="98" w:line="261" w:lineRule="auto"/>
        <w:ind w:left="340" w:right="404"/>
        <w:rPr>
          <w:sz w:val="16"/>
        </w:rPr>
      </w:pPr>
      <w:r>
        <w:rPr>
          <w:sz w:val="16"/>
        </w:rPr>
        <w:t xml:space="preserve">23  At full Scheme, approximately 460,000 people are expected to be supported by the NDIS. People identifying as Aboriginal or Torres Strait Islander make up 5.4% of participants. More than half of NDIS participants (52%) are aged 18 and under; the majority of participants are male (63%). Australian Institute of Health and Welfare 2017. </w:t>
      </w:r>
      <w:r>
        <w:rPr>
          <w:color w:val="215E9E"/>
          <w:sz w:val="16"/>
          <w:u w:val="single" w:color="215E9E"/>
        </w:rPr>
        <w:t>Australia’s welfare 2017</w:t>
      </w:r>
      <w:r>
        <w:rPr>
          <w:sz w:val="16"/>
        </w:rPr>
        <w:t xml:space="preserve">. Australia’s welfare series no. 13. AUS 214. Canberra: AIHW. See also: Productivity Commission (2019), </w:t>
      </w:r>
      <w:r>
        <w:rPr>
          <w:color w:val="215E9E"/>
          <w:sz w:val="16"/>
          <w:u w:val="single" w:color="215E9E"/>
        </w:rPr>
        <w:t>Report on Government Services 2019</w:t>
      </w:r>
    </w:p>
    <w:p w:rsidR="007A0A6C" w:rsidRDefault="00660E26">
      <w:pPr>
        <w:spacing w:before="98"/>
        <w:ind w:left="340"/>
        <w:rPr>
          <w:sz w:val="16"/>
        </w:rPr>
      </w:pPr>
      <w:r>
        <w:rPr>
          <w:sz w:val="16"/>
        </w:rPr>
        <w:t xml:space="preserve">24  Joint Standing Committee on the National Disability Insurance Scheme (March 2019) </w:t>
      </w:r>
      <w:r>
        <w:rPr>
          <w:color w:val="215E9E"/>
          <w:sz w:val="16"/>
          <w:u w:val="single" w:color="215E9E"/>
        </w:rPr>
        <w:t>Progress Report</w:t>
      </w:r>
      <w:r>
        <w:rPr>
          <w:sz w:val="16"/>
        </w:rPr>
        <w:t>.</w:t>
      </w:r>
    </w:p>
    <w:p w:rsidR="007A0A6C" w:rsidRDefault="00660E26">
      <w:pPr>
        <w:spacing w:before="116" w:line="391" w:lineRule="auto"/>
        <w:ind w:left="340" w:right="404"/>
        <w:rPr>
          <w:sz w:val="16"/>
        </w:rPr>
      </w:pPr>
      <w:r>
        <w:rPr>
          <w:sz w:val="16"/>
        </w:rPr>
        <w:t>25  Limited information is publicly available to help Scheme participants and their families, carers and advocates to navigate the planning system. 26  Such as their entitlement to request a face to face meeting or have an advocate present during the planning meeting.</w:t>
      </w:r>
    </w:p>
    <w:p w:rsidR="007A0A6C" w:rsidRDefault="007A0A6C">
      <w:pPr>
        <w:spacing w:line="391" w:lineRule="auto"/>
        <w:rPr>
          <w:sz w:val="16"/>
        </w:rPr>
        <w:sectPr w:rsidR="007A0A6C">
          <w:pgSz w:w="11910" w:h="16840"/>
          <w:pgMar w:top="620" w:right="440" w:bottom="540" w:left="380" w:header="0" w:footer="343" w:gutter="0"/>
          <w:cols w:space="720"/>
        </w:sectPr>
      </w:pPr>
    </w:p>
    <w:p w:rsidR="007A0A6C" w:rsidRDefault="00660E26">
      <w:pPr>
        <w:spacing w:before="68" w:line="261" w:lineRule="auto"/>
        <w:ind w:left="326" w:right="404"/>
        <w:rPr>
          <w:sz w:val="16"/>
        </w:rPr>
      </w:pPr>
      <w:r>
        <w:rPr>
          <w:sz w:val="16"/>
        </w:rPr>
        <w:lastRenderedPageBreak/>
        <w:t xml:space="preserve">27  Joint Standing Committee on the National Disability Insurance Scheme (March 2019) </w:t>
      </w:r>
      <w:r>
        <w:rPr>
          <w:color w:val="215E9E"/>
          <w:sz w:val="16"/>
          <w:u w:val="single" w:color="215E9E"/>
        </w:rPr>
        <w:t>Progress Report</w:t>
      </w:r>
      <w:r>
        <w:rPr>
          <w:sz w:val="16"/>
        </w:rPr>
        <w:t xml:space="preserve">; Joint Standing Committee on the National Disability Insurance Scheme (September 2017) </w:t>
      </w:r>
      <w:r>
        <w:rPr>
          <w:color w:val="215E9E"/>
          <w:sz w:val="16"/>
          <w:u w:val="single" w:color="215E9E"/>
        </w:rPr>
        <w:t>Progress Report</w:t>
      </w:r>
      <w:r>
        <w:rPr>
          <w:sz w:val="16"/>
        </w:rPr>
        <w:t>.</w:t>
      </w:r>
    </w:p>
    <w:p w:rsidR="007A0A6C" w:rsidRDefault="00660E26">
      <w:pPr>
        <w:spacing w:before="99"/>
        <w:ind w:left="326"/>
        <w:rPr>
          <w:sz w:val="16"/>
        </w:rPr>
      </w:pPr>
      <w:r>
        <w:rPr>
          <w:sz w:val="16"/>
        </w:rPr>
        <w:t xml:space="preserve">28  Joint Standing Committee on the National Disability Insurance Scheme (March 2019) </w:t>
      </w:r>
      <w:r>
        <w:rPr>
          <w:color w:val="215E9E"/>
          <w:sz w:val="16"/>
          <w:u w:val="single" w:color="215E9E"/>
        </w:rPr>
        <w:t>Progress Report</w:t>
      </w:r>
      <w:r>
        <w:rPr>
          <w:sz w:val="16"/>
        </w:rPr>
        <w:t>.</w:t>
      </w:r>
    </w:p>
    <w:p w:rsidR="007A0A6C" w:rsidRDefault="00660E26">
      <w:pPr>
        <w:spacing w:before="116" w:line="261" w:lineRule="auto"/>
        <w:ind w:left="326" w:right="247"/>
        <w:rPr>
          <w:sz w:val="16"/>
        </w:rPr>
      </w:pPr>
      <w:r>
        <w:rPr>
          <w:sz w:val="16"/>
        </w:rPr>
        <w:t>29  People from CALD backgrounds are 7.7 percent of participants, despite a stated NDIA goal of 20 per cent CALD participants. Aboriginal and Torres Strait Islander people are 5.4 percent of participants or about 9000, despite around 60,000 Aboriginal and Torres Strait Islander people in Australia having a severe or profound disability.</w:t>
      </w:r>
    </w:p>
    <w:p w:rsidR="007A0A6C" w:rsidRDefault="00660E26">
      <w:pPr>
        <w:spacing w:before="99"/>
        <w:ind w:left="326"/>
        <w:rPr>
          <w:sz w:val="16"/>
        </w:rPr>
      </w:pPr>
      <w:r>
        <w:rPr>
          <w:sz w:val="16"/>
        </w:rPr>
        <w:t xml:space="preserve">30  Joint Standing Committee on the National Disability Insurance Scheme (September 2017) </w:t>
      </w:r>
      <w:r>
        <w:rPr>
          <w:color w:val="215E9E"/>
          <w:sz w:val="16"/>
          <w:u w:val="single" w:color="215E9E"/>
        </w:rPr>
        <w:t>Progress Report</w:t>
      </w:r>
      <w:r>
        <w:rPr>
          <w:sz w:val="16"/>
        </w:rPr>
        <w:t>.</w:t>
      </w:r>
    </w:p>
    <w:p w:rsidR="007A0A6C" w:rsidRDefault="00660E26">
      <w:pPr>
        <w:spacing w:before="116" w:line="261" w:lineRule="auto"/>
        <w:ind w:left="326" w:right="276"/>
        <w:rPr>
          <w:sz w:val="16"/>
        </w:rPr>
      </w:pPr>
      <w:r>
        <w:rPr>
          <w:sz w:val="16"/>
        </w:rPr>
        <w:t xml:space="preserve">31  The insufficient funding allocated by the Federal Government for NDIS advocacy has resulted in inequality and significant unmet need. In addition, the paucity of funded advocacy has resulted in a significant rise in fraudulent activities by providers and fee for service for reviews and appeals by the same services creating serious conflicts of interest. See also: Joint Standing Committee on the National Disability Insurance Scheme (September 2017) </w:t>
      </w:r>
      <w:r>
        <w:rPr>
          <w:color w:val="215E9E"/>
          <w:sz w:val="16"/>
          <w:u w:val="single" w:color="215E9E"/>
        </w:rPr>
        <w:t>Progress Report</w:t>
      </w:r>
      <w:r>
        <w:rPr>
          <w:sz w:val="16"/>
        </w:rPr>
        <w:t>.</w:t>
      </w:r>
    </w:p>
    <w:p w:rsidR="007A0A6C" w:rsidRDefault="00660E26">
      <w:pPr>
        <w:spacing w:before="97"/>
        <w:ind w:left="326"/>
        <w:rPr>
          <w:sz w:val="16"/>
        </w:rPr>
      </w:pPr>
      <w:r>
        <w:rPr>
          <w:sz w:val="16"/>
        </w:rPr>
        <w:t xml:space="preserve">32  Joint Standing Committee on the National Disability Insurance Scheme (March 2019) </w:t>
      </w:r>
      <w:r>
        <w:rPr>
          <w:color w:val="215E9E"/>
          <w:sz w:val="16"/>
          <w:u w:val="single" w:color="215E9E"/>
        </w:rPr>
        <w:t>Progress Report</w:t>
      </w:r>
      <w:r>
        <w:rPr>
          <w:sz w:val="16"/>
        </w:rPr>
        <w:t>.</w:t>
      </w:r>
    </w:p>
    <w:p w:rsidR="007A0A6C" w:rsidRDefault="00660E26">
      <w:pPr>
        <w:spacing w:before="116" w:line="391" w:lineRule="auto"/>
        <w:ind w:left="326" w:right="994"/>
        <w:rPr>
          <w:sz w:val="16"/>
        </w:rPr>
      </w:pPr>
      <w:r>
        <w:rPr>
          <w:sz w:val="16"/>
        </w:rPr>
        <w:t xml:space="preserve">33  Australian Institute of Health and Welfare 2017. </w:t>
      </w:r>
      <w:r>
        <w:rPr>
          <w:color w:val="215E9E"/>
          <w:sz w:val="16"/>
          <w:u w:val="single" w:color="215E9E"/>
        </w:rPr>
        <w:t>Australia’s welfare 2017</w:t>
      </w:r>
      <w:r>
        <w:rPr>
          <w:sz w:val="16"/>
        </w:rPr>
        <w:t>. Australia’s welfare series no. 13. AUS 214. Canberra: AIHW. 34  The Federal Government also spent $3.8 billion less on the NDIS in 2018-19 than they estimated in the previous year’s budget.</w:t>
      </w:r>
    </w:p>
    <w:p w:rsidR="007A0A6C" w:rsidRDefault="00660E26">
      <w:pPr>
        <w:spacing w:before="1" w:line="261" w:lineRule="auto"/>
        <w:ind w:left="326" w:right="851"/>
        <w:rPr>
          <w:sz w:val="16"/>
        </w:rPr>
      </w:pPr>
      <w:r>
        <w:rPr>
          <w:sz w:val="16"/>
        </w:rPr>
        <w:t>35   The NDIS rollout has been plagued by issues around participant plans, unrealistic pricing, providers struggling to enter the scheme and a</w:t>
      </w:r>
      <w:r>
        <w:rPr>
          <w:spacing w:val="-3"/>
          <w:sz w:val="16"/>
        </w:rPr>
        <w:t xml:space="preserve"> </w:t>
      </w:r>
      <w:r>
        <w:rPr>
          <w:sz w:val="16"/>
        </w:rPr>
        <w:t>poorly</w:t>
      </w:r>
      <w:r>
        <w:rPr>
          <w:spacing w:val="-2"/>
          <w:sz w:val="16"/>
        </w:rPr>
        <w:t xml:space="preserve"> </w:t>
      </w:r>
      <w:r>
        <w:rPr>
          <w:sz w:val="16"/>
        </w:rPr>
        <w:t>functioning</w:t>
      </w:r>
      <w:r>
        <w:rPr>
          <w:spacing w:val="-1"/>
          <w:sz w:val="16"/>
        </w:rPr>
        <w:t xml:space="preserve"> </w:t>
      </w:r>
      <w:r>
        <w:rPr>
          <w:sz w:val="16"/>
        </w:rPr>
        <w:t>IT</w:t>
      </w:r>
      <w:r>
        <w:rPr>
          <w:spacing w:val="-4"/>
          <w:sz w:val="16"/>
        </w:rPr>
        <w:t xml:space="preserve"> </w:t>
      </w:r>
      <w:r>
        <w:rPr>
          <w:sz w:val="16"/>
        </w:rPr>
        <w:t>system.</w:t>
      </w:r>
      <w:r>
        <w:rPr>
          <w:spacing w:val="-2"/>
          <w:sz w:val="16"/>
        </w:rPr>
        <w:t xml:space="preserve"> </w:t>
      </w:r>
      <w:r>
        <w:rPr>
          <w:sz w:val="16"/>
        </w:rPr>
        <w:t>See:</w:t>
      </w:r>
      <w:r>
        <w:rPr>
          <w:spacing w:val="-1"/>
          <w:sz w:val="16"/>
        </w:rPr>
        <w:t xml:space="preserve"> </w:t>
      </w:r>
      <w:r>
        <w:rPr>
          <w:sz w:val="16"/>
        </w:rPr>
        <w:t>Michael,</w:t>
      </w:r>
      <w:r>
        <w:rPr>
          <w:spacing w:val="-1"/>
          <w:sz w:val="16"/>
        </w:rPr>
        <w:t xml:space="preserve"> </w:t>
      </w:r>
      <w:r>
        <w:rPr>
          <w:sz w:val="16"/>
        </w:rPr>
        <w:t>Luke</w:t>
      </w:r>
      <w:r>
        <w:rPr>
          <w:spacing w:val="-2"/>
          <w:sz w:val="16"/>
        </w:rPr>
        <w:t xml:space="preserve"> </w:t>
      </w:r>
      <w:r>
        <w:rPr>
          <w:sz w:val="16"/>
        </w:rPr>
        <w:t>(3rd</w:t>
      </w:r>
      <w:r>
        <w:rPr>
          <w:spacing w:val="-10"/>
          <w:sz w:val="16"/>
        </w:rPr>
        <w:t xml:space="preserve"> </w:t>
      </w:r>
      <w:r>
        <w:rPr>
          <w:sz w:val="16"/>
        </w:rPr>
        <w:t>April</w:t>
      </w:r>
      <w:r>
        <w:rPr>
          <w:spacing w:val="-2"/>
          <w:sz w:val="16"/>
        </w:rPr>
        <w:t xml:space="preserve"> </w:t>
      </w:r>
      <w:r>
        <w:rPr>
          <w:sz w:val="16"/>
        </w:rPr>
        <w:t>2019)</w:t>
      </w:r>
      <w:r>
        <w:rPr>
          <w:spacing w:val="-11"/>
          <w:sz w:val="16"/>
        </w:rPr>
        <w:t xml:space="preserve"> </w:t>
      </w:r>
      <w:r>
        <w:rPr>
          <w:color w:val="215E9E"/>
          <w:sz w:val="16"/>
          <w:u w:val="single" w:color="215E9E"/>
        </w:rPr>
        <w:t>Advocates</w:t>
      </w:r>
      <w:r>
        <w:rPr>
          <w:color w:val="215E9E"/>
          <w:spacing w:val="-1"/>
          <w:sz w:val="16"/>
          <w:u w:val="single" w:color="215E9E"/>
        </w:rPr>
        <w:t xml:space="preserve"> </w:t>
      </w:r>
      <w:r>
        <w:rPr>
          <w:color w:val="215E9E"/>
          <w:sz w:val="16"/>
          <w:u w:val="single" w:color="215E9E"/>
        </w:rPr>
        <w:t>ask,</w:t>
      </w:r>
      <w:r>
        <w:rPr>
          <w:color w:val="215E9E"/>
          <w:spacing w:val="-2"/>
          <w:sz w:val="16"/>
          <w:u w:val="single" w:color="215E9E"/>
        </w:rPr>
        <w:t xml:space="preserve"> </w:t>
      </w:r>
      <w:r>
        <w:rPr>
          <w:color w:val="215E9E"/>
          <w:sz w:val="16"/>
          <w:u w:val="single" w:color="215E9E"/>
        </w:rPr>
        <w:t>why</w:t>
      </w:r>
      <w:r>
        <w:rPr>
          <w:color w:val="215E9E"/>
          <w:spacing w:val="-3"/>
          <w:sz w:val="16"/>
          <w:u w:val="single" w:color="215E9E"/>
        </w:rPr>
        <w:t xml:space="preserve"> </w:t>
      </w:r>
      <w:r>
        <w:rPr>
          <w:color w:val="215E9E"/>
          <w:sz w:val="16"/>
          <w:u w:val="single" w:color="215E9E"/>
        </w:rPr>
        <w:t>are</w:t>
      </w:r>
      <w:r>
        <w:rPr>
          <w:color w:val="215E9E"/>
          <w:spacing w:val="-2"/>
          <w:sz w:val="16"/>
          <w:u w:val="single" w:color="215E9E"/>
        </w:rPr>
        <w:t xml:space="preserve"> </w:t>
      </w:r>
      <w:r>
        <w:rPr>
          <w:color w:val="215E9E"/>
          <w:sz w:val="16"/>
          <w:u w:val="single" w:color="215E9E"/>
        </w:rPr>
        <w:t>NDIS</w:t>
      </w:r>
      <w:r>
        <w:rPr>
          <w:color w:val="215E9E"/>
          <w:spacing w:val="-2"/>
          <w:sz w:val="16"/>
          <w:u w:val="single" w:color="215E9E"/>
        </w:rPr>
        <w:t xml:space="preserve"> </w:t>
      </w:r>
      <w:r>
        <w:rPr>
          <w:color w:val="215E9E"/>
          <w:sz w:val="16"/>
          <w:u w:val="single" w:color="215E9E"/>
        </w:rPr>
        <w:t>funds</w:t>
      </w:r>
      <w:r>
        <w:rPr>
          <w:color w:val="215E9E"/>
          <w:spacing w:val="-1"/>
          <w:sz w:val="16"/>
          <w:u w:val="single" w:color="215E9E"/>
        </w:rPr>
        <w:t xml:space="preserve"> </w:t>
      </w:r>
      <w:r>
        <w:rPr>
          <w:color w:val="215E9E"/>
          <w:sz w:val="16"/>
          <w:u w:val="single" w:color="215E9E"/>
        </w:rPr>
        <w:t>not</w:t>
      </w:r>
      <w:r>
        <w:rPr>
          <w:color w:val="215E9E"/>
          <w:spacing w:val="-2"/>
          <w:sz w:val="16"/>
          <w:u w:val="single" w:color="215E9E"/>
        </w:rPr>
        <w:t xml:space="preserve"> </w:t>
      </w:r>
      <w:r>
        <w:rPr>
          <w:color w:val="215E9E"/>
          <w:sz w:val="16"/>
          <w:u w:val="single" w:color="215E9E"/>
        </w:rPr>
        <w:t>being</w:t>
      </w:r>
      <w:r>
        <w:rPr>
          <w:color w:val="215E9E"/>
          <w:spacing w:val="-3"/>
          <w:sz w:val="16"/>
          <w:u w:val="single" w:color="215E9E"/>
        </w:rPr>
        <w:t xml:space="preserve"> </w:t>
      </w:r>
      <w:r>
        <w:rPr>
          <w:color w:val="215E9E"/>
          <w:sz w:val="16"/>
          <w:u w:val="single" w:color="215E9E"/>
        </w:rPr>
        <w:t>used</w:t>
      </w:r>
      <w:r>
        <w:rPr>
          <w:color w:val="215E9E"/>
          <w:spacing w:val="-2"/>
          <w:sz w:val="16"/>
          <w:u w:val="single" w:color="215E9E"/>
        </w:rPr>
        <w:t xml:space="preserve"> </w:t>
      </w:r>
      <w:r>
        <w:rPr>
          <w:color w:val="215E9E"/>
          <w:sz w:val="16"/>
          <w:u w:val="single" w:color="215E9E"/>
        </w:rPr>
        <w:t>to</w:t>
      </w:r>
      <w:r>
        <w:rPr>
          <w:color w:val="215E9E"/>
          <w:spacing w:val="-1"/>
          <w:sz w:val="16"/>
          <w:u w:val="single" w:color="215E9E"/>
        </w:rPr>
        <w:t xml:space="preserve"> </w:t>
      </w:r>
      <w:r>
        <w:rPr>
          <w:color w:val="215E9E"/>
          <w:sz w:val="16"/>
          <w:u w:val="single" w:color="215E9E"/>
        </w:rPr>
        <w:t>fix</w:t>
      </w:r>
      <w:r>
        <w:rPr>
          <w:color w:val="215E9E"/>
          <w:spacing w:val="-2"/>
          <w:sz w:val="16"/>
          <w:u w:val="single" w:color="215E9E"/>
        </w:rPr>
        <w:t xml:space="preserve"> </w:t>
      </w:r>
      <w:r>
        <w:rPr>
          <w:color w:val="215E9E"/>
          <w:sz w:val="16"/>
          <w:u w:val="single" w:color="215E9E"/>
        </w:rPr>
        <w:t>the</w:t>
      </w:r>
      <w:r>
        <w:rPr>
          <w:color w:val="215E9E"/>
          <w:spacing w:val="-1"/>
          <w:sz w:val="16"/>
          <w:u w:val="single" w:color="215E9E"/>
        </w:rPr>
        <w:t xml:space="preserve"> </w:t>
      </w:r>
      <w:r>
        <w:rPr>
          <w:color w:val="215E9E"/>
          <w:sz w:val="16"/>
          <w:u w:val="single" w:color="215E9E"/>
        </w:rPr>
        <w:t>scheme?</w:t>
      </w:r>
      <w:r>
        <w:rPr>
          <w:color w:val="215E9E"/>
          <w:spacing w:val="-1"/>
          <w:sz w:val="16"/>
        </w:rPr>
        <w:t xml:space="preserve"> </w:t>
      </w:r>
      <w:r>
        <w:rPr>
          <w:sz w:val="16"/>
        </w:rPr>
        <w:t>In</w:t>
      </w:r>
    </w:p>
    <w:p w:rsidR="007A0A6C" w:rsidRDefault="00660E26">
      <w:pPr>
        <w:spacing w:line="261" w:lineRule="auto"/>
        <w:ind w:left="326" w:right="247"/>
        <w:rPr>
          <w:sz w:val="16"/>
        </w:rPr>
      </w:pPr>
      <w:r>
        <w:rPr>
          <w:sz w:val="16"/>
        </w:rPr>
        <w:t xml:space="preserve">ProbonoAustralia. See also: Michael, Luke (28th March 2019) </w:t>
      </w:r>
      <w:r>
        <w:rPr>
          <w:color w:val="215E9E"/>
          <w:sz w:val="16"/>
          <w:u w:val="single" w:color="215E9E"/>
        </w:rPr>
        <w:t>Advocates fight plan to use surplus NDIS funds to boost budget</w:t>
      </w:r>
      <w:r>
        <w:rPr>
          <w:sz w:val="16"/>
        </w:rPr>
        <w:t>; In ProbonoAustralia. The Australian National Audit Office (ANAO) released an NDIA Performance Report in October 2017. The Australian National Audit Office (ANAO) assessed the effectiveness of controls being implemented and developed by the NDIA to ensure Scheme access decisions are consistent</w:t>
      </w:r>
    </w:p>
    <w:p w:rsidR="007A0A6C" w:rsidRDefault="00660E26">
      <w:pPr>
        <w:spacing w:line="261" w:lineRule="auto"/>
        <w:ind w:left="326"/>
        <w:rPr>
          <w:sz w:val="16"/>
        </w:rPr>
      </w:pPr>
      <w:r>
        <w:rPr>
          <w:sz w:val="16"/>
        </w:rPr>
        <w:t xml:space="preserve">with legislative and other requirements. The Audit found among other things, that, while the NDIA had implemented some controls, these were inconsistently applied, data integrity and reporting issues had limited the Agency’s ability to monitor training completion by decision-makers, and the access process was not well supported by ICT systems. See: Australian National Audit Office (ANAO) (October 2017), </w:t>
      </w:r>
      <w:r>
        <w:rPr>
          <w:color w:val="215E9E"/>
          <w:sz w:val="16"/>
          <w:u w:val="single" w:color="215E9E"/>
        </w:rPr>
        <w:t>Decision-making Controls for</w:t>
      </w:r>
      <w:r>
        <w:rPr>
          <w:color w:val="215E9E"/>
          <w:sz w:val="16"/>
        </w:rPr>
        <w:t xml:space="preserve"> </w:t>
      </w:r>
      <w:r>
        <w:rPr>
          <w:color w:val="215E9E"/>
          <w:sz w:val="16"/>
          <w:u w:val="single" w:color="215E9E"/>
        </w:rPr>
        <w:t>Sustainability - NDIS Access</w:t>
      </w:r>
      <w:r>
        <w:rPr>
          <w:sz w:val="16"/>
        </w:rPr>
        <w:t>.</w:t>
      </w:r>
    </w:p>
    <w:p w:rsidR="007A0A6C" w:rsidRDefault="00660E26">
      <w:pPr>
        <w:spacing w:before="95" w:line="261" w:lineRule="auto"/>
        <w:ind w:left="326" w:right="247"/>
        <w:rPr>
          <w:sz w:val="16"/>
        </w:rPr>
      </w:pPr>
      <w:r>
        <w:rPr>
          <w:sz w:val="16"/>
        </w:rPr>
        <w:t xml:space="preserve">36  Joint Standing Committee on the National Disability Insurance Scheme (September 2018) </w:t>
      </w:r>
      <w:r>
        <w:rPr>
          <w:color w:val="215E9E"/>
          <w:sz w:val="16"/>
          <w:u w:val="single" w:color="215E9E"/>
        </w:rPr>
        <w:t>Market readiness for provision of services under the</w:t>
      </w:r>
      <w:r>
        <w:rPr>
          <w:color w:val="215E9E"/>
          <w:sz w:val="16"/>
        </w:rPr>
        <w:t xml:space="preserve"> </w:t>
      </w:r>
      <w:r>
        <w:rPr>
          <w:color w:val="215E9E"/>
          <w:sz w:val="16"/>
          <w:u w:val="single" w:color="215E9E"/>
        </w:rPr>
        <w:t>NDIS</w:t>
      </w:r>
      <w:r>
        <w:rPr>
          <w:sz w:val="16"/>
        </w:rPr>
        <w:t>.</w:t>
      </w:r>
    </w:p>
    <w:p w:rsidR="007A0A6C" w:rsidRDefault="00660E26">
      <w:pPr>
        <w:spacing w:before="99"/>
        <w:ind w:left="326"/>
        <w:rPr>
          <w:sz w:val="16"/>
        </w:rPr>
      </w:pPr>
      <w:r>
        <w:rPr>
          <w:sz w:val="16"/>
        </w:rPr>
        <w:t xml:space="preserve">37  Disabled People’s Organisations Australia, “Building a Disability Inclusive Australia”, </w:t>
      </w:r>
      <w:r>
        <w:rPr>
          <w:color w:val="215E9E"/>
          <w:sz w:val="16"/>
          <w:u w:val="single" w:color="215E9E"/>
        </w:rPr>
        <w:t>Election Policy Platform 2016</w:t>
      </w:r>
    </w:p>
    <w:p w:rsidR="007A0A6C" w:rsidRDefault="00660E26">
      <w:pPr>
        <w:spacing w:before="116" w:line="261" w:lineRule="auto"/>
        <w:ind w:left="326" w:right="308"/>
        <w:rPr>
          <w:sz w:val="16"/>
        </w:rPr>
      </w:pPr>
      <w:r>
        <w:rPr>
          <w:sz w:val="16"/>
        </w:rPr>
        <w:t xml:space="preserve">38   The National Mental Health Commission’s report on Mental Health Programs and Services estimated that about 700,000 Australians experience a severe mental illness in any one year. According to the NDIA, about 64 000 people with primary psychosocial disability are expected to be eligible for individual packages in the NDIS at full scheme. See: Productivity Commission, </w:t>
      </w:r>
      <w:r>
        <w:rPr>
          <w:color w:val="215E9E"/>
          <w:sz w:val="16"/>
          <w:u w:val="single" w:color="215E9E"/>
        </w:rPr>
        <w:t>National Disability Insurance Scheme (NDIS) Costs</w:t>
      </w:r>
      <w:r>
        <w:rPr>
          <w:sz w:val="16"/>
        </w:rPr>
        <w:t>, 19 October 2017. A national inquiry undertaken by the Joint Standing Committee on the National Disability Insurance Scheme in 2018 found that the lack of clarity around eligibility criteria, the apparent reliance on diagnosis rather than functional needs, the absence of a validated assessment tool</w:t>
      </w:r>
      <w:r>
        <w:rPr>
          <w:spacing w:val="-3"/>
          <w:sz w:val="16"/>
        </w:rPr>
        <w:t xml:space="preserve"> </w:t>
      </w:r>
      <w:r>
        <w:rPr>
          <w:sz w:val="16"/>
        </w:rPr>
        <w:t>for</w:t>
      </w:r>
      <w:r>
        <w:rPr>
          <w:spacing w:val="-2"/>
          <w:sz w:val="16"/>
        </w:rPr>
        <w:t xml:space="preserve"> </w:t>
      </w:r>
      <w:r>
        <w:rPr>
          <w:sz w:val="16"/>
        </w:rPr>
        <w:t>planners,</w:t>
      </w:r>
      <w:r>
        <w:rPr>
          <w:spacing w:val="-4"/>
          <w:sz w:val="16"/>
        </w:rPr>
        <w:t xml:space="preserve"> </w:t>
      </w:r>
      <w:r>
        <w:rPr>
          <w:sz w:val="16"/>
        </w:rPr>
        <w:t>and</w:t>
      </w:r>
      <w:r>
        <w:rPr>
          <w:spacing w:val="-3"/>
          <w:sz w:val="16"/>
        </w:rPr>
        <w:t xml:space="preserve"> </w:t>
      </w:r>
      <w:r>
        <w:rPr>
          <w:sz w:val="16"/>
        </w:rPr>
        <w:t>reported</w:t>
      </w:r>
      <w:r>
        <w:rPr>
          <w:spacing w:val="-2"/>
          <w:sz w:val="16"/>
        </w:rPr>
        <w:t xml:space="preserve"> </w:t>
      </w:r>
      <w:r>
        <w:rPr>
          <w:sz w:val="16"/>
        </w:rPr>
        <w:t>lack</w:t>
      </w:r>
      <w:r>
        <w:rPr>
          <w:spacing w:val="-4"/>
          <w:sz w:val="16"/>
        </w:rPr>
        <w:t xml:space="preserve"> </w:t>
      </w:r>
      <w:r>
        <w:rPr>
          <w:sz w:val="16"/>
        </w:rPr>
        <w:t>of</w:t>
      </w:r>
      <w:r>
        <w:rPr>
          <w:spacing w:val="-3"/>
          <w:sz w:val="16"/>
        </w:rPr>
        <w:t xml:space="preserve"> </w:t>
      </w:r>
      <w:r>
        <w:rPr>
          <w:sz w:val="16"/>
        </w:rPr>
        <w:t>skills</w:t>
      </w:r>
      <w:r>
        <w:rPr>
          <w:spacing w:val="-3"/>
          <w:sz w:val="16"/>
        </w:rPr>
        <w:t xml:space="preserve"> </w:t>
      </w:r>
      <w:r>
        <w:rPr>
          <w:sz w:val="16"/>
        </w:rPr>
        <w:t>and</w:t>
      </w:r>
      <w:r>
        <w:rPr>
          <w:spacing w:val="-3"/>
          <w:sz w:val="16"/>
        </w:rPr>
        <w:t xml:space="preserve"> </w:t>
      </w:r>
      <w:r>
        <w:rPr>
          <w:sz w:val="16"/>
        </w:rPr>
        <w:t>expertise</w:t>
      </w:r>
      <w:r>
        <w:rPr>
          <w:spacing w:val="-3"/>
          <w:sz w:val="16"/>
        </w:rPr>
        <w:t xml:space="preserve"> </w:t>
      </w:r>
      <w:r>
        <w:rPr>
          <w:sz w:val="16"/>
        </w:rPr>
        <w:t>of</w:t>
      </w:r>
      <w:r>
        <w:rPr>
          <w:spacing w:val="-4"/>
          <w:sz w:val="16"/>
        </w:rPr>
        <w:t xml:space="preserve"> </w:t>
      </w:r>
      <w:r>
        <w:rPr>
          <w:sz w:val="16"/>
        </w:rPr>
        <w:t>planners</w:t>
      </w:r>
      <w:r>
        <w:rPr>
          <w:spacing w:val="-3"/>
          <w:sz w:val="16"/>
        </w:rPr>
        <w:t xml:space="preserve"> </w:t>
      </w:r>
      <w:r>
        <w:rPr>
          <w:sz w:val="16"/>
        </w:rPr>
        <w:t>in</w:t>
      </w:r>
      <w:r>
        <w:rPr>
          <w:spacing w:val="-3"/>
          <w:sz w:val="16"/>
        </w:rPr>
        <w:t xml:space="preserve"> </w:t>
      </w:r>
      <w:r>
        <w:rPr>
          <w:sz w:val="16"/>
        </w:rPr>
        <w:t>the</w:t>
      </w:r>
      <w:r>
        <w:rPr>
          <w:spacing w:val="-3"/>
          <w:sz w:val="16"/>
        </w:rPr>
        <w:t xml:space="preserve"> </w:t>
      </w:r>
      <w:r>
        <w:rPr>
          <w:sz w:val="16"/>
        </w:rPr>
        <w:t>psychosocial</w:t>
      </w:r>
      <w:r>
        <w:rPr>
          <w:spacing w:val="-3"/>
          <w:sz w:val="16"/>
        </w:rPr>
        <w:t xml:space="preserve"> </w:t>
      </w:r>
      <w:r>
        <w:rPr>
          <w:sz w:val="16"/>
        </w:rPr>
        <w:t>disability</w:t>
      </w:r>
      <w:r>
        <w:rPr>
          <w:spacing w:val="-3"/>
          <w:sz w:val="16"/>
        </w:rPr>
        <w:t xml:space="preserve"> </w:t>
      </w:r>
      <w:r>
        <w:rPr>
          <w:sz w:val="16"/>
        </w:rPr>
        <w:t>field</w:t>
      </w:r>
      <w:r>
        <w:rPr>
          <w:spacing w:val="-3"/>
          <w:sz w:val="16"/>
        </w:rPr>
        <w:t xml:space="preserve"> </w:t>
      </w:r>
      <w:r>
        <w:rPr>
          <w:sz w:val="16"/>
        </w:rPr>
        <w:t>were</w:t>
      </w:r>
      <w:r>
        <w:rPr>
          <w:spacing w:val="-3"/>
          <w:sz w:val="16"/>
        </w:rPr>
        <w:t xml:space="preserve"> </w:t>
      </w:r>
      <w:r>
        <w:rPr>
          <w:sz w:val="16"/>
        </w:rPr>
        <w:t>key</w:t>
      </w:r>
      <w:r>
        <w:rPr>
          <w:spacing w:val="-3"/>
          <w:sz w:val="16"/>
        </w:rPr>
        <w:t xml:space="preserve"> </w:t>
      </w:r>
      <w:r>
        <w:rPr>
          <w:sz w:val="16"/>
        </w:rPr>
        <w:t>contributors</w:t>
      </w:r>
      <w:r>
        <w:rPr>
          <w:spacing w:val="-2"/>
          <w:sz w:val="16"/>
        </w:rPr>
        <w:t xml:space="preserve"> </w:t>
      </w:r>
      <w:r>
        <w:rPr>
          <w:sz w:val="16"/>
        </w:rPr>
        <w:t>to</w:t>
      </w:r>
      <w:r>
        <w:rPr>
          <w:spacing w:val="-2"/>
          <w:sz w:val="16"/>
        </w:rPr>
        <w:t xml:space="preserve"> </w:t>
      </w:r>
      <w:r>
        <w:rPr>
          <w:sz w:val="16"/>
        </w:rPr>
        <w:t>inconsistencies</w:t>
      </w:r>
    </w:p>
    <w:p w:rsidR="007A0A6C" w:rsidRDefault="00660E26">
      <w:pPr>
        <w:spacing w:line="261" w:lineRule="auto"/>
        <w:ind w:left="326" w:right="247"/>
        <w:rPr>
          <w:sz w:val="16"/>
        </w:rPr>
      </w:pPr>
      <w:r>
        <w:rPr>
          <w:sz w:val="16"/>
        </w:rPr>
        <w:t xml:space="preserve">in eligibility and planning outcomes for people with psychosocial disability. See: Joint Standing Committee on the National Disability Insurance Scheme (March 2019) </w:t>
      </w:r>
      <w:r>
        <w:rPr>
          <w:color w:val="215E9E"/>
          <w:sz w:val="16"/>
          <w:u w:val="single" w:color="215E9E"/>
        </w:rPr>
        <w:t>Progress Report</w:t>
      </w:r>
      <w:r>
        <w:rPr>
          <w:sz w:val="16"/>
        </w:rPr>
        <w:t xml:space="preserve">. See also: National Mental Health Commission (2018) </w:t>
      </w:r>
      <w:r>
        <w:rPr>
          <w:color w:val="215E9E"/>
          <w:sz w:val="16"/>
          <w:u w:val="single" w:color="215E9E"/>
        </w:rPr>
        <w:t>Monitoring mental health and suicide prevention</w:t>
      </w:r>
      <w:r>
        <w:rPr>
          <w:color w:val="215E9E"/>
          <w:sz w:val="16"/>
        </w:rPr>
        <w:t xml:space="preserve"> </w:t>
      </w:r>
      <w:r>
        <w:rPr>
          <w:color w:val="215E9E"/>
          <w:sz w:val="16"/>
          <w:u w:val="single" w:color="215E9E"/>
        </w:rPr>
        <w:t>reform: National Report 2018</w:t>
      </w:r>
      <w:r>
        <w:rPr>
          <w:sz w:val="16"/>
        </w:rPr>
        <w:t>. Published by: National Mental Health Commission, Sydney.</w:t>
      </w:r>
    </w:p>
    <w:p w:rsidR="007A0A6C" w:rsidRDefault="00660E26">
      <w:pPr>
        <w:spacing w:before="95"/>
        <w:ind w:left="326"/>
        <w:rPr>
          <w:sz w:val="16"/>
        </w:rPr>
      </w:pPr>
      <w:r>
        <w:rPr>
          <w:sz w:val="16"/>
        </w:rPr>
        <w:t>39  Including those not eligible for the NDIS.</w:t>
      </w:r>
    </w:p>
    <w:p w:rsidR="007A0A6C" w:rsidRDefault="00660E26">
      <w:pPr>
        <w:spacing w:before="116" w:line="261" w:lineRule="auto"/>
        <w:ind w:left="326" w:right="404"/>
        <w:rPr>
          <w:sz w:val="16"/>
        </w:rPr>
      </w:pPr>
      <w:r>
        <w:rPr>
          <w:sz w:val="16"/>
        </w:rPr>
        <w:t xml:space="preserve">40  This has resulted in some quality providers already leaving the market. Some new market entrants and existing providers are exploiting the pricing structure established by the </w:t>
      </w:r>
      <w:r>
        <w:rPr>
          <w:color w:val="215E9E"/>
          <w:sz w:val="16"/>
          <w:u w:val="single" w:color="215E9E"/>
        </w:rPr>
        <w:t>NDIS Price Guide</w:t>
      </w:r>
      <w:r>
        <w:rPr>
          <w:sz w:val="16"/>
        </w:rPr>
        <w:t>.</w:t>
      </w:r>
    </w:p>
    <w:p w:rsidR="007A0A6C" w:rsidRDefault="00660E26">
      <w:pPr>
        <w:spacing w:before="99"/>
        <w:ind w:left="326"/>
        <w:rPr>
          <w:sz w:val="16"/>
        </w:rPr>
      </w:pPr>
      <w:r>
        <w:rPr>
          <w:sz w:val="16"/>
        </w:rPr>
        <w:t xml:space="preserve">41  Joint Standing Committee on the National Disability Insurance Scheme (September 2017) </w:t>
      </w:r>
      <w:r>
        <w:rPr>
          <w:color w:val="215E9E"/>
          <w:sz w:val="16"/>
          <w:u w:val="single" w:color="215E9E"/>
        </w:rPr>
        <w:t>Progress Report</w:t>
      </w:r>
      <w:r>
        <w:rPr>
          <w:sz w:val="16"/>
        </w:rPr>
        <w:t>.</w:t>
      </w:r>
    </w:p>
    <w:p w:rsidR="007A0A6C" w:rsidRDefault="00660E26">
      <w:pPr>
        <w:spacing w:before="116" w:line="261" w:lineRule="auto"/>
        <w:ind w:left="326" w:right="303"/>
        <w:rPr>
          <w:sz w:val="16"/>
        </w:rPr>
      </w:pPr>
      <w:r>
        <w:rPr>
          <w:sz w:val="16"/>
        </w:rPr>
        <w:t xml:space="preserve">42  The </w:t>
      </w:r>
      <w:r>
        <w:rPr>
          <w:color w:val="215E9E"/>
          <w:sz w:val="16"/>
          <w:u w:val="single" w:color="215E9E"/>
        </w:rPr>
        <w:t>ILC program</w:t>
      </w:r>
      <w:r>
        <w:rPr>
          <w:color w:val="215E9E"/>
          <w:sz w:val="16"/>
        </w:rPr>
        <w:t xml:space="preserve"> </w:t>
      </w:r>
      <w:r>
        <w:rPr>
          <w:sz w:val="16"/>
        </w:rPr>
        <w:t>is a key component of the NDIS and has been set up to provide information, linkages and referrals to people with disability, their families and carers, with the appropriate community and mainstream supports. Funding for ILC will gradually increase over transition (from $33 million in 2016-17 to $131 million in 2019-20). The focus of ILC is on community inclusion.</w:t>
      </w:r>
    </w:p>
    <w:p w:rsidR="007A0A6C" w:rsidRDefault="00660E26">
      <w:pPr>
        <w:spacing w:before="98" w:line="261" w:lineRule="auto"/>
        <w:ind w:left="326" w:right="247"/>
        <w:rPr>
          <w:sz w:val="16"/>
        </w:rPr>
      </w:pPr>
      <w:r>
        <w:rPr>
          <w:sz w:val="16"/>
        </w:rPr>
        <w:t xml:space="preserve">43  Australia’s Productivity Commission has recommended that ILC funding should be increased to the full scheme amount ($131 million) for each year during the transition and be focused on national ILC activities. See: Productivity Commission, </w:t>
      </w:r>
      <w:r>
        <w:rPr>
          <w:color w:val="215E9E"/>
          <w:sz w:val="16"/>
          <w:u w:val="single" w:color="215E9E"/>
        </w:rPr>
        <w:t>National Disability Insurance Scheme (NDIS)</w:t>
      </w:r>
      <w:r>
        <w:rPr>
          <w:color w:val="215E9E"/>
          <w:sz w:val="16"/>
        </w:rPr>
        <w:t xml:space="preserve"> </w:t>
      </w:r>
      <w:r>
        <w:rPr>
          <w:color w:val="215E9E"/>
          <w:sz w:val="16"/>
          <w:u w:val="single" w:color="215E9E"/>
        </w:rPr>
        <w:t>Costs</w:t>
      </w:r>
      <w:r>
        <w:rPr>
          <w:sz w:val="16"/>
        </w:rPr>
        <w:t>, 19 October 2017.</w:t>
      </w:r>
    </w:p>
    <w:p w:rsidR="007A0A6C" w:rsidRDefault="00660E26">
      <w:pPr>
        <w:spacing w:before="99" w:line="261" w:lineRule="auto"/>
        <w:ind w:left="326" w:right="566"/>
        <w:rPr>
          <w:sz w:val="16"/>
        </w:rPr>
      </w:pPr>
      <w:r>
        <w:rPr>
          <w:sz w:val="16"/>
        </w:rPr>
        <w:t xml:space="preserve">44  The NDIS quarterly reports provide the COAG Disability Reform Council with information (including statistics) about participants in each jurisdiction and the funding or provision of supports by the NDIA in each jurisdiction. Available at: </w:t>
      </w:r>
      <w:hyperlink r:id="rId43">
        <w:r>
          <w:rPr>
            <w:color w:val="215E9E"/>
            <w:sz w:val="16"/>
            <w:u w:val="single" w:color="215E9E"/>
          </w:rPr>
          <w:t>https://www.ndis.gov.au/about-us/publications/</w:t>
        </w:r>
      </w:hyperlink>
      <w:r>
        <w:rPr>
          <w:color w:val="215E9E"/>
          <w:sz w:val="16"/>
        </w:rPr>
        <w:t xml:space="preserve"> </w:t>
      </w:r>
      <w:r>
        <w:rPr>
          <w:color w:val="215E9E"/>
          <w:sz w:val="16"/>
          <w:u w:val="single" w:color="215E9E"/>
        </w:rPr>
        <w:t>quarterly-reports</w:t>
      </w:r>
    </w:p>
    <w:p w:rsidR="007A0A6C" w:rsidRDefault="00660E26">
      <w:pPr>
        <w:spacing w:before="98" w:line="261" w:lineRule="auto"/>
        <w:ind w:left="326" w:right="404"/>
        <w:rPr>
          <w:sz w:val="16"/>
        </w:rPr>
      </w:pPr>
      <w:r>
        <w:rPr>
          <w:sz w:val="16"/>
        </w:rPr>
        <w:t xml:space="preserve">45  Including the numbers of reviews, review timeframes, outcomes of reviews, and participant satisfaction with the review process. See: Productivity Commission, </w:t>
      </w:r>
      <w:r>
        <w:rPr>
          <w:color w:val="215E9E"/>
          <w:sz w:val="16"/>
          <w:u w:val="single" w:color="215E9E"/>
        </w:rPr>
        <w:t>National Disability Insurance Scheme (NDIS) Costs</w:t>
      </w:r>
      <w:r>
        <w:rPr>
          <w:sz w:val="16"/>
        </w:rPr>
        <w:t>, 19 October 2017.</w:t>
      </w:r>
    </w:p>
    <w:p w:rsidR="007A0A6C" w:rsidRDefault="00660E26">
      <w:pPr>
        <w:spacing w:before="99"/>
        <w:ind w:left="326"/>
        <w:rPr>
          <w:sz w:val="16"/>
        </w:rPr>
      </w:pPr>
      <w:r>
        <w:rPr>
          <w:sz w:val="16"/>
        </w:rPr>
        <w:t xml:space="preserve">46  Joint Standing Committee on the National Disability Insurance Scheme (March 2019) </w:t>
      </w:r>
      <w:r>
        <w:rPr>
          <w:color w:val="215E9E"/>
          <w:sz w:val="16"/>
          <w:u w:val="single" w:color="215E9E"/>
        </w:rPr>
        <w:t>Progress Report</w:t>
      </w:r>
      <w:r>
        <w:rPr>
          <w:sz w:val="16"/>
        </w:rPr>
        <w:t>.</w:t>
      </w:r>
    </w:p>
    <w:p w:rsidR="007A0A6C" w:rsidRDefault="00660E26">
      <w:pPr>
        <w:pStyle w:val="ListParagraph"/>
        <w:numPr>
          <w:ilvl w:val="0"/>
          <w:numId w:val="4"/>
        </w:numPr>
        <w:tabs>
          <w:tab w:val="left" w:pos="687"/>
        </w:tabs>
        <w:rPr>
          <w:sz w:val="16"/>
        </w:rPr>
      </w:pPr>
      <w:r>
        <w:rPr>
          <w:sz w:val="16"/>
        </w:rPr>
        <w:t>National CRPD Survey (2019)</w:t>
      </w:r>
      <w:r>
        <w:rPr>
          <w:spacing w:val="-3"/>
          <w:sz w:val="16"/>
        </w:rPr>
        <w:t xml:space="preserve"> </w:t>
      </w:r>
      <w:r>
        <w:rPr>
          <w:sz w:val="16"/>
        </w:rPr>
        <w:t>Findings.</w:t>
      </w:r>
    </w:p>
    <w:p w:rsidR="007A0A6C" w:rsidRDefault="00660E26">
      <w:pPr>
        <w:pStyle w:val="ListParagraph"/>
        <w:numPr>
          <w:ilvl w:val="0"/>
          <w:numId w:val="4"/>
        </w:numPr>
        <w:tabs>
          <w:tab w:val="left" w:pos="731"/>
        </w:tabs>
        <w:spacing w:line="261" w:lineRule="auto"/>
        <w:ind w:left="326" w:right="315" w:firstLine="0"/>
        <w:jc w:val="both"/>
        <w:rPr>
          <w:sz w:val="16"/>
        </w:rPr>
      </w:pPr>
      <w:r>
        <w:rPr>
          <w:sz w:val="16"/>
        </w:rPr>
        <w:t>See for example:</w:t>
      </w:r>
      <w:r>
        <w:rPr>
          <w:color w:val="215E9E"/>
          <w:sz w:val="16"/>
        </w:rPr>
        <w:t xml:space="preserve"> </w:t>
      </w:r>
      <w:r>
        <w:rPr>
          <w:color w:val="215E9E"/>
          <w:sz w:val="16"/>
          <w:u w:val="single" w:color="215E9E"/>
        </w:rPr>
        <w:t>Concluding observations of the Committee on the Elimination of Discrimination against Women [Australia]</w:t>
      </w:r>
      <w:r>
        <w:rPr>
          <w:color w:val="215E9E"/>
          <w:sz w:val="16"/>
        </w:rPr>
        <w:t xml:space="preserve"> </w:t>
      </w:r>
      <w:r>
        <w:rPr>
          <w:sz w:val="16"/>
        </w:rPr>
        <w:t>(2010) at para. 25 “The Committee further urges the State party to give due consideration, with a view to further protecting women’s human rights, to the adoption of a Human</w:t>
      </w:r>
      <w:r>
        <w:rPr>
          <w:spacing w:val="-3"/>
          <w:sz w:val="16"/>
        </w:rPr>
        <w:t xml:space="preserve"> </w:t>
      </w:r>
      <w:r>
        <w:rPr>
          <w:sz w:val="16"/>
        </w:rPr>
        <w:t>Rights</w:t>
      </w:r>
      <w:r>
        <w:rPr>
          <w:spacing w:val="-10"/>
          <w:sz w:val="16"/>
        </w:rPr>
        <w:t xml:space="preserve"> </w:t>
      </w:r>
      <w:r>
        <w:rPr>
          <w:sz w:val="16"/>
        </w:rPr>
        <w:t>Act</w:t>
      </w:r>
      <w:r>
        <w:rPr>
          <w:spacing w:val="-2"/>
          <w:sz w:val="16"/>
        </w:rPr>
        <w:t xml:space="preserve"> </w:t>
      </w:r>
      <w:r>
        <w:rPr>
          <w:sz w:val="16"/>
        </w:rPr>
        <w:t>encompassing</w:t>
      </w:r>
      <w:r>
        <w:rPr>
          <w:spacing w:val="-2"/>
          <w:sz w:val="16"/>
        </w:rPr>
        <w:t xml:space="preserve"> </w:t>
      </w:r>
      <w:r>
        <w:rPr>
          <w:sz w:val="16"/>
        </w:rPr>
        <w:t>the</w:t>
      </w:r>
      <w:r>
        <w:rPr>
          <w:spacing w:val="-2"/>
          <w:sz w:val="16"/>
        </w:rPr>
        <w:t xml:space="preserve"> </w:t>
      </w:r>
      <w:r>
        <w:rPr>
          <w:sz w:val="16"/>
        </w:rPr>
        <w:t>full</w:t>
      </w:r>
      <w:r>
        <w:rPr>
          <w:spacing w:val="-1"/>
          <w:sz w:val="16"/>
        </w:rPr>
        <w:t xml:space="preserve"> </w:t>
      </w:r>
      <w:r>
        <w:rPr>
          <w:sz w:val="16"/>
        </w:rPr>
        <w:t>range</w:t>
      </w:r>
      <w:r>
        <w:rPr>
          <w:spacing w:val="-2"/>
          <w:sz w:val="16"/>
        </w:rPr>
        <w:t xml:space="preserve"> </w:t>
      </w:r>
      <w:r>
        <w:rPr>
          <w:sz w:val="16"/>
        </w:rPr>
        <w:t>of</w:t>
      </w:r>
      <w:r>
        <w:rPr>
          <w:spacing w:val="-2"/>
          <w:sz w:val="16"/>
        </w:rPr>
        <w:t xml:space="preserve"> </w:t>
      </w:r>
      <w:r>
        <w:rPr>
          <w:sz w:val="16"/>
        </w:rPr>
        <w:t>civil,</w:t>
      </w:r>
      <w:r>
        <w:rPr>
          <w:spacing w:val="-2"/>
          <w:sz w:val="16"/>
        </w:rPr>
        <w:t xml:space="preserve"> </w:t>
      </w:r>
      <w:r>
        <w:rPr>
          <w:sz w:val="16"/>
        </w:rPr>
        <w:t>cultural,</w:t>
      </w:r>
      <w:r>
        <w:rPr>
          <w:spacing w:val="-1"/>
          <w:sz w:val="16"/>
        </w:rPr>
        <w:t xml:space="preserve"> </w:t>
      </w:r>
      <w:r>
        <w:rPr>
          <w:sz w:val="16"/>
        </w:rPr>
        <w:t>economic,</w:t>
      </w:r>
      <w:r>
        <w:rPr>
          <w:spacing w:val="-3"/>
          <w:sz w:val="16"/>
        </w:rPr>
        <w:t xml:space="preserve"> </w:t>
      </w:r>
      <w:r>
        <w:rPr>
          <w:sz w:val="16"/>
        </w:rPr>
        <w:t>political</w:t>
      </w:r>
      <w:r>
        <w:rPr>
          <w:spacing w:val="-2"/>
          <w:sz w:val="16"/>
        </w:rPr>
        <w:t xml:space="preserve"> </w:t>
      </w:r>
      <w:r>
        <w:rPr>
          <w:sz w:val="16"/>
        </w:rPr>
        <w:t>and</w:t>
      </w:r>
      <w:r>
        <w:rPr>
          <w:spacing w:val="-2"/>
          <w:sz w:val="16"/>
        </w:rPr>
        <w:t xml:space="preserve"> </w:t>
      </w:r>
      <w:r>
        <w:rPr>
          <w:sz w:val="16"/>
        </w:rPr>
        <w:t>social</w:t>
      </w:r>
      <w:r>
        <w:rPr>
          <w:spacing w:val="-2"/>
          <w:sz w:val="16"/>
        </w:rPr>
        <w:t xml:space="preserve"> </w:t>
      </w:r>
      <w:r>
        <w:rPr>
          <w:sz w:val="16"/>
        </w:rPr>
        <w:t>rights.”</w:t>
      </w:r>
      <w:r>
        <w:rPr>
          <w:spacing w:val="-1"/>
          <w:sz w:val="16"/>
        </w:rPr>
        <w:t xml:space="preserve"> </w:t>
      </w:r>
      <w:r>
        <w:rPr>
          <w:sz w:val="16"/>
        </w:rPr>
        <w:t>UN</w:t>
      </w:r>
      <w:r>
        <w:rPr>
          <w:spacing w:val="-3"/>
          <w:sz w:val="16"/>
        </w:rPr>
        <w:t xml:space="preserve"> </w:t>
      </w:r>
      <w:r>
        <w:rPr>
          <w:sz w:val="16"/>
        </w:rPr>
        <w:t>Doc.</w:t>
      </w:r>
      <w:r>
        <w:rPr>
          <w:spacing w:val="-2"/>
          <w:sz w:val="16"/>
        </w:rPr>
        <w:t xml:space="preserve"> </w:t>
      </w:r>
      <w:r>
        <w:rPr>
          <w:sz w:val="16"/>
        </w:rPr>
        <w:t>No.</w:t>
      </w:r>
      <w:r>
        <w:rPr>
          <w:spacing w:val="-3"/>
          <w:sz w:val="16"/>
        </w:rPr>
        <w:t xml:space="preserve"> </w:t>
      </w:r>
      <w:r>
        <w:rPr>
          <w:sz w:val="16"/>
        </w:rPr>
        <w:t>CEDAW/C/AUS/CO/7.</w:t>
      </w:r>
    </w:p>
    <w:p w:rsidR="007A0A6C" w:rsidRDefault="00660E26">
      <w:pPr>
        <w:pStyle w:val="ListParagraph"/>
        <w:numPr>
          <w:ilvl w:val="0"/>
          <w:numId w:val="4"/>
        </w:numPr>
        <w:tabs>
          <w:tab w:val="left" w:pos="727"/>
          <w:tab w:val="left" w:pos="729"/>
        </w:tabs>
        <w:spacing w:before="98" w:line="261" w:lineRule="auto"/>
        <w:ind w:left="326" w:right="360" w:firstLine="0"/>
        <w:rPr>
          <w:sz w:val="16"/>
        </w:rPr>
      </w:pPr>
      <w:r>
        <w:rPr>
          <w:sz w:val="16"/>
        </w:rPr>
        <w:t>The rights of people with disability to non-discrimination are limited in six key areas: (a) failure to address intersectional discrimination; (b) ineffective complaints process; (c) lack of protection for systemic discrimination; (d) a lack of protection against vilification; (e) exemption clauses that allow discrimination on grounds of disability in migration, insurance and infectious diseases, pensions and allowances and combat and peacekeeping</w:t>
      </w:r>
      <w:r>
        <w:rPr>
          <w:spacing w:val="-5"/>
          <w:sz w:val="16"/>
        </w:rPr>
        <w:t xml:space="preserve"> </w:t>
      </w:r>
      <w:r>
        <w:rPr>
          <w:sz w:val="16"/>
        </w:rPr>
        <w:t>duties;</w:t>
      </w:r>
      <w:r>
        <w:rPr>
          <w:spacing w:val="-5"/>
          <w:sz w:val="16"/>
        </w:rPr>
        <w:t xml:space="preserve"> </w:t>
      </w:r>
      <w:r>
        <w:rPr>
          <w:sz w:val="16"/>
        </w:rPr>
        <w:t>and</w:t>
      </w:r>
      <w:r>
        <w:rPr>
          <w:spacing w:val="-5"/>
          <w:sz w:val="16"/>
        </w:rPr>
        <w:t xml:space="preserve"> </w:t>
      </w:r>
      <w:r>
        <w:rPr>
          <w:sz w:val="16"/>
        </w:rPr>
        <w:t>(f)</w:t>
      </w:r>
      <w:r>
        <w:rPr>
          <w:spacing w:val="-3"/>
          <w:sz w:val="16"/>
        </w:rPr>
        <w:t xml:space="preserve"> </w:t>
      </w:r>
      <w:r>
        <w:rPr>
          <w:sz w:val="16"/>
        </w:rPr>
        <w:t>a</w:t>
      </w:r>
      <w:r>
        <w:rPr>
          <w:spacing w:val="-5"/>
          <w:sz w:val="16"/>
        </w:rPr>
        <w:t xml:space="preserve"> </w:t>
      </w:r>
      <w:r>
        <w:rPr>
          <w:sz w:val="16"/>
        </w:rPr>
        <w:t>lack</w:t>
      </w:r>
      <w:r>
        <w:rPr>
          <w:spacing w:val="-5"/>
          <w:sz w:val="16"/>
        </w:rPr>
        <w:t xml:space="preserve"> </w:t>
      </w:r>
      <w:r>
        <w:rPr>
          <w:sz w:val="16"/>
        </w:rPr>
        <w:t>of</w:t>
      </w:r>
      <w:r>
        <w:rPr>
          <w:spacing w:val="-5"/>
          <w:sz w:val="16"/>
        </w:rPr>
        <w:t xml:space="preserve"> </w:t>
      </w:r>
      <w:r>
        <w:rPr>
          <w:sz w:val="16"/>
        </w:rPr>
        <w:t>community</w:t>
      </w:r>
      <w:r>
        <w:rPr>
          <w:spacing w:val="-3"/>
          <w:sz w:val="16"/>
        </w:rPr>
        <w:t xml:space="preserve"> </w:t>
      </w:r>
      <w:r>
        <w:rPr>
          <w:sz w:val="16"/>
        </w:rPr>
        <w:t>legal</w:t>
      </w:r>
      <w:r>
        <w:rPr>
          <w:spacing w:val="-5"/>
          <w:sz w:val="16"/>
        </w:rPr>
        <w:t xml:space="preserve"> </w:t>
      </w:r>
      <w:r>
        <w:rPr>
          <w:sz w:val="16"/>
        </w:rPr>
        <w:t>education</w:t>
      </w:r>
      <w:r>
        <w:rPr>
          <w:spacing w:val="-5"/>
          <w:sz w:val="16"/>
        </w:rPr>
        <w:t xml:space="preserve"> </w:t>
      </w:r>
      <w:r>
        <w:rPr>
          <w:sz w:val="16"/>
        </w:rPr>
        <w:t>outreach</w:t>
      </w:r>
      <w:r>
        <w:rPr>
          <w:spacing w:val="-5"/>
          <w:sz w:val="16"/>
        </w:rPr>
        <w:t xml:space="preserve"> </w:t>
      </w:r>
      <w:r>
        <w:rPr>
          <w:sz w:val="16"/>
        </w:rPr>
        <w:t>regarding</w:t>
      </w:r>
      <w:r>
        <w:rPr>
          <w:spacing w:val="-3"/>
          <w:sz w:val="16"/>
        </w:rPr>
        <w:t xml:space="preserve"> </w:t>
      </w:r>
      <w:r>
        <w:rPr>
          <w:sz w:val="16"/>
        </w:rPr>
        <w:t>individuals’</w:t>
      </w:r>
      <w:r>
        <w:rPr>
          <w:spacing w:val="-9"/>
          <w:sz w:val="16"/>
        </w:rPr>
        <w:t xml:space="preserve"> </w:t>
      </w:r>
      <w:r>
        <w:rPr>
          <w:sz w:val="16"/>
        </w:rPr>
        <w:t>rights</w:t>
      </w:r>
      <w:r>
        <w:rPr>
          <w:spacing w:val="-4"/>
          <w:sz w:val="16"/>
        </w:rPr>
        <w:t xml:space="preserve"> </w:t>
      </w:r>
      <w:r>
        <w:rPr>
          <w:sz w:val="16"/>
        </w:rPr>
        <w:t>and</w:t>
      </w:r>
      <w:r>
        <w:rPr>
          <w:spacing w:val="-4"/>
          <w:sz w:val="16"/>
        </w:rPr>
        <w:t xml:space="preserve"> </w:t>
      </w:r>
      <w:r>
        <w:rPr>
          <w:sz w:val="16"/>
        </w:rPr>
        <w:t>protections</w:t>
      </w:r>
      <w:r>
        <w:rPr>
          <w:spacing w:val="-5"/>
          <w:sz w:val="16"/>
        </w:rPr>
        <w:t xml:space="preserve"> </w:t>
      </w:r>
      <w:r>
        <w:rPr>
          <w:sz w:val="16"/>
        </w:rPr>
        <w:t>under</w:t>
      </w:r>
      <w:r>
        <w:rPr>
          <w:spacing w:val="-5"/>
          <w:sz w:val="16"/>
        </w:rPr>
        <w:t xml:space="preserve"> </w:t>
      </w:r>
      <w:r>
        <w:rPr>
          <w:sz w:val="16"/>
        </w:rPr>
        <w:t>the</w:t>
      </w:r>
      <w:r>
        <w:rPr>
          <w:spacing w:val="-3"/>
          <w:sz w:val="16"/>
        </w:rPr>
        <w:t xml:space="preserve"> </w:t>
      </w:r>
      <w:r>
        <w:rPr>
          <w:sz w:val="16"/>
        </w:rPr>
        <w:t>DDA,</w:t>
      </w:r>
      <w:r>
        <w:rPr>
          <w:spacing w:val="-5"/>
          <w:sz w:val="16"/>
        </w:rPr>
        <w:t xml:space="preserve"> </w:t>
      </w:r>
      <w:r>
        <w:rPr>
          <w:sz w:val="16"/>
        </w:rPr>
        <w:t>in</w:t>
      </w:r>
      <w:r>
        <w:rPr>
          <w:spacing w:val="-5"/>
          <w:sz w:val="16"/>
        </w:rPr>
        <w:t xml:space="preserve"> </w:t>
      </w:r>
      <w:r>
        <w:rPr>
          <w:sz w:val="16"/>
        </w:rPr>
        <w:t>particular the</w:t>
      </w:r>
      <w:r>
        <w:rPr>
          <w:spacing w:val="-2"/>
          <w:sz w:val="16"/>
        </w:rPr>
        <w:t xml:space="preserve"> </w:t>
      </w:r>
      <w:r>
        <w:rPr>
          <w:sz w:val="16"/>
        </w:rPr>
        <w:t>lack</w:t>
      </w:r>
      <w:r>
        <w:rPr>
          <w:spacing w:val="-3"/>
          <w:sz w:val="16"/>
        </w:rPr>
        <w:t xml:space="preserve"> </w:t>
      </w:r>
      <w:r>
        <w:rPr>
          <w:sz w:val="16"/>
        </w:rPr>
        <w:t>of</w:t>
      </w:r>
      <w:r>
        <w:rPr>
          <w:spacing w:val="-2"/>
          <w:sz w:val="16"/>
        </w:rPr>
        <w:t xml:space="preserve"> </w:t>
      </w:r>
      <w:r>
        <w:rPr>
          <w:sz w:val="16"/>
        </w:rPr>
        <w:t>outreach</w:t>
      </w:r>
      <w:r>
        <w:rPr>
          <w:spacing w:val="-3"/>
          <w:sz w:val="16"/>
        </w:rPr>
        <w:t xml:space="preserve"> </w:t>
      </w:r>
      <w:r>
        <w:rPr>
          <w:sz w:val="16"/>
        </w:rPr>
        <w:t>to</w:t>
      </w:r>
      <w:r>
        <w:rPr>
          <w:spacing w:val="-10"/>
          <w:sz w:val="16"/>
        </w:rPr>
        <w:t xml:space="preserve"> </w:t>
      </w:r>
      <w:r>
        <w:rPr>
          <w:sz w:val="16"/>
        </w:rPr>
        <w:t>Aboriginal</w:t>
      </w:r>
      <w:r>
        <w:rPr>
          <w:spacing w:val="-2"/>
          <w:sz w:val="16"/>
        </w:rPr>
        <w:t xml:space="preserve"> </w:t>
      </w:r>
      <w:r>
        <w:rPr>
          <w:sz w:val="16"/>
        </w:rPr>
        <w:t>and</w:t>
      </w:r>
      <w:r>
        <w:rPr>
          <w:spacing w:val="-5"/>
          <w:sz w:val="16"/>
        </w:rPr>
        <w:t xml:space="preserve"> </w:t>
      </w:r>
      <w:r>
        <w:rPr>
          <w:spacing w:val="-4"/>
          <w:sz w:val="16"/>
        </w:rPr>
        <w:t>Torres</w:t>
      </w:r>
      <w:r>
        <w:rPr>
          <w:spacing w:val="-2"/>
          <w:sz w:val="16"/>
        </w:rPr>
        <w:t xml:space="preserve"> </w:t>
      </w:r>
      <w:r>
        <w:rPr>
          <w:sz w:val="16"/>
        </w:rPr>
        <w:t>Strait</w:t>
      </w:r>
      <w:r>
        <w:rPr>
          <w:spacing w:val="-2"/>
          <w:sz w:val="16"/>
        </w:rPr>
        <w:t xml:space="preserve"> </w:t>
      </w:r>
      <w:r>
        <w:rPr>
          <w:sz w:val="16"/>
        </w:rPr>
        <w:t>Islander</w:t>
      </w:r>
      <w:r>
        <w:rPr>
          <w:spacing w:val="-2"/>
          <w:sz w:val="16"/>
        </w:rPr>
        <w:t xml:space="preserve"> </w:t>
      </w:r>
      <w:r>
        <w:rPr>
          <w:sz w:val="16"/>
        </w:rPr>
        <w:t>communities</w:t>
      </w:r>
      <w:r>
        <w:rPr>
          <w:spacing w:val="-1"/>
          <w:sz w:val="16"/>
        </w:rPr>
        <w:t xml:space="preserve"> </w:t>
      </w:r>
      <w:r>
        <w:rPr>
          <w:sz w:val="16"/>
        </w:rPr>
        <w:t>and</w:t>
      </w:r>
      <w:r>
        <w:rPr>
          <w:spacing w:val="-3"/>
          <w:sz w:val="16"/>
        </w:rPr>
        <w:t xml:space="preserve"> </w:t>
      </w:r>
      <w:r>
        <w:rPr>
          <w:sz w:val="16"/>
        </w:rPr>
        <w:t>people</w:t>
      </w:r>
      <w:r>
        <w:rPr>
          <w:spacing w:val="-2"/>
          <w:sz w:val="16"/>
        </w:rPr>
        <w:t xml:space="preserve"> </w:t>
      </w:r>
      <w:r>
        <w:rPr>
          <w:sz w:val="16"/>
        </w:rPr>
        <w:t>with</w:t>
      </w:r>
      <w:r>
        <w:rPr>
          <w:spacing w:val="-3"/>
          <w:sz w:val="16"/>
        </w:rPr>
        <w:t xml:space="preserve"> </w:t>
      </w:r>
      <w:r>
        <w:rPr>
          <w:sz w:val="16"/>
        </w:rPr>
        <w:t>disability</w:t>
      </w:r>
      <w:r>
        <w:rPr>
          <w:spacing w:val="-3"/>
          <w:sz w:val="16"/>
        </w:rPr>
        <w:t xml:space="preserve"> </w:t>
      </w:r>
      <w:r>
        <w:rPr>
          <w:sz w:val="16"/>
        </w:rPr>
        <w:t>from</w:t>
      </w:r>
      <w:r>
        <w:rPr>
          <w:spacing w:val="-1"/>
          <w:sz w:val="16"/>
        </w:rPr>
        <w:t xml:space="preserve"> </w:t>
      </w:r>
      <w:r>
        <w:rPr>
          <w:sz w:val="16"/>
        </w:rPr>
        <w:t>non-English</w:t>
      </w:r>
      <w:r>
        <w:rPr>
          <w:spacing w:val="-3"/>
          <w:sz w:val="16"/>
        </w:rPr>
        <w:t xml:space="preserve"> </w:t>
      </w:r>
      <w:r>
        <w:rPr>
          <w:sz w:val="16"/>
        </w:rPr>
        <w:t>speaking</w:t>
      </w:r>
      <w:r>
        <w:rPr>
          <w:spacing w:val="-2"/>
          <w:sz w:val="16"/>
        </w:rPr>
        <w:t xml:space="preserve"> </w:t>
      </w:r>
      <w:r>
        <w:rPr>
          <w:sz w:val="16"/>
        </w:rPr>
        <w:t>backgrounds.</w:t>
      </w:r>
    </w:p>
    <w:p w:rsidR="007A0A6C" w:rsidRDefault="00660E26">
      <w:pPr>
        <w:pStyle w:val="ListParagraph"/>
        <w:numPr>
          <w:ilvl w:val="0"/>
          <w:numId w:val="4"/>
        </w:numPr>
        <w:tabs>
          <w:tab w:val="left" w:pos="730"/>
          <w:tab w:val="left" w:pos="731"/>
        </w:tabs>
        <w:spacing w:before="97"/>
        <w:ind w:left="730" w:hanging="404"/>
        <w:rPr>
          <w:sz w:val="16"/>
        </w:rPr>
      </w:pPr>
      <w:r>
        <w:rPr>
          <w:sz w:val="16"/>
        </w:rPr>
        <w:t>Federal Court of Australia,</w:t>
      </w:r>
      <w:r>
        <w:rPr>
          <w:color w:val="215E9E"/>
          <w:sz w:val="16"/>
        </w:rPr>
        <w:t xml:space="preserve"> </w:t>
      </w:r>
      <w:r>
        <w:rPr>
          <w:color w:val="215E9E"/>
          <w:sz w:val="16"/>
          <w:u w:val="single" w:color="215E9E"/>
        </w:rPr>
        <w:t>Sklavos v Australasian College of Dermatologists</w:t>
      </w:r>
      <w:r>
        <w:rPr>
          <w:color w:val="215E9E"/>
          <w:sz w:val="16"/>
        </w:rPr>
        <w:t xml:space="preserve"> </w:t>
      </w:r>
      <w:r>
        <w:rPr>
          <w:sz w:val="16"/>
        </w:rPr>
        <w:t>[2017] FCAFC</w:t>
      </w:r>
      <w:r>
        <w:rPr>
          <w:spacing w:val="-26"/>
          <w:sz w:val="16"/>
        </w:rPr>
        <w:t xml:space="preserve"> </w:t>
      </w:r>
      <w:r>
        <w:rPr>
          <w:sz w:val="16"/>
        </w:rPr>
        <w:t>128.</w:t>
      </w:r>
    </w:p>
    <w:p w:rsidR="007A0A6C" w:rsidRDefault="00660E26">
      <w:pPr>
        <w:pStyle w:val="ListParagraph"/>
        <w:numPr>
          <w:ilvl w:val="0"/>
          <w:numId w:val="4"/>
        </w:numPr>
        <w:tabs>
          <w:tab w:val="left" w:pos="730"/>
          <w:tab w:val="left" w:pos="731"/>
        </w:tabs>
        <w:spacing w:before="117" w:line="261" w:lineRule="auto"/>
        <w:ind w:left="326" w:right="537" w:firstLine="0"/>
        <w:rPr>
          <w:sz w:val="16"/>
        </w:rPr>
      </w:pPr>
      <w:r>
        <w:rPr>
          <w:sz w:val="16"/>
        </w:rPr>
        <w:t>In late 2018, a number of disability, human rights and community legal centres wrote to the Federal Attorney-General to request an urgent amendment to the DDA to fix the significant problem with the law that stops discrimination in employment, education, transport and more. The response</w:t>
      </w:r>
      <w:r>
        <w:rPr>
          <w:spacing w:val="-2"/>
          <w:sz w:val="16"/>
        </w:rPr>
        <w:t xml:space="preserve"> </w:t>
      </w:r>
      <w:r>
        <w:rPr>
          <w:sz w:val="16"/>
        </w:rPr>
        <w:t>received</w:t>
      </w:r>
      <w:r>
        <w:rPr>
          <w:spacing w:val="-1"/>
          <w:sz w:val="16"/>
        </w:rPr>
        <w:t xml:space="preserve"> </w:t>
      </w:r>
      <w:r>
        <w:rPr>
          <w:sz w:val="16"/>
        </w:rPr>
        <w:t>from</w:t>
      </w:r>
      <w:r>
        <w:rPr>
          <w:spacing w:val="-1"/>
          <w:sz w:val="16"/>
        </w:rPr>
        <w:t xml:space="preserve"> </w:t>
      </w:r>
      <w:r>
        <w:rPr>
          <w:sz w:val="16"/>
        </w:rPr>
        <w:t>the</w:t>
      </w:r>
      <w:r>
        <w:rPr>
          <w:spacing w:val="-10"/>
          <w:sz w:val="16"/>
        </w:rPr>
        <w:t xml:space="preserve"> </w:t>
      </w:r>
      <w:r>
        <w:rPr>
          <w:sz w:val="16"/>
        </w:rPr>
        <w:t>Attorney-General</w:t>
      </w:r>
      <w:r>
        <w:rPr>
          <w:spacing w:val="-1"/>
          <w:sz w:val="16"/>
        </w:rPr>
        <w:t xml:space="preserve"> </w:t>
      </w:r>
      <w:r>
        <w:rPr>
          <w:sz w:val="16"/>
        </w:rPr>
        <w:t>noted</w:t>
      </w:r>
      <w:r>
        <w:rPr>
          <w:spacing w:val="-2"/>
          <w:sz w:val="16"/>
        </w:rPr>
        <w:t xml:space="preserve"> </w:t>
      </w:r>
      <w:r>
        <w:rPr>
          <w:sz w:val="16"/>
        </w:rPr>
        <w:t>that</w:t>
      </w:r>
      <w:r>
        <w:rPr>
          <w:spacing w:val="-1"/>
          <w:sz w:val="16"/>
        </w:rPr>
        <w:t xml:space="preserve"> </w:t>
      </w:r>
      <w:r>
        <w:rPr>
          <w:sz w:val="16"/>
        </w:rPr>
        <w:t>this</w:t>
      </w:r>
      <w:r>
        <w:rPr>
          <w:spacing w:val="-2"/>
          <w:sz w:val="16"/>
        </w:rPr>
        <w:t xml:space="preserve"> </w:t>
      </w:r>
      <w:r>
        <w:rPr>
          <w:sz w:val="16"/>
        </w:rPr>
        <w:t>was</w:t>
      </w:r>
      <w:r>
        <w:rPr>
          <w:spacing w:val="-2"/>
          <w:sz w:val="16"/>
        </w:rPr>
        <w:t xml:space="preserve"> </w:t>
      </w:r>
      <w:r>
        <w:rPr>
          <w:sz w:val="16"/>
        </w:rPr>
        <w:t>not</w:t>
      </w:r>
      <w:r>
        <w:rPr>
          <w:spacing w:val="-2"/>
          <w:sz w:val="16"/>
        </w:rPr>
        <w:t xml:space="preserve"> </w:t>
      </w:r>
      <w:r>
        <w:rPr>
          <w:sz w:val="16"/>
        </w:rPr>
        <w:t>a</w:t>
      </w:r>
      <w:r>
        <w:rPr>
          <w:spacing w:val="-2"/>
          <w:sz w:val="16"/>
        </w:rPr>
        <w:t xml:space="preserve"> </w:t>
      </w:r>
      <w:r>
        <w:rPr>
          <w:sz w:val="16"/>
        </w:rPr>
        <w:t>priority</w:t>
      </w:r>
      <w:r>
        <w:rPr>
          <w:spacing w:val="-2"/>
          <w:sz w:val="16"/>
        </w:rPr>
        <w:t xml:space="preserve"> </w:t>
      </w:r>
      <w:r>
        <w:rPr>
          <w:sz w:val="16"/>
        </w:rPr>
        <w:t>for</w:t>
      </w:r>
      <w:r>
        <w:rPr>
          <w:spacing w:val="-1"/>
          <w:sz w:val="16"/>
        </w:rPr>
        <w:t xml:space="preserve"> </w:t>
      </w:r>
      <w:r>
        <w:rPr>
          <w:sz w:val="16"/>
        </w:rPr>
        <w:t>the</w:t>
      </w:r>
      <w:r>
        <w:rPr>
          <w:spacing w:val="-2"/>
          <w:sz w:val="16"/>
        </w:rPr>
        <w:t xml:space="preserve"> </w:t>
      </w:r>
      <w:r>
        <w:rPr>
          <w:sz w:val="16"/>
        </w:rPr>
        <w:t>Government.</w:t>
      </w:r>
      <w:r>
        <w:rPr>
          <w:spacing w:val="-1"/>
          <w:sz w:val="16"/>
        </w:rPr>
        <w:t xml:space="preserve"> </w:t>
      </w:r>
      <w:r>
        <w:rPr>
          <w:sz w:val="16"/>
        </w:rPr>
        <w:t>See:</w:t>
      </w:r>
      <w:r>
        <w:rPr>
          <w:spacing w:val="-1"/>
          <w:sz w:val="16"/>
        </w:rPr>
        <w:t xml:space="preserve"> </w:t>
      </w:r>
      <w:r>
        <w:rPr>
          <w:sz w:val="16"/>
        </w:rPr>
        <w:t>People</w:t>
      </w:r>
      <w:r>
        <w:rPr>
          <w:spacing w:val="-1"/>
          <w:sz w:val="16"/>
        </w:rPr>
        <w:t xml:space="preserve"> </w:t>
      </w:r>
      <w:r>
        <w:rPr>
          <w:sz w:val="16"/>
        </w:rPr>
        <w:t>With</w:t>
      </w:r>
      <w:r>
        <w:rPr>
          <w:spacing w:val="-1"/>
          <w:sz w:val="16"/>
        </w:rPr>
        <w:t xml:space="preserve"> </w:t>
      </w:r>
      <w:r>
        <w:rPr>
          <w:sz w:val="16"/>
        </w:rPr>
        <w:t>Disability</w:t>
      </w:r>
      <w:r>
        <w:rPr>
          <w:spacing w:val="-10"/>
          <w:sz w:val="16"/>
        </w:rPr>
        <w:t xml:space="preserve"> </w:t>
      </w:r>
      <w:r>
        <w:rPr>
          <w:sz w:val="16"/>
        </w:rPr>
        <w:t>Australia</w:t>
      </w:r>
      <w:r>
        <w:rPr>
          <w:spacing w:val="-1"/>
          <w:sz w:val="16"/>
        </w:rPr>
        <w:t xml:space="preserve"> </w:t>
      </w:r>
      <w:r>
        <w:rPr>
          <w:sz w:val="16"/>
        </w:rPr>
        <w:t>(PWDA) (February 2019)</w:t>
      </w:r>
      <w:r>
        <w:rPr>
          <w:color w:val="215E9E"/>
          <w:sz w:val="16"/>
        </w:rPr>
        <w:t xml:space="preserve"> </w:t>
      </w:r>
      <w:r>
        <w:rPr>
          <w:color w:val="215E9E"/>
          <w:sz w:val="16"/>
          <w:u w:val="single" w:color="215E9E"/>
        </w:rPr>
        <w:t>Federal Government Must Fix Gaping Hole In The Disability Discrimination</w:t>
      </w:r>
      <w:r>
        <w:rPr>
          <w:color w:val="215E9E"/>
          <w:spacing w:val="-18"/>
          <w:sz w:val="16"/>
          <w:u w:val="single" w:color="215E9E"/>
        </w:rPr>
        <w:t xml:space="preserve"> </w:t>
      </w:r>
      <w:r>
        <w:rPr>
          <w:color w:val="215E9E"/>
          <w:sz w:val="16"/>
          <w:u w:val="single" w:color="215E9E"/>
        </w:rPr>
        <w:t>Act</w:t>
      </w:r>
      <w:r>
        <w:rPr>
          <w:sz w:val="16"/>
        </w:rPr>
        <w:t>.</w:t>
      </w:r>
    </w:p>
    <w:p w:rsidR="007A0A6C" w:rsidRDefault="007A0A6C">
      <w:pPr>
        <w:spacing w:line="261" w:lineRule="auto"/>
        <w:rPr>
          <w:sz w:val="16"/>
        </w:rPr>
        <w:sectPr w:rsidR="007A0A6C">
          <w:pgSz w:w="11910" w:h="16840"/>
          <w:pgMar w:top="600" w:right="440" w:bottom="540" w:left="380" w:header="0" w:footer="343" w:gutter="0"/>
          <w:cols w:space="720"/>
        </w:sectPr>
      </w:pPr>
    </w:p>
    <w:p w:rsidR="007A0A6C" w:rsidRDefault="00660E26">
      <w:pPr>
        <w:pStyle w:val="ListParagraph"/>
        <w:numPr>
          <w:ilvl w:val="0"/>
          <w:numId w:val="4"/>
        </w:numPr>
        <w:tabs>
          <w:tab w:val="left" w:pos="744"/>
          <w:tab w:val="left" w:pos="745"/>
        </w:tabs>
        <w:spacing w:before="68"/>
        <w:ind w:left="744" w:hanging="404"/>
        <w:rPr>
          <w:sz w:val="16"/>
        </w:rPr>
      </w:pPr>
      <w:r>
        <w:rPr>
          <w:sz w:val="16"/>
        </w:rPr>
        <w:lastRenderedPageBreak/>
        <w:t>See: UN Doc. CRPD/C/AUS/CO/1. See also: CRPD General Comment on Women with Disabilities</w:t>
      </w:r>
      <w:r>
        <w:rPr>
          <w:spacing w:val="-21"/>
          <w:sz w:val="16"/>
        </w:rPr>
        <w:t xml:space="preserve"> </w:t>
      </w:r>
      <w:r>
        <w:rPr>
          <w:sz w:val="16"/>
        </w:rPr>
        <w:t>(CRPD/C/GC/3).</w:t>
      </w:r>
    </w:p>
    <w:p w:rsidR="007A0A6C" w:rsidRDefault="00660E26">
      <w:pPr>
        <w:pStyle w:val="ListParagraph"/>
        <w:numPr>
          <w:ilvl w:val="0"/>
          <w:numId w:val="4"/>
        </w:numPr>
        <w:tabs>
          <w:tab w:val="left" w:pos="744"/>
          <w:tab w:val="left" w:pos="745"/>
        </w:tabs>
        <w:spacing w:line="261" w:lineRule="auto"/>
        <w:ind w:left="340" w:right="278" w:firstLine="0"/>
        <w:rPr>
          <w:sz w:val="16"/>
        </w:rPr>
      </w:pPr>
      <w:r>
        <w:rPr>
          <w:sz w:val="16"/>
        </w:rPr>
        <w:t>In its 2018 review of Australia’s eighth periodic report under the Convention on the Elimination of All Forms of Discrimination Against Women (CEDAW), the CEDAW Committee expressed its concern at the lack of national legislation prohibiting all forms of gender-based violence against women.</w:t>
      </w:r>
      <w:r>
        <w:rPr>
          <w:spacing w:val="-6"/>
          <w:sz w:val="16"/>
        </w:rPr>
        <w:t xml:space="preserve"> </w:t>
      </w:r>
      <w:r>
        <w:rPr>
          <w:sz w:val="16"/>
        </w:rPr>
        <w:t>The</w:t>
      </w:r>
      <w:r>
        <w:rPr>
          <w:spacing w:val="-3"/>
          <w:sz w:val="16"/>
        </w:rPr>
        <w:t xml:space="preserve"> </w:t>
      </w:r>
      <w:r>
        <w:rPr>
          <w:sz w:val="16"/>
        </w:rPr>
        <w:t>CEDAW</w:t>
      </w:r>
      <w:r>
        <w:rPr>
          <w:spacing w:val="-4"/>
          <w:sz w:val="16"/>
        </w:rPr>
        <w:t xml:space="preserve"> </w:t>
      </w:r>
      <w:r>
        <w:rPr>
          <w:sz w:val="16"/>
        </w:rPr>
        <w:t>Committee</w:t>
      </w:r>
      <w:r>
        <w:rPr>
          <w:spacing w:val="-4"/>
          <w:sz w:val="16"/>
        </w:rPr>
        <w:t xml:space="preserve"> </w:t>
      </w:r>
      <w:r>
        <w:rPr>
          <w:sz w:val="16"/>
        </w:rPr>
        <w:t>recommended</w:t>
      </w:r>
      <w:r>
        <w:rPr>
          <w:spacing w:val="-2"/>
          <w:sz w:val="16"/>
        </w:rPr>
        <w:t xml:space="preserve"> </w:t>
      </w:r>
      <w:r>
        <w:rPr>
          <w:sz w:val="16"/>
        </w:rPr>
        <w:t>that</w:t>
      </w:r>
      <w:r>
        <w:rPr>
          <w:spacing w:val="-4"/>
          <w:sz w:val="16"/>
        </w:rPr>
        <w:t xml:space="preserve"> </w:t>
      </w:r>
      <w:r>
        <w:rPr>
          <w:sz w:val="16"/>
        </w:rPr>
        <w:t>the</w:t>
      </w:r>
      <w:r>
        <w:rPr>
          <w:spacing w:val="-11"/>
          <w:sz w:val="16"/>
        </w:rPr>
        <w:t xml:space="preserve"> </w:t>
      </w:r>
      <w:r>
        <w:rPr>
          <w:sz w:val="16"/>
        </w:rPr>
        <w:t>Australian</w:t>
      </w:r>
      <w:r>
        <w:rPr>
          <w:spacing w:val="-2"/>
          <w:sz w:val="16"/>
        </w:rPr>
        <w:t xml:space="preserve"> </w:t>
      </w:r>
      <w:r>
        <w:rPr>
          <w:sz w:val="16"/>
        </w:rPr>
        <w:t>Government:</w:t>
      </w:r>
      <w:r>
        <w:rPr>
          <w:spacing w:val="-4"/>
          <w:sz w:val="16"/>
        </w:rPr>
        <w:t xml:space="preserve"> </w:t>
      </w:r>
      <w:r>
        <w:rPr>
          <w:sz w:val="16"/>
        </w:rPr>
        <w:t>“Adopt</w:t>
      </w:r>
      <w:r>
        <w:rPr>
          <w:spacing w:val="-3"/>
          <w:sz w:val="16"/>
        </w:rPr>
        <w:t xml:space="preserve"> </w:t>
      </w:r>
      <w:r>
        <w:rPr>
          <w:sz w:val="16"/>
        </w:rPr>
        <w:t>commonwealth</w:t>
      </w:r>
      <w:r>
        <w:rPr>
          <w:spacing w:val="-3"/>
          <w:sz w:val="16"/>
        </w:rPr>
        <w:t xml:space="preserve"> </w:t>
      </w:r>
      <w:r>
        <w:rPr>
          <w:sz w:val="16"/>
        </w:rPr>
        <w:t>legislation</w:t>
      </w:r>
      <w:r>
        <w:rPr>
          <w:spacing w:val="-3"/>
          <w:sz w:val="16"/>
        </w:rPr>
        <w:t xml:space="preserve"> </w:t>
      </w:r>
      <w:r>
        <w:rPr>
          <w:sz w:val="16"/>
        </w:rPr>
        <w:t>that</w:t>
      </w:r>
      <w:r>
        <w:rPr>
          <w:spacing w:val="-3"/>
          <w:sz w:val="16"/>
        </w:rPr>
        <w:t xml:space="preserve"> </w:t>
      </w:r>
      <w:r>
        <w:rPr>
          <w:sz w:val="16"/>
        </w:rPr>
        <w:t>is</w:t>
      </w:r>
      <w:r>
        <w:rPr>
          <w:spacing w:val="-4"/>
          <w:sz w:val="16"/>
        </w:rPr>
        <w:t xml:space="preserve"> </w:t>
      </w:r>
      <w:r>
        <w:rPr>
          <w:sz w:val="16"/>
        </w:rPr>
        <w:t>in</w:t>
      </w:r>
      <w:r>
        <w:rPr>
          <w:spacing w:val="-3"/>
          <w:sz w:val="16"/>
        </w:rPr>
        <w:t xml:space="preserve"> </w:t>
      </w:r>
      <w:r>
        <w:rPr>
          <w:sz w:val="16"/>
        </w:rPr>
        <w:t>line</w:t>
      </w:r>
      <w:r>
        <w:rPr>
          <w:spacing w:val="-4"/>
          <w:sz w:val="16"/>
        </w:rPr>
        <w:t xml:space="preserve"> </w:t>
      </w:r>
      <w:r>
        <w:rPr>
          <w:sz w:val="16"/>
        </w:rPr>
        <w:t>with</w:t>
      </w:r>
      <w:r>
        <w:rPr>
          <w:spacing w:val="-3"/>
          <w:sz w:val="16"/>
        </w:rPr>
        <w:t xml:space="preserve"> </w:t>
      </w:r>
      <w:r>
        <w:rPr>
          <w:sz w:val="16"/>
        </w:rPr>
        <w:t>the</w:t>
      </w:r>
      <w:r>
        <w:rPr>
          <w:spacing w:val="-4"/>
          <w:sz w:val="16"/>
        </w:rPr>
        <w:t xml:space="preserve"> </w:t>
      </w:r>
      <w:r>
        <w:rPr>
          <w:sz w:val="16"/>
        </w:rPr>
        <w:t>Convention and prohibits all forms of gender-based violence against women and girls, and shift the power to legislate on this matter to the Commonwealth Parliament” See UN Doc No: CEDAW/C/AUS/CO/8. See also: CCPR/C/AUS/CO/6; E/C.12/AUS/CO/5;</w:t>
      </w:r>
      <w:r>
        <w:rPr>
          <w:spacing w:val="-15"/>
          <w:sz w:val="16"/>
        </w:rPr>
        <w:t xml:space="preserve"> </w:t>
      </w:r>
      <w:r>
        <w:rPr>
          <w:sz w:val="16"/>
        </w:rPr>
        <w:t>CAT/C/AUS/CO/4-5.</w:t>
      </w:r>
    </w:p>
    <w:p w:rsidR="007A0A6C" w:rsidRDefault="00660E26">
      <w:pPr>
        <w:pStyle w:val="ListParagraph"/>
        <w:numPr>
          <w:ilvl w:val="0"/>
          <w:numId w:val="4"/>
        </w:numPr>
        <w:tabs>
          <w:tab w:val="left" w:pos="744"/>
          <w:tab w:val="left" w:pos="745"/>
        </w:tabs>
        <w:spacing w:before="98" w:line="261" w:lineRule="auto"/>
        <w:ind w:left="340" w:right="516" w:firstLine="0"/>
        <w:rPr>
          <w:sz w:val="16"/>
        </w:rPr>
      </w:pPr>
      <w:r>
        <w:rPr>
          <w:sz w:val="16"/>
        </w:rPr>
        <w:t>Committee on the Elimination of Discrimination against Women (14 July 2017); General recommendation No. 35 on gender-based violence against women, updating general recommendation No. 19. UN Doc No:</w:t>
      </w:r>
      <w:r>
        <w:rPr>
          <w:spacing w:val="-14"/>
          <w:sz w:val="16"/>
        </w:rPr>
        <w:t xml:space="preserve"> </w:t>
      </w:r>
      <w:r>
        <w:rPr>
          <w:sz w:val="16"/>
        </w:rPr>
        <w:t>CEDAW/C/GC/35.</w:t>
      </w:r>
    </w:p>
    <w:p w:rsidR="007A0A6C" w:rsidRDefault="00660E26">
      <w:pPr>
        <w:pStyle w:val="ListParagraph"/>
        <w:numPr>
          <w:ilvl w:val="0"/>
          <w:numId w:val="4"/>
        </w:numPr>
        <w:tabs>
          <w:tab w:val="left" w:pos="744"/>
          <w:tab w:val="left" w:pos="745"/>
        </w:tabs>
        <w:spacing w:before="99"/>
        <w:ind w:left="744" w:hanging="404"/>
        <w:rPr>
          <w:sz w:val="16"/>
        </w:rPr>
      </w:pPr>
      <w:r>
        <w:rPr>
          <w:sz w:val="16"/>
        </w:rPr>
        <w:t>Council</w:t>
      </w:r>
      <w:r>
        <w:rPr>
          <w:spacing w:val="-3"/>
          <w:sz w:val="16"/>
        </w:rPr>
        <w:t xml:space="preserve"> </w:t>
      </w:r>
      <w:r>
        <w:rPr>
          <w:sz w:val="16"/>
        </w:rPr>
        <w:t>of</w:t>
      </w:r>
      <w:r>
        <w:rPr>
          <w:spacing w:val="-10"/>
          <w:sz w:val="16"/>
        </w:rPr>
        <w:t xml:space="preserve"> </w:t>
      </w:r>
      <w:r>
        <w:rPr>
          <w:sz w:val="16"/>
        </w:rPr>
        <w:t>Australian</w:t>
      </w:r>
      <w:r>
        <w:rPr>
          <w:spacing w:val="-2"/>
          <w:sz w:val="16"/>
        </w:rPr>
        <w:t xml:space="preserve"> </w:t>
      </w:r>
      <w:r>
        <w:rPr>
          <w:sz w:val="16"/>
        </w:rPr>
        <w:t>Governments</w:t>
      </w:r>
      <w:r>
        <w:rPr>
          <w:spacing w:val="-2"/>
          <w:sz w:val="16"/>
        </w:rPr>
        <w:t xml:space="preserve"> </w:t>
      </w:r>
      <w:r>
        <w:rPr>
          <w:spacing w:val="-3"/>
          <w:sz w:val="16"/>
        </w:rPr>
        <w:t>(2011)</w:t>
      </w:r>
      <w:r>
        <w:rPr>
          <w:color w:val="215E9E"/>
          <w:spacing w:val="-2"/>
          <w:sz w:val="16"/>
        </w:rPr>
        <w:t xml:space="preserve"> </w:t>
      </w:r>
      <w:r>
        <w:rPr>
          <w:color w:val="215E9E"/>
          <w:sz w:val="16"/>
          <w:u w:val="single" w:color="215E9E"/>
        </w:rPr>
        <w:t>National</w:t>
      </w:r>
      <w:r>
        <w:rPr>
          <w:color w:val="215E9E"/>
          <w:spacing w:val="-3"/>
          <w:sz w:val="16"/>
          <w:u w:val="single" w:color="215E9E"/>
        </w:rPr>
        <w:t xml:space="preserve"> </w:t>
      </w:r>
      <w:r>
        <w:rPr>
          <w:color w:val="215E9E"/>
          <w:sz w:val="16"/>
          <w:u w:val="single" w:color="215E9E"/>
        </w:rPr>
        <w:t>Plan</w:t>
      </w:r>
      <w:r>
        <w:rPr>
          <w:color w:val="215E9E"/>
          <w:spacing w:val="-1"/>
          <w:sz w:val="16"/>
          <w:u w:val="single" w:color="215E9E"/>
        </w:rPr>
        <w:t xml:space="preserve"> </w:t>
      </w:r>
      <w:r>
        <w:rPr>
          <w:color w:val="215E9E"/>
          <w:sz w:val="16"/>
          <w:u w:val="single" w:color="215E9E"/>
        </w:rPr>
        <w:t>to</w:t>
      </w:r>
      <w:r>
        <w:rPr>
          <w:color w:val="215E9E"/>
          <w:spacing w:val="-2"/>
          <w:sz w:val="16"/>
          <w:u w:val="single" w:color="215E9E"/>
        </w:rPr>
        <w:t xml:space="preserve"> </w:t>
      </w:r>
      <w:r>
        <w:rPr>
          <w:color w:val="215E9E"/>
          <w:sz w:val="16"/>
          <w:u w:val="single" w:color="215E9E"/>
        </w:rPr>
        <w:t>Reduce</w:t>
      </w:r>
      <w:r>
        <w:rPr>
          <w:color w:val="215E9E"/>
          <w:spacing w:val="-3"/>
          <w:sz w:val="16"/>
          <w:u w:val="single" w:color="215E9E"/>
        </w:rPr>
        <w:t xml:space="preserve"> </w:t>
      </w:r>
      <w:r>
        <w:rPr>
          <w:color w:val="215E9E"/>
          <w:sz w:val="16"/>
          <w:u w:val="single" w:color="215E9E"/>
        </w:rPr>
        <w:t>Violence</w:t>
      </w:r>
      <w:r>
        <w:rPr>
          <w:color w:val="215E9E"/>
          <w:spacing w:val="-2"/>
          <w:sz w:val="16"/>
          <w:u w:val="single" w:color="215E9E"/>
        </w:rPr>
        <w:t xml:space="preserve"> </w:t>
      </w:r>
      <w:r>
        <w:rPr>
          <w:color w:val="215E9E"/>
          <w:sz w:val="16"/>
          <w:u w:val="single" w:color="215E9E"/>
        </w:rPr>
        <w:t>against</w:t>
      </w:r>
      <w:r>
        <w:rPr>
          <w:color w:val="215E9E"/>
          <w:spacing w:val="-3"/>
          <w:sz w:val="16"/>
          <w:u w:val="single" w:color="215E9E"/>
        </w:rPr>
        <w:t xml:space="preserve"> </w:t>
      </w:r>
      <w:r>
        <w:rPr>
          <w:color w:val="215E9E"/>
          <w:sz w:val="16"/>
          <w:u w:val="single" w:color="215E9E"/>
        </w:rPr>
        <w:t>Women</w:t>
      </w:r>
      <w:r>
        <w:rPr>
          <w:color w:val="215E9E"/>
          <w:spacing w:val="-2"/>
          <w:sz w:val="16"/>
          <w:u w:val="single" w:color="215E9E"/>
        </w:rPr>
        <w:t xml:space="preserve"> </w:t>
      </w:r>
      <w:r>
        <w:rPr>
          <w:color w:val="215E9E"/>
          <w:sz w:val="16"/>
          <w:u w:val="single" w:color="215E9E"/>
        </w:rPr>
        <w:t>and</w:t>
      </w:r>
      <w:r>
        <w:rPr>
          <w:color w:val="215E9E"/>
          <w:spacing w:val="-3"/>
          <w:sz w:val="16"/>
          <w:u w:val="single" w:color="215E9E"/>
        </w:rPr>
        <w:t xml:space="preserve"> </w:t>
      </w:r>
      <w:r>
        <w:rPr>
          <w:color w:val="215E9E"/>
          <w:sz w:val="16"/>
          <w:u w:val="single" w:color="215E9E"/>
        </w:rPr>
        <w:t>their</w:t>
      </w:r>
      <w:r>
        <w:rPr>
          <w:color w:val="215E9E"/>
          <w:spacing w:val="-1"/>
          <w:sz w:val="16"/>
          <w:u w:val="single" w:color="215E9E"/>
        </w:rPr>
        <w:t xml:space="preserve"> </w:t>
      </w:r>
      <w:r>
        <w:rPr>
          <w:color w:val="215E9E"/>
          <w:sz w:val="16"/>
          <w:u w:val="single" w:color="215E9E"/>
        </w:rPr>
        <w:t>Children</w:t>
      </w:r>
      <w:r>
        <w:rPr>
          <w:color w:val="215E9E"/>
          <w:spacing w:val="-3"/>
          <w:sz w:val="16"/>
          <w:u w:val="single" w:color="215E9E"/>
        </w:rPr>
        <w:t xml:space="preserve"> </w:t>
      </w:r>
      <w:r>
        <w:rPr>
          <w:color w:val="215E9E"/>
          <w:sz w:val="16"/>
          <w:u w:val="single" w:color="215E9E"/>
        </w:rPr>
        <w:t>2010-2022</w:t>
      </w:r>
      <w:r>
        <w:rPr>
          <w:sz w:val="16"/>
        </w:rPr>
        <w:t>,</w:t>
      </w:r>
      <w:r>
        <w:rPr>
          <w:spacing w:val="-2"/>
          <w:sz w:val="16"/>
        </w:rPr>
        <w:t xml:space="preserve"> </w:t>
      </w:r>
      <w:r>
        <w:rPr>
          <w:sz w:val="16"/>
        </w:rPr>
        <w:t>Canberra.</w:t>
      </w:r>
    </w:p>
    <w:p w:rsidR="007A0A6C" w:rsidRDefault="00660E26">
      <w:pPr>
        <w:pStyle w:val="ListParagraph"/>
        <w:numPr>
          <w:ilvl w:val="0"/>
          <w:numId w:val="4"/>
        </w:numPr>
        <w:tabs>
          <w:tab w:val="left" w:pos="741"/>
          <w:tab w:val="left" w:pos="742"/>
        </w:tabs>
        <w:spacing w:line="261" w:lineRule="auto"/>
        <w:ind w:left="340" w:right="579" w:firstLine="0"/>
        <w:rPr>
          <w:sz w:val="16"/>
        </w:rPr>
      </w:pPr>
      <w:r>
        <w:rPr>
          <w:sz w:val="16"/>
        </w:rPr>
        <w:t>The exclusion and neglect of women and girls with disability in the</w:t>
      </w:r>
      <w:r>
        <w:rPr>
          <w:color w:val="215E9E"/>
          <w:sz w:val="16"/>
        </w:rPr>
        <w:t xml:space="preserve"> </w:t>
      </w:r>
      <w:r>
        <w:rPr>
          <w:color w:val="215E9E"/>
          <w:sz w:val="16"/>
          <w:u w:val="single" w:color="215E9E"/>
        </w:rPr>
        <w:t>National Plan</w:t>
      </w:r>
      <w:r>
        <w:rPr>
          <w:color w:val="215E9E"/>
          <w:sz w:val="16"/>
        </w:rPr>
        <w:t xml:space="preserve"> </w:t>
      </w:r>
      <w:r>
        <w:rPr>
          <w:sz w:val="16"/>
        </w:rPr>
        <w:t>has been identified in a number of reviews and inquiries at both national and international levels. For example, the report from the</w:t>
      </w:r>
      <w:r>
        <w:rPr>
          <w:color w:val="215E9E"/>
          <w:sz w:val="16"/>
        </w:rPr>
        <w:t xml:space="preserve"> </w:t>
      </w:r>
      <w:r>
        <w:rPr>
          <w:color w:val="215E9E"/>
          <w:sz w:val="16"/>
          <w:u w:val="single" w:color="215E9E"/>
        </w:rPr>
        <w:t>Senate Inquiry into Violence, abuse and neglect against people with disability in institutional and residential settings</w:t>
      </w:r>
      <w:r>
        <w:rPr>
          <w:sz w:val="16"/>
        </w:rPr>
        <w:t>, released in November 2015, recommended that the Australian Government amend the National Plan to ensure that women with disability are afforded the full range of rights protections that are available to women without disability. The recommendation also specified that the National Plan must be updated to include institutional and disability accommodation settings, and that in order</w:t>
      </w:r>
      <w:r>
        <w:rPr>
          <w:spacing w:val="-3"/>
          <w:sz w:val="16"/>
        </w:rPr>
        <w:t xml:space="preserve"> </w:t>
      </w:r>
      <w:r>
        <w:rPr>
          <w:sz w:val="16"/>
        </w:rPr>
        <w:t>to</w:t>
      </w:r>
      <w:r>
        <w:rPr>
          <w:spacing w:val="-2"/>
          <w:sz w:val="16"/>
        </w:rPr>
        <w:t xml:space="preserve"> </w:t>
      </w:r>
      <w:r>
        <w:rPr>
          <w:sz w:val="16"/>
        </w:rPr>
        <w:t>give</w:t>
      </w:r>
      <w:r>
        <w:rPr>
          <w:spacing w:val="-2"/>
          <w:sz w:val="16"/>
        </w:rPr>
        <w:t xml:space="preserve"> </w:t>
      </w:r>
      <w:r>
        <w:rPr>
          <w:sz w:val="16"/>
        </w:rPr>
        <w:t>effect</w:t>
      </w:r>
      <w:r>
        <w:rPr>
          <w:spacing w:val="-2"/>
          <w:sz w:val="16"/>
        </w:rPr>
        <w:t xml:space="preserve"> </w:t>
      </w:r>
      <w:r>
        <w:rPr>
          <w:sz w:val="16"/>
        </w:rPr>
        <w:t>to</w:t>
      </w:r>
      <w:r>
        <w:rPr>
          <w:spacing w:val="-1"/>
          <w:sz w:val="16"/>
        </w:rPr>
        <w:t xml:space="preserve"> </w:t>
      </w:r>
      <w:r>
        <w:rPr>
          <w:sz w:val="16"/>
        </w:rPr>
        <w:t>the</w:t>
      </w:r>
      <w:r>
        <w:rPr>
          <w:spacing w:val="-2"/>
          <w:sz w:val="16"/>
        </w:rPr>
        <w:t xml:space="preserve"> </w:t>
      </w:r>
      <w:r>
        <w:rPr>
          <w:sz w:val="16"/>
        </w:rPr>
        <w:t>National</w:t>
      </w:r>
      <w:r>
        <w:rPr>
          <w:spacing w:val="-2"/>
          <w:sz w:val="16"/>
        </w:rPr>
        <w:t xml:space="preserve"> </w:t>
      </w:r>
      <w:r>
        <w:rPr>
          <w:sz w:val="16"/>
        </w:rPr>
        <w:t>Plan,</w:t>
      </w:r>
      <w:r>
        <w:rPr>
          <w:spacing w:val="-2"/>
          <w:sz w:val="16"/>
        </w:rPr>
        <w:t xml:space="preserve"> </w:t>
      </w:r>
      <w:r>
        <w:rPr>
          <w:sz w:val="16"/>
        </w:rPr>
        <w:t>there</w:t>
      </w:r>
      <w:r>
        <w:rPr>
          <w:spacing w:val="-1"/>
          <w:sz w:val="16"/>
        </w:rPr>
        <w:t xml:space="preserve"> </w:t>
      </w:r>
      <w:r>
        <w:rPr>
          <w:sz w:val="16"/>
        </w:rPr>
        <w:t>must</w:t>
      </w:r>
      <w:r>
        <w:rPr>
          <w:spacing w:val="-2"/>
          <w:sz w:val="16"/>
        </w:rPr>
        <w:t xml:space="preserve"> </w:t>
      </w:r>
      <w:r>
        <w:rPr>
          <w:sz w:val="16"/>
        </w:rPr>
        <w:t>be</w:t>
      </w:r>
      <w:r>
        <w:rPr>
          <w:spacing w:val="-2"/>
          <w:sz w:val="16"/>
        </w:rPr>
        <w:t xml:space="preserve"> </w:t>
      </w:r>
      <w:r>
        <w:rPr>
          <w:sz w:val="16"/>
        </w:rPr>
        <w:t>increased</w:t>
      </w:r>
      <w:r>
        <w:rPr>
          <w:spacing w:val="-3"/>
          <w:sz w:val="16"/>
        </w:rPr>
        <w:t xml:space="preserve"> </w:t>
      </w:r>
      <w:r>
        <w:rPr>
          <w:sz w:val="16"/>
        </w:rPr>
        <w:t>funding</w:t>
      </w:r>
      <w:r>
        <w:rPr>
          <w:spacing w:val="-2"/>
          <w:sz w:val="16"/>
        </w:rPr>
        <w:t xml:space="preserve"> </w:t>
      </w:r>
      <w:r>
        <w:rPr>
          <w:sz w:val="16"/>
        </w:rPr>
        <w:t>to</w:t>
      </w:r>
      <w:r>
        <w:rPr>
          <w:spacing w:val="-1"/>
          <w:sz w:val="16"/>
        </w:rPr>
        <w:t xml:space="preserve"> </w:t>
      </w:r>
      <w:r>
        <w:rPr>
          <w:sz w:val="16"/>
        </w:rPr>
        <w:t>support</w:t>
      </w:r>
      <w:r>
        <w:rPr>
          <w:spacing w:val="-2"/>
          <w:sz w:val="16"/>
        </w:rPr>
        <w:t xml:space="preserve"> </w:t>
      </w:r>
      <w:r>
        <w:rPr>
          <w:sz w:val="16"/>
        </w:rPr>
        <w:t>women</w:t>
      </w:r>
      <w:r>
        <w:rPr>
          <w:spacing w:val="-2"/>
          <w:sz w:val="16"/>
        </w:rPr>
        <w:t xml:space="preserve"> </w:t>
      </w:r>
      <w:r>
        <w:rPr>
          <w:sz w:val="16"/>
        </w:rPr>
        <w:t>with</w:t>
      </w:r>
      <w:r>
        <w:rPr>
          <w:spacing w:val="-3"/>
          <w:sz w:val="16"/>
        </w:rPr>
        <w:t xml:space="preserve"> </w:t>
      </w:r>
      <w:r>
        <w:rPr>
          <w:sz w:val="16"/>
        </w:rPr>
        <w:t>disability</w:t>
      </w:r>
      <w:r>
        <w:rPr>
          <w:spacing w:val="-2"/>
          <w:sz w:val="16"/>
        </w:rPr>
        <w:t xml:space="preserve"> </w:t>
      </w:r>
      <w:r>
        <w:rPr>
          <w:sz w:val="16"/>
        </w:rPr>
        <w:t>escaping</w:t>
      </w:r>
      <w:r>
        <w:rPr>
          <w:spacing w:val="-3"/>
          <w:sz w:val="16"/>
        </w:rPr>
        <w:t xml:space="preserve"> </w:t>
      </w:r>
      <w:r>
        <w:rPr>
          <w:sz w:val="16"/>
        </w:rPr>
        <w:t>domestic</w:t>
      </w:r>
      <w:r>
        <w:rPr>
          <w:spacing w:val="-2"/>
          <w:sz w:val="16"/>
        </w:rPr>
        <w:t xml:space="preserve"> </w:t>
      </w:r>
      <w:r>
        <w:rPr>
          <w:sz w:val="16"/>
        </w:rPr>
        <w:t>violence.</w:t>
      </w:r>
    </w:p>
    <w:p w:rsidR="007A0A6C" w:rsidRDefault="00660E26">
      <w:pPr>
        <w:pStyle w:val="ListParagraph"/>
        <w:numPr>
          <w:ilvl w:val="0"/>
          <w:numId w:val="4"/>
        </w:numPr>
        <w:tabs>
          <w:tab w:val="left" w:pos="744"/>
          <w:tab w:val="left" w:pos="745"/>
        </w:tabs>
        <w:spacing w:before="96" w:line="261" w:lineRule="auto"/>
        <w:ind w:left="340" w:right="522" w:firstLine="0"/>
        <w:rPr>
          <w:sz w:val="16"/>
        </w:rPr>
      </w:pPr>
      <w:r>
        <w:rPr>
          <w:sz w:val="16"/>
        </w:rPr>
        <w:t>Such</w:t>
      </w:r>
      <w:r>
        <w:rPr>
          <w:spacing w:val="-3"/>
          <w:sz w:val="16"/>
        </w:rPr>
        <w:t xml:space="preserve"> </w:t>
      </w:r>
      <w:r>
        <w:rPr>
          <w:sz w:val="16"/>
        </w:rPr>
        <w:t>as</w:t>
      </w:r>
      <w:r>
        <w:rPr>
          <w:spacing w:val="-3"/>
          <w:sz w:val="16"/>
        </w:rPr>
        <w:t xml:space="preserve"> </w:t>
      </w:r>
      <w:r>
        <w:rPr>
          <w:sz w:val="16"/>
        </w:rPr>
        <w:t>forced</w:t>
      </w:r>
      <w:r>
        <w:rPr>
          <w:spacing w:val="-3"/>
          <w:sz w:val="16"/>
        </w:rPr>
        <w:t xml:space="preserve"> </w:t>
      </w:r>
      <w:r>
        <w:rPr>
          <w:sz w:val="16"/>
        </w:rPr>
        <w:t>sterilisation,</w:t>
      </w:r>
      <w:r>
        <w:rPr>
          <w:spacing w:val="-2"/>
          <w:sz w:val="16"/>
        </w:rPr>
        <w:t xml:space="preserve"> </w:t>
      </w:r>
      <w:r>
        <w:rPr>
          <w:sz w:val="16"/>
        </w:rPr>
        <w:t>forced</w:t>
      </w:r>
      <w:r>
        <w:rPr>
          <w:spacing w:val="-2"/>
          <w:sz w:val="16"/>
        </w:rPr>
        <w:t xml:space="preserve"> </w:t>
      </w:r>
      <w:r>
        <w:rPr>
          <w:sz w:val="16"/>
        </w:rPr>
        <w:t>abortion,</w:t>
      </w:r>
      <w:r>
        <w:rPr>
          <w:spacing w:val="-4"/>
          <w:sz w:val="16"/>
        </w:rPr>
        <w:t xml:space="preserve"> </w:t>
      </w:r>
      <w:r>
        <w:rPr>
          <w:sz w:val="16"/>
        </w:rPr>
        <w:t>forced</w:t>
      </w:r>
      <w:r>
        <w:rPr>
          <w:spacing w:val="-2"/>
          <w:sz w:val="16"/>
        </w:rPr>
        <w:t xml:space="preserve"> </w:t>
      </w:r>
      <w:r>
        <w:rPr>
          <w:sz w:val="16"/>
        </w:rPr>
        <w:t>contraception,</w:t>
      </w:r>
      <w:r>
        <w:rPr>
          <w:spacing w:val="-2"/>
          <w:sz w:val="16"/>
        </w:rPr>
        <w:t xml:space="preserve"> </w:t>
      </w:r>
      <w:r>
        <w:rPr>
          <w:sz w:val="16"/>
        </w:rPr>
        <w:t>denial</w:t>
      </w:r>
      <w:r>
        <w:rPr>
          <w:spacing w:val="-4"/>
          <w:sz w:val="16"/>
        </w:rPr>
        <w:t xml:space="preserve"> </w:t>
      </w:r>
      <w:r>
        <w:rPr>
          <w:sz w:val="16"/>
        </w:rPr>
        <w:t>of</w:t>
      </w:r>
      <w:r>
        <w:rPr>
          <w:spacing w:val="-3"/>
          <w:sz w:val="16"/>
        </w:rPr>
        <w:t xml:space="preserve"> </w:t>
      </w:r>
      <w:r>
        <w:rPr>
          <w:sz w:val="16"/>
        </w:rPr>
        <w:t>legal</w:t>
      </w:r>
      <w:r>
        <w:rPr>
          <w:spacing w:val="-3"/>
          <w:sz w:val="16"/>
        </w:rPr>
        <w:t xml:space="preserve"> </w:t>
      </w:r>
      <w:r>
        <w:rPr>
          <w:sz w:val="16"/>
        </w:rPr>
        <w:t>capacity,</w:t>
      </w:r>
      <w:r>
        <w:rPr>
          <w:spacing w:val="-3"/>
          <w:sz w:val="16"/>
        </w:rPr>
        <w:t xml:space="preserve"> </w:t>
      </w:r>
      <w:r>
        <w:rPr>
          <w:sz w:val="16"/>
        </w:rPr>
        <w:t>forced</w:t>
      </w:r>
      <w:r>
        <w:rPr>
          <w:spacing w:val="-2"/>
          <w:sz w:val="16"/>
        </w:rPr>
        <w:t xml:space="preserve"> </w:t>
      </w:r>
      <w:r>
        <w:rPr>
          <w:sz w:val="16"/>
        </w:rPr>
        <w:t>treatment,</w:t>
      </w:r>
      <w:r>
        <w:rPr>
          <w:spacing w:val="-2"/>
          <w:sz w:val="16"/>
        </w:rPr>
        <w:t xml:space="preserve"> </w:t>
      </w:r>
      <w:r>
        <w:rPr>
          <w:sz w:val="16"/>
        </w:rPr>
        <w:t>restrictive</w:t>
      </w:r>
      <w:r>
        <w:rPr>
          <w:spacing w:val="-3"/>
          <w:sz w:val="16"/>
        </w:rPr>
        <w:t xml:space="preserve"> </w:t>
      </w:r>
      <w:r>
        <w:rPr>
          <w:sz w:val="16"/>
        </w:rPr>
        <w:t>practices,</w:t>
      </w:r>
      <w:r>
        <w:rPr>
          <w:spacing w:val="-3"/>
          <w:sz w:val="16"/>
        </w:rPr>
        <w:t xml:space="preserve"> </w:t>
      </w:r>
      <w:r>
        <w:rPr>
          <w:sz w:val="16"/>
        </w:rPr>
        <w:t>seclusion, restraint, indefinite detention, and forced and coerced</w:t>
      </w:r>
      <w:r>
        <w:rPr>
          <w:spacing w:val="-6"/>
          <w:sz w:val="16"/>
        </w:rPr>
        <w:t xml:space="preserve"> </w:t>
      </w:r>
      <w:r>
        <w:rPr>
          <w:sz w:val="16"/>
        </w:rPr>
        <w:t>marriage.</w:t>
      </w:r>
    </w:p>
    <w:p w:rsidR="007A0A6C" w:rsidRDefault="00660E26">
      <w:pPr>
        <w:pStyle w:val="ListParagraph"/>
        <w:numPr>
          <w:ilvl w:val="0"/>
          <w:numId w:val="4"/>
        </w:numPr>
        <w:tabs>
          <w:tab w:val="left" w:pos="744"/>
          <w:tab w:val="left" w:pos="745"/>
        </w:tabs>
        <w:spacing w:before="99"/>
        <w:ind w:left="744" w:hanging="404"/>
        <w:rPr>
          <w:sz w:val="16"/>
        </w:rPr>
      </w:pPr>
      <w:r>
        <w:rPr>
          <w:sz w:val="16"/>
        </w:rPr>
        <w:t>Including for eg: prisons, segregated settings, detention centres, and other forms of institutional</w:t>
      </w:r>
      <w:r>
        <w:rPr>
          <w:spacing w:val="-13"/>
          <w:sz w:val="16"/>
        </w:rPr>
        <w:t xml:space="preserve"> </w:t>
      </w:r>
      <w:r>
        <w:rPr>
          <w:sz w:val="16"/>
        </w:rPr>
        <w:t>settings.</w:t>
      </w:r>
    </w:p>
    <w:p w:rsidR="007A0A6C" w:rsidRDefault="00660E26">
      <w:pPr>
        <w:pStyle w:val="ListParagraph"/>
        <w:numPr>
          <w:ilvl w:val="0"/>
          <w:numId w:val="4"/>
        </w:numPr>
        <w:tabs>
          <w:tab w:val="left" w:pos="744"/>
          <w:tab w:val="left" w:pos="745"/>
        </w:tabs>
        <w:ind w:left="744" w:hanging="404"/>
        <w:rPr>
          <w:sz w:val="16"/>
        </w:rPr>
      </w:pPr>
      <w:r>
        <w:rPr>
          <w:sz w:val="16"/>
        </w:rPr>
        <w:t>See:</w:t>
      </w:r>
      <w:r>
        <w:rPr>
          <w:color w:val="215E9E"/>
          <w:sz w:val="16"/>
        </w:rPr>
        <w:t xml:space="preserve"> </w:t>
      </w:r>
      <w:r>
        <w:rPr>
          <w:color w:val="215E9E"/>
          <w:spacing w:val="-3"/>
          <w:sz w:val="16"/>
          <w:u w:val="single" w:color="215E9E"/>
        </w:rPr>
        <w:t>1800RESPECT</w:t>
      </w:r>
      <w:r>
        <w:rPr>
          <w:spacing w:val="-3"/>
          <w:sz w:val="16"/>
        </w:rPr>
        <w:t xml:space="preserve">; </w:t>
      </w:r>
      <w:r>
        <w:rPr>
          <w:sz w:val="16"/>
        </w:rPr>
        <w:t>See also</w:t>
      </w:r>
      <w:r>
        <w:rPr>
          <w:color w:val="215E9E"/>
          <w:sz w:val="16"/>
        </w:rPr>
        <w:t xml:space="preserve"> </w:t>
      </w:r>
      <w:r>
        <w:rPr>
          <w:color w:val="215E9E"/>
          <w:sz w:val="16"/>
          <w:u w:val="single" w:color="215E9E"/>
        </w:rPr>
        <w:t>The</w:t>
      </w:r>
      <w:r>
        <w:rPr>
          <w:color w:val="215E9E"/>
          <w:spacing w:val="2"/>
          <w:sz w:val="16"/>
          <w:u w:val="single" w:color="215E9E"/>
        </w:rPr>
        <w:t xml:space="preserve"> </w:t>
      </w:r>
      <w:r>
        <w:rPr>
          <w:color w:val="215E9E"/>
          <w:sz w:val="16"/>
          <w:u w:val="single" w:color="215E9E"/>
        </w:rPr>
        <w:t>Line</w:t>
      </w:r>
      <w:r>
        <w:rPr>
          <w:sz w:val="16"/>
        </w:rPr>
        <w:t>.</w:t>
      </w:r>
    </w:p>
    <w:p w:rsidR="007A0A6C" w:rsidRDefault="00660E26">
      <w:pPr>
        <w:pStyle w:val="ListParagraph"/>
        <w:numPr>
          <w:ilvl w:val="0"/>
          <w:numId w:val="4"/>
        </w:numPr>
        <w:tabs>
          <w:tab w:val="left" w:pos="741"/>
          <w:tab w:val="left" w:pos="742"/>
        </w:tabs>
        <w:spacing w:before="16" w:line="261" w:lineRule="auto"/>
        <w:ind w:left="340" w:right="305" w:firstLine="0"/>
        <w:rPr>
          <w:sz w:val="16"/>
        </w:rPr>
      </w:pPr>
      <w:r>
        <w:rPr>
          <w:sz w:val="16"/>
        </w:rPr>
        <w:t>The Australian Government cites the</w:t>
      </w:r>
      <w:r>
        <w:rPr>
          <w:color w:val="215E9E"/>
          <w:sz w:val="16"/>
        </w:rPr>
        <w:t xml:space="preserve"> </w:t>
      </w:r>
      <w:r>
        <w:rPr>
          <w:color w:val="215E9E"/>
          <w:sz w:val="16"/>
          <w:u w:val="single" w:color="215E9E"/>
        </w:rPr>
        <w:t>Personal Safety Survey (PSS)</w:t>
      </w:r>
      <w:r>
        <w:rPr>
          <w:color w:val="215E9E"/>
          <w:sz w:val="16"/>
        </w:rPr>
        <w:t xml:space="preserve"> </w:t>
      </w:r>
      <w:r>
        <w:rPr>
          <w:sz w:val="16"/>
        </w:rPr>
        <w:t>as “the most comprehensive prevalence data source available in Aus- tralia”. The PSS is a national survey conducted by the</w:t>
      </w:r>
      <w:r>
        <w:rPr>
          <w:color w:val="215E9E"/>
          <w:sz w:val="16"/>
        </w:rPr>
        <w:t xml:space="preserve"> </w:t>
      </w:r>
      <w:r>
        <w:rPr>
          <w:color w:val="215E9E"/>
          <w:sz w:val="16"/>
          <w:u w:val="single" w:color="215E9E"/>
        </w:rPr>
        <w:t>Australian Bureau of Statistics (ABS)</w:t>
      </w:r>
      <w:r>
        <w:rPr>
          <w:sz w:val="16"/>
        </w:rPr>
        <w:t xml:space="preserve">. The PSS collects detailed information from men and women about the nature of violence experienced since the age of 15. However, it is widely recognised that the PSS has significant methodological restrictions and limitations. For example, the PSS systematically excludes people with disability living in institutional settings (i.e. not in a private home), and those who live in remote areas, where Aboriginal and </w:t>
      </w:r>
      <w:r>
        <w:rPr>
          <w:spacing w:val="-4"/>
          <w:sz w:val="16"/>
        </w:rPr>
        <w:t xml:space="preserve">Torres </w:t>
      </w:r>
      <w:r>
        <w:rPr>
          <w:sz w:val="16"/>
        </w:rPr>
        <w:t>Strait Islander people with disability are over-represented. The</w:t>
      </w:r>
      <w:r>
        <w:rPr>
          <w:color w:val="215E9E"/>
          <w:sz w:val="16"/>
        </w:rPr>
        <w:t xml:space="preserve"> </w:t>
      </w:r>
      <w:r>
        <w:rPr>
          <w:color w:val="215E9E"/>
          <w:sz w:val="16"/>
          <w:u w:val="single" w:color="215E9E"/>
        </w:rPr>
        <w:t xml:space="preserve">National Aboriginal and </w:t>
      </w:r>
      <w:r>
        <w:rPr>
          <w:color w:val="215E9E"/>
          <w:spacing w:val="-4"/>
          <w:sz w:val="16"/>
          <w:u w:val="single" w:color="215E9E"/>
        </w:rPr>
        <w:t xml:space="preserve">Torres </w:t>
      </w:r>
      <w:r>
        <w:rPr>
          <w:color w:val="215E9E"/>
          <w:sz w:val="16"/>
          <w:u w:val="single" w:color="215E9E"/>
        </w:rPr>
        <w:t>Strait Islander Social Survey (NATSISS)</w:t>
      </w:r>
      <w:r>
        <w:rPr>
          <w:color w:val="215E9E"/>
          <w:sz w:val="16"/>
        </w:rPr>
        <w:t xml:space="preserve"> </w:t>
      </w:r>
      <w:r>
        <w:rPr>
          <w:sz w:val="16"/>
        </w:rPr>
        <w:t>also operates within these sampling parameters. The PSS data collection methods do not involve inclusive research practices. The PSS is performed by an interviewer and a specific requirement of the survey is that all interviews are conducted alone in a private setting. Interpreters and support persons are excluded, and where a respondent requires the assistance of another person to communicate with the interviewer, the interview is not conducted. See: (</w:t>
      </w:r>
      <w:hyperlink r:id="rId44">
        <w:r>
          <w:rPr>
            <w:color w:val="215E9E"/>
            <w:sz w:val="16"/>
            <w:u w:val="single" w:color="215E9E"/>
          </w:rPr>
          <w:t>http://www.abs.gov.au/AUSSTATS/abs@.nsf/Lookup/4906.0Ex-</w:t>
        </w:r>
      </w:hyperlink>
      <w:r>
        <w:rPr>
          <w:color w:val="215E9E"/>
          <w:sz w:val="16"/>
          <w:u w:val="single" w:color="215E9E"/>
        </w:rPr>
        <w:t xml:space="preserve"> planatory%20Notes12012?OpenDocument</w:t>
      </w:r>
      <w:r>
        <w:rPr>
          <w:sz w:val="16"/>
        </w:rPr>
        <w:t>). These methodological restrictions mean that the PSS not only misses (and excludes) a very significant proportion</w:t>
      </w:r>
      <w:r>
        <w:rPr>
          <w:spacing w:val="-4"/>
          <w:sz w:val="16"/>
        </w:rPr>
        <w:t xml:space="preserve"> </w:t>
      </w:r>
      <w:r>
        <w:rPr>
          <w:sz w:val="16"/>
        </w:rPr>
        <w:t>of</w:t>
      </w:r>
      <w:r>
        <w:rPr>
          <w:spacing w:val="-3"/>
          <w:sz w:val="16"/>
        </w:rPr>
        <w:t xml:space="preserve"> </w:t>
      </w:r>
      <w:r>
        <w:rPr>
          <w:sz w:val="16"/>
        </w:rPr>
        <w:t>people</w:t>
      </w:r>
      <w:r>
        <w:rPr>
          <w:spacing w:val="-3"/>
          <w:sz w:val="16"/>
        </w:rPr>
        <w:t xml:space="preserve"> </w:t>
      </w:r>
      <w:r>
        <w:rPr>
          <w:sz w:val="16"/>
        </w:rPr>
        <w:t>with</w:t>
      </w:r>
      <w:r>
        <w:rPr>
          <w:spacing w:val="-3"/>
          <w:sz w:val="16"/>
        </w:rPr>
        <w:t xml:space="preserve"> </w:t>
      </w:r>
      <w:r>
        <w:rPr>
          <w:sz w:val="16"/>
        </w:rPr>
        <w:t>disability,</w:t>
      </w:r>
      <w:r>
        <w:rPr>
          <w:spacing w:val="-3"/>
          <w:sz w:val="16"/>
        </w:rPr>
        <w:t xml:space="preserve"> </w:t>
      </w:r>
      <w:r>
        <w:rPr>
          <w:sz w:val="16"/>
        </w:rPr>
        <w:t>but</w:t>
      </w:r>
      <w:r>
        <w:rPr>
          <w:spacing w:val="-3"/>
          <w:sz w:val="16"/>
        </w:rPr>
        <w:t xml:space="preserve"> </w:t>
      </w:r>
      <w:r>
        <w:rPr>
          <w:sz w:val="16"/>
        </w:rPr>
        <w:t>it</w:t>
      </w:r>
      <w:r>
        <w:rPr>
          <w:spacing w:val="-3"/>
          <w:sz w:val="16"/>
        </w:rPr>
        <w:t xml:space="preserve"> </w:t>
      </w:r>
      <w:r>
        <w:rPr>
          <w:sz w:val="16"/>
        </w:rPr>
        <w:t>also</w:t>
      </w:r>
      <w:r>
        <w:rPr>
          <w:spacing w:val="-3"/>
          <w:sz w:val="16"/>
        </w:rPr>
        <w:t xml:space="preserve"> </w:t>
      </w:r>
      <w:r>
        <w:rPr>
          <w:sz w:val="16"/>
        </w:rPr>
        <w:t>means</w:t>
      </w:r>
      <w:r>
        <w:rPr>
          <w:spacing w:val="-3"/>
          <w:sz w:val="16"/>
        </w:rPr>
        <w:t xml:space="preserve"> </w:t>
      </w:r>
      <w:r>
        <w:rPr>
          <w:sz w:val="16"/>
        </w:rPr>
        <w:t>that</w:t>
      </w:r>
      <w:r>
        <w:rPr>
          <w:spacing w:val="-2"/>
          <w:sz w:val="16"/>
        </w:rPr>
        <w:t xml:space="preserve"> </w:t>
      </w:r>
      <w:r>
        <w:rPr>
          <w:sz w:val="16"/>
        </w:rPr>
        <w:t>reported</w:t>
      </w:r>
      <w:r>
        <w:rPr>
          <w:spacing w:val="-2"/>
          <w:sz w:val="16"/>
        </w:rPr>
        <w:t xml:space="preserve"> </w:t>
      </w:r>
      <w:r>
        <w:rPr>
          <w:sz w:val="16"/>
        </w:rPr>
        <w:t>data</w:t>
      </w:r>
      <w:r>
        <w:rPr>
          <w:spacing w:val="-4"/>
          <w:sz w:val="16"/>
        </w:rPr>
        <w:t xml:space="preserve"> </w:t>
      </w:r>
      <w:r>
        <w:rPr>
          <w:sz w:val="16"/>
        </w:rPr>
        <w:t>from</w:t>
      </w:r>
      <w:r>
        <w:rPr>
          <w:spacing w:val="-2"/>
          <w:sz w:val="16"/>
        </w:rPr>
        <w:t xml:space="preserve"> </w:t>
      </w:r>
      <w:r>
        <w:rPr>
          <w:sz w:val="16"/>
        </w:rPr>
        <w:t>the</w:t>
      </w:r>
      <w:r>
        <w:rPr>
          <w:spacing w:val="-2"/>
          <w:sz w:val="16"/>
        </w:rPr>
        <w:t xml:space="preserve"> </w:t>
      </w:r>
      <w:r>
        <w:rPr>
          <w:sz w:val="16"/>
        </w:rPr>
        <w:t>PSS</w:t>
      </w:r>
      <w:r>
        <w:rPr>
          <w:spacing w:val="-2"/>
          <w:sz w:val="16"/>
        </w:rPr>
        <w:t xml:space="preserve"> </w:t>
      </w:r>
      <w:r>
        <w:rPr>
          <w:sz w:val="16"/>
        </w:rPr>
        <w:t>relating</w:t>
      </w:r>
      <w:r>
        <w:rPr>
          <w:spacing w:val="-3"/>
          <w:sz w:val="16"/>
        </w:rPr>
        <w:t xml:space="preserve"> </w:t>
      </w:r>
      <w:r>
        <w:rPr>
          <w:sz w:val="16"/>
        </w:rPr>
        <w:t>to</w:t>
      </w:r>
      <w:r>
        <w:rPr>
          <w:spacing w:val="-2"/>
          <w:sz w:val="16"/>
        </w:rPr>
        <w:t xml:space="preserve"> </w:t>
      </w:r>
      <w:r>
        <w:rPr>
          <w:sz w:val="16"/>
        </w:rPr>
        <w:t>women</w:t>
      </w:r>
      <w:r>
        <w:rPr>
          <w:spacing w:val="-3"/>
          <w:sz w:val="16"/>
        </w:rPr>
        <w:t xml:space="preserve"> </w:t>
      </w:r>
      <w:r>
        <w:rPr>
          <w:sz w:val="16"/>
        </w:rPr>
        <w:t>with</w:t>
      </w:r>
      <w:r>
        <w:rPr>
          <w:spacing w:val="-3"/>
          <w:sz w:val="16"/>
        </w:rPr>
        <w:t xml:space="preserve"> </w:t>
      </w:r>
      <w:r>
        <w:rPr>
          <w:sz w:val="16"/>
        </w:rPr>
        <w:t>disability</w:t>
      </w:r>
      <w:r>
        <w:rPr>
          <w:spacing w:val="-4"/>
          <w:sz w:val="16"/>
        </w:rPr>
        <w:t xml:space="preserve"> </w:t>
      </w:r>
      <w:r>
        <w:rPr>
          <w:sz w:val="16"/>
        </w:rPr>
        <w:t>is</w:t>
      </w:r>
      <w:r>
        <w:rPr>
          <w:spacing w:val="-3"/>
          <w:sz w:val="16"/>
        </w:rPr>
        <w:t xml:space="preserve"> </w:t>
      </w:r>
      <w:r>
        <w:rPr>
          <w:sz w:val="16"/>
        </w:rPr>
        <w:t>inherently</w:t>
      </w:r>
      <w:r>
        <w:rPr>
          <w:spacing w:val="-3"/>
          <w:sz w:val="16"/>
        </w:rPr>
        <w:t xml:space="preserve"> </w:t>
      </w:r>
      <w:r>
        <w:rPr>
          <w:sz w:val="16"/>
        </w:rPr>
        <w:t>misleading.</w:t>
      </w:r>
    </w:p>
    <w:p w:rsidR="007A0A6C" w:rsidRDefault="00660E26">
      <w:pPr>
        <w:pStyle w:val="ListParagraph"/>
        <w:numPr>
          <w:ilvl w:val="0"/>
          <w:numId w:val="4"/>
        </w:numPr>
        <w:tabs>
          <w:tab w:val="left" w:pos="735"/>
          <w:tab w:val="left" w:pos="736"/>
        </w:tabs>
        <w:spacing w:before="94" w:line="261" w:lineRule="auto"/>
        <w:ind w:left="340" w:right="369" w:firstLine="0"/>
        <w:rPr>
          <w:sz w:val="16"/>
        </w:rPr>
      </w:pPr>
      <w:r>
        <w:rPr>
          <w:sz w:val="16"/>
        </w:rPr>
        <w:t>Australian</w:t>
      </w:r>
      <w:r>
        <w:rPr>
          <w:spacing w:val="-4"/>
          <w:sz w:val="16"/>
        </w:rPr>
        <w:t xml:space="preserve"> </w:t>
      </w:r>
      <w:r>
        <w:rPr>
          <w:sz w:val="16"/>
        </w:rPr>
        <w:t>Institute</w:t>
      </w:r>
      <w:r>
        <w:rPr>
          <w:spacing w:val="-3"/>
          <w:sz w:val="16"/>
        </w:rPr>
        <w:t xml:space="preserve"> </w:t>
      </w:r>
      <w:r>
        <w:rPr>
          <w:sz w:val="16"/>
        </w:rPr>
        <w:t>of</w:t>
      </w:r>
      <w:r>
        <w:rPr>
          <w:spacing w:val="-4"/>
          <w:sz w:val="16"/>
        </w:rPr>
        <w:t xml:space="preserve"> </w:t>
      </w:r>
      <w:r>
        <w:rPr>
          <w:sz w:val="16"/>
        </w:rPr>
        <w:t>Health</w:t>
      </w:r>
      <w:r>
        <w:rPr>
          <w:spacing w:val="-5"/>
          <w:sz w:val="16"/>
        </w:rPr>
        <w:t xml:space="preserve"> </w:t>
      </w:r>
      <w:r>
        <w:rPr>
          <w:sz w:val="16"/>
        </w:rPr>
        <w:t>and</w:t>
      </w:r>
      <w:r>
        <w:rPr>
          <w:spacing w:val="-4"/>
          <w:sz w:val="16"/>
        </w:rPr>
        <w:t xml:space="preserve"> </w:t>
      </w:r>
      <w:r>
        <w:rPr>
          <w:sz w:val="16"/>
        </w:rPr>
        <w:t>Welfare</w:t>
      </w:r>
      <w:r>
        <w:rPr>
          <w:spacing w:val="-4"/>
          <w:sz w:val="16"/>
        </w:rPr>
        <w:t xml:space="preserve"> </w:t>
      </w:r>
      <w:r>
        <w:rPr>
          <w:sz w:val="16"/>
        </w:rPr>
        <w:t>2018.</w:t>
      </w:r>
      <w:r>
        <w:rPr>
          <w:color w:val="215E9E"/>
          <w:spacing w:val="-12"/>
          <w:sz w:val="16"/>
        </w:rPr>
        <w:t xml:space="preserve"> </w:t>
      </w:r>
      <w:r>
        <w:rPr>
          <w:color w:val="215E9E"/>
          <w:sz w:val="16"/>
          <w:u w:val="single" w:color="215E9E"/>
        </w:rPr>
        <w:t>Australia’s</w:t>
      </w:r>
      <w:r>
        <w:rPr>
          <w:color w:val="215E9E"/>
          <w:spacing w:val="-3"/>
          <w:sz w:val="16"/>
          <w:u w:val="single" w:color="215E9E"/>
        </w:rPr>
        <w:t xml:space="preserve"> </w:t>
      </w:r>
      <w:r>
        <w:rPr>
          <w:color w:val="215E9E"/>
          <w:sz w:val="16"/>
          <w:u w:val="single" w:color="215E9E"/>
        </w:rPr>
        <w:t>health</w:t>
      </w:r>
      <w:r>
        <w:rPr>
          <w:color w:val="215E9E"/>
          <w:spacing w:val="-4"/>
          <w:sz w:val="16"/>
          <w:u w:val="single" w:color="215E9E"/>
        </w:rPr>
        <w:t xml:space="preserve"> </w:t>
      </w:r>
      <w:r>
        <w:rPr>
          <w:color w:val="215E9E"/>
          <w:sz w:val="16"/>
          <w:u w:val="single" w:color="215E9E"/>
        </w:rPr>
        <w:t>2018</w:t>
      </w:r>
      <w:r>
        <w:rPr>
          <w:sz w:val="16"/>
        </w:rPr>
        <w:t>.</w:t>
      </w:r>
      <w:r>
        <w:rPr>
          <w:spacing w:val="-12"/>
          <w:sz w:val="16"/>
        </w:rPr>
        <w:t xml:space="preserve"> </w:t>
      </w:r>
      <w:r>
        <w:rPr>
          <w:sz w:val="16"/>
        </w:rPr>
        <w:t>Australia’s</w:t>
      </w:r>
      <w:r>
        <w:rPr>
          <w:spacing w:val="-3"/>
          <w:sz w:val="16"/>
        </w:rPr>
        <w:t xml:space="preserve"> </w:t>
      </w:r>
      <w:r>
        <w:rPr>
          <w:sz w:val="16"/>
        </w:rPr>
        <w:t>health</w:t>
      </w:r>
      <w:r>
        <w:rPr>
          <w:spacing w:val="-5"/>
          <w:sz w:val="16"/>
        </w:rPr>
        <w:t xml:space="preserve"> </w:t>
      </w:r>
      <w:r>
        <w:rPr>
          <w:sz w:val="16"/>
        </w:rPr>
        <w:t>series</w:t>
      </w:r>
      <w:r>
        <w:rPr>
          <w:spacing w:val="-3"/>
          <w:sz w:val="16"/>
        </w:rPr>
        <w:t xml:space="preserve"> </w:t>
      </w:r>
      <w:r>
        <w:rPr>
          <w:sz w:val="16"/>
        </w:rPr>
        <w:t>no.</w:t>
      </w:r>
      <w:r>
        <w:rPr>
          <w:spacing w:val="-4"/>
          <w:sz w:val="16"/>
        </w:rPr>
        <w:t xml:space="preserve"> </w:t>
      </w:r>
      <w:r>
        <w:rPr>
          <w:sz w:val="16"/>
        </w:rPr>
        <w:t>16.</w:t>
      </w:r>
      <w:r>
        <w:rPr>
          <w:spacing w:val="-12"/>
          <w:sz w:val="16"/>
        </w:rPr>
        <w:t xml:space="preserve"> </w:t>
      </w:r>
      <w:r>
        <w:rPr>
          <w:sz w:val="16"/>
        </w:rPr>
        <w:t>AUS</w:t>
      </w:r>
      <w:r>
        <w:rPr>
          <w:spacing w:val="-3"/>
          <w:sz w:val="16"/>
        </w:rPr>
        <w:t xml:space="preserve"> </w:t>
      </w:r>
      <w:r>
        <w:rPr>
          <w:sz w:val="16"/>
        </w:rPr>
        <w:t>221.</w:t>
      </w:r>
      <w:r>
        <w:rPr>
          <w:spacing w:val="-4"/>
          <w:sz w:val="16"/>
        </w:rPr>
        <w:t xml:space="preserve"> </w:t>
      </w:r>
      <w:r>
        <w:rPr>
          <w:sz w:val="16"/>
        </w:rPr>
        <w:t>Canberra:</w:t>
      </w:r>
      <w:r>
        <w:rPr>
          <w:spacing w:val="-12"/>
          <w:sz w:val="16"/>
        </w:rPr>
        <w:t xml:space="preserve"> </w:t>
      </w:r>
      <w:r>
        <w:rPr>
          <w:sz w:val="16"/>
        </w:rPr>
        <w:t>AIHW.</w:t>
      </w:r>
      <w:r>
        <w:rPr>
          <w:spacing w:val="-3"/>
          <w:sz w:val="16"/>
        </w:rPr>
        <w:t xml:space="preserve"> </w:t>
      </w:r>
      <w:r>
        <w:rPr>
          <w:sz w:val="16"/>
        </w:rPr>
        <w:t>See</w:t>
      </w:r>
      <w:r>
        <w:rPr>
          <w:spacing w:val="-4"/>
          <w:sz w:val="16"/>
        </w:rPr>
        <w:t xml:space="preserve"> </w:t>
      </w:r>
      <w:r>
        <w:rPr>
          <w:sz w:val="16"/>
        </w:rPr>
        <w:t>also: Australian</w:t>
      </w:r>
      <w:r>
        <w:rPr>
          <w:spacing w:val="-2"/>
          <w:sz w:val="16"/>
        </w:rPr>
        <w:t xml:space="preserve"> </w:t>
      </w:r>
      <w:r>
        <w:rPr>
          <w:sz w:val="16"/>
        </w:rPr>
        <w:t>Institute</w:t>
      </w:r>
      <w:r>
        <w:rPr>
          <w:spacing w:val="-2"/>
          <w:sz w:val="16"/>
        </w:rPr>
        <w:t xml:space="preserve"> </w:t>
      </w:r>
      <w:r>
        <w:rPr>
          <w:sz w:val="16"/>
        </w:rPr>
        <w:t>of</w:t>
      </w:r>
      <w:r>
        <w:rPr>
          <w:spacing w:val="-2"/>
          <w:sz w:val="16"/>
        </w:rPr>
        <w:t xml:space="preserve"> </w:t>
      </w:r>
      <w:r>
        <w:rPr>
          <w:sz w:val="16"/>
        </w:rPr>
        <w:t>Health</w:t>
      </w:r>
      <w:r>
        <w:rPr>
          <w:spacing w:val="-3"/>
          <w:sz w:val="16"/>
        </w:rPr>
        <w:t xml:space="preserve"> </w:t>
      </w:r>
      <w:r>
        <w:rPr>
          <w:sz w:val="16"/>
        </w:rPr>
        <w:t>and</w:t>
      </w:r>
      <w:r>
        <w:rPr>
          <w:spacing w:val="-3"/>
          <w:sz w:val="16"/>
        </w:rPr>
        <w:t xml:space="preserve"> </w:t>
      </w:r>
      <w:r>
        <w:rPr>
          <w:sz w:val="16"/>
        </w:rPr>
        <w:t>Welfare</w:t>
      </w:r>
      <w:r>
        <w:rPr>
          <w:spacing w:val="-2"/>
          <w:sz w:val="16"/>
        </w:rPr>
        <w:t xml:space="preserve"> </w:t>
      </w:r>
      <w:r>
        <w:rPr>
          <w:sz w:val="16"/>
        </w:rPr>
        <w:t>2017.</w:t>
      </w:r>
      <w:r>
        <w:rPr>
          <w:color w:val="215E9E"/>
          <w:spacing w:val="-10"/>
          <w:sz w:val="16"/>
        </w:rPr>
        <w:t xml:space="preserve"> </w:t>
      </w:r>
      <w:r>
        <w:rPr>
          <w:color w:val="215E9E"/>
          <w:sz w:val="16"/>
          <w:u w:val="single" w:color="215E9E"/>
        </w:rPr>
        <w:t>Australia’s</w:t>
      </w:r>
      <w:r>
        <w:rPr>
          <w:color w:val="215E9E"/>
          <w:spacing w:val="-2"/>
          <w:sz w:val="16"/>
          <w:u w:val="single" w:color="215E9E"/>
        </w:rPr>
        <w:t xml:space="preserve"> </w:t>
      </w:r>
      <w:r>
        <w:rPr>
          <w:color w:val="215E9E"/>
          <w:sz w:val="16"/>
          <w:u w:val="single" w:color="215E9E"/>
        </w:rPr>
        <w:t>welfare</w:t>
      </w:r>
      <w:r>
        <w:rPr>
          <w:color w:val="215E9E"/>
          <w:spacing w:val="-3"/>
          <w:sz w:val="16"/>
          <w:u w:val="single" w:color="215E9E"/>
        </w:rPr>
        <w:t xml:space="preserve"> </w:t>
      </w:r>
      <w:r>
        <w:rPr>
          <w:color w:val="215E9E"/>
          <w:sz w:val="16"/>
          <w:u w:val="single" w:color="215E9E"/>
        </w:rPr>
        <w:t>2017</w:t>
      </w:r>
      <w:r>
        <w:rPr>
          <w:sz w:val="16"/>
        </w:rPr>
        <w:t>.</w:t>
      </w:r>
      <w:r>
        <w:rPr>
          <w:spacing w:val="-10"/>
          <w:sz w:val="16"/>
        </w:rPr>
        <w:t xml:space="preserve"> </w:t>
      </w:r>
      <w:r>
        <w:rPr>
          <w:sz w:val="16"/>
        </w:rPr>
        <w:t>Australia’s</w:t>
      </w:r>
      <w:r>
        <w:rPr>
          <w:spacing w:val="-2"/>
          <w:sz w:val="16"/>
        </w:rPr>
        <w:t xml:space="preserve"> </w:t>
      </w:r>
      <w:r>
        <w:rPr>
          <w:sz w:val="16"/>
        </w:rPr>
        <w:t>welfare</w:t>
      </w:r>
      <w:r>
        <w:rPr>
          <w:spacing w:val="-2"/>
          <w:sz w:val="16"/>
        </w:rPr>
        <w:t xml:space="preserve"> </w:t>
      </w:r>
      <w:r>
        <w:rPr>
          <w:sz w:val="16"/>
        </w:rPr>
        <w:t>series</w:t>
      </w:r>
      <w:r>
        <w:rPr>
          <w:spacing w:val="-2"/>
          <w:sz w:val="16"/>
        </w:rPr>
        <w:t xml:space="preserve"> </w:t>
      </w:r>
      <w:r>
        <w:rPr>
          <w:sz w:val="16"/>
        </w:rPr>
        <w:t>no.</w:t>
      </w:r>
      <w:r>
        <w:rPr>
          <w:spacing w:val="-2"/>
          <w:sz w:val="16"/>
        </w:rPr>
        <w:t xml:space="preserve"> </w:t>
      </w:r>
      <w:r>
        <w:rPr>
          <w:sz w:val="16"/>
        </w:rPr>
        <w:t>13.</w:t>
      </w:r>
      <w:r>
        <w:rPr>
          <w:spacing w:val="-11"/>
          <w:sz w:val="16"/>
        </w:rPr>
        <w:t xml:space="preserve"> </w:t>
      </w:r>
      <w:r>
        <w:rPr>
          <w:sz w:val="16"/>
        </w:rPr>
        <w:t>AUS</w:t>
      </w:r>
      <w:r>
        <w:rPr>
          <w:spacing w:val="-1"/>
          <w:sz w:val="16"/>
        </w:rPr>
        <w:t xml:space="preserve"> </w:t>
      </w:r>
      <w:r>
        <w:rPr>
          <w:sz w:val="16"/>
        </w:rPr>
        <w:t>214.</w:t>
      </w:r>
      <w:r>
        <w:rPr>
          <w:spacing w:val="-3"/>
          <w:sz w:val="16"/>
        </w:rPr>
        <w:t xml:space="preserve"> </w:t>
      </w:r>
      <w:r>
        <w:rPr>
          <w:sz w:val="16"/>
        </w:rPr>
        <w:t>Canberra:</w:t>
      </w:r>
      <w:r>
        <w:rPr>
          <w:spacing w:val="-10"/>
          <w:sz w:val="16"/>
        </w:rPr>
        <w:t xml:space="preserve"> </w:t>
      </w:r>
      <w:r>
        <w:rPr>
          <w:sz w:val="16"/>
        </w:rPr>
        <w:t>AIHW.</w:t>
      </w:r>
    </w:p>
    <w:p w:rsidR="007A0A6C" w:rsidRDefault="00660E26">
      <w:pPr>
        <w:pStyle w:val="ListParagraph"/>
        <w:numPr>
          <w:ilvl w:val="0"/>
          <w:numId w:val="4"/>
        </w:numPr>
        <w:tabs>
          <w:tab w:val="left" w:pos="744"/>
          <w:tab w:val="left" w:pos="745"/>
        </w:tabs>
        <w:spacing w:before="99"/>
        <w:ind w:left="744" w:hanging="404"/>
        <w:rPr>
          <w:sz w:val="16"/>
        </w:rPr>
      </w:pPr>
      <w:r>
        <w:rPr>
          <w:sz w:val="16"/>
        </w:rPr>
        <w:t>See:</w:t>
      </w:r>
      <w:r>
        <w:rPr>
          <w:color w:val="215E9E"/>
          <w:spacing w:val="-2"/>
          <w:sz w:val="16"/>
        </w:rPr>
        <w:t xml:space="preserve"> </w:t>
      </w:r>
      <w:r>
        <w:rPr>
          <w:color w:val="215E9E"/>
          <w:sz w:val="16"/>
          <w:u w:val="single" w:color="215E9E"/>
        </w:rPr>
        <w:t>1800RESPECT</w:t>
      </w:r>
    </w:p>
    <w:p w:rsidR="007A0A6C" w:rsidRDefault="00660E26">
      <w:pPr>
        <w:pStyle w:val="ListParagraph"/>
        <w:numPr>
          <w:ilvl w:val="0"/>
          <w:numId w:val="4"/>
        </w:numPr>
        <w:tabs>
          <w:tab w:val="left" w:pos="744"/>
          <w:tab w:val="left" w:pos="745"/>
        </w:tabs>
        <w:spacing w:line="261" w:lineRule="auto"/>
        <w:ind w:left="340" w:right="441" w:firstLine="0"/>
        <w:rPr>
          <w:sz w:val="16"/>
        </w:rPr>
      </w:pPr>
      <w:r>
        <w:rPr>
          <w:sz w:val="16"/>
        </w:rPr>
        <w:t>Women With Disabilities Australia (WWDA) (August 2016)</w:t>
      </w:r>
      <w:r>
        <w:rPr>
          <w:color w:val="215E9E"/>
          <w:sz w:val="16"/>
        </w:rPr>
        <w:t xml:space="preserve"> </w:t>
      </w:r>
      <w:r>
        <w:rPr>
          <w:color w:val="215E9E"/>
          <w:sz w:val="16"/>
          <w:u w:val="single" w:color="215E9E"/>
        </w:rPr>
        <w:t>‘Improving Service Responses for Women with Disability Experiencing Violence’; Final Report</w:t>
      </w:r>
      <w:r>
        <w:rPr>
          <w:sz w:val="16"/>
        </w:rPr>
        <w:t xml:space="preserve">. WWDA, Hobart, </w:t>
      </w:r>
      <w:r>
        <w:rPr>
          <w:spacing w:val="-3"/>
          <w:sz w:val="16"/>
        </w:rPr>
        <w:t xml:space="preserve">Tasmania. </w:t>
      </w:r>
      <w:r>
        <w:rPr>
          <w:sz w:val="16"/>
        </w:rPr>
        <w:t>ISBN:</w:t>
      </w:r>
      <w:r>
        <w:rPr>
          <w:spacing w:val="-4"/>
          <w:sz w:val="16"/>
        </w:rPr>
        <w:t xml:space="preserve"> </w:t>
      </w:r>
      <w:r>
        <w:rPr>
          <w:sz w:val="16"/>
        </w:rPr>
        <w:t>978-0-9585268-5-2.</w:t>
      </w:r>
    </w:p>
    <w:p w:rsidR="007A0A6C" w:rsidRDefault="00660E26">
      <w:pPr>
        <w:pStyle w:val="ListParagraph"/>
        <w:numPr>
          <w:ilvl w:val="0"/>
          <w:numId w:val="4"/>
        </w:numPr>
        <w:tabs>
          <w:tab w:val="left" w:pos="744"/>
          <w:tab w:val="left" w:pos="745"/>
        </w:tabs>
        <w:spacing w:before="99" w:line="261" w:lineRule="auto"/>
        <w:ind w:left="340" w:right="323" w:firstLine="0"/>
        <w:rPr>
          <w:sz w:val="16"/>
        </w:rPr>
      </w:pPr>
      <w:r>
        <w:rPr>
          <w:sz w:val="16"/>
        </w:rPr>
        <w:t>See for eg:</w:t>
      </w:r>
      <w:r>
        <w:rPr>
          <w:color w:val="215E9E"/>
          <w:sz w:val="16"/>
        </w:rPr>
        <w:t xml:space="preserve"> </w:t>
      </w:r>
      <w:hyperlink r:id="rId45">
        <w:r>
          <w:rPr>
            <w:color w:val="215E9E"/>
            <w:sz w:val="16"/>
            <w:u w:val="single" w:color="215E9E"/>
          </w:rPr>
          <w:t>https://www.1800respect.org.au/sunny/</w:t>
        </w:r>
      </w:hyperlink>
      <w:hyperlink r:id="rId46">
        <w:r>
          <w:rPr>
            <w:color w:val="215E9E"/>
            <w:sz w:val="16"/>
          </w:rPr>
          <w:t xml:space="preserve"> </w:t>
        </w:r>
        <w:r>
          <w:rPr>
            <w:color w:val="215E9E"/>
            <w:sz w:val="16"/>
            <w:u w:val="single" w:color="215E9E"/>
          </w:rPr>
          <w:t>https://www.dvalert.org.au/education-and-training/2-day-workshops/disabilities-workshops</w:t>
        </w:r>
      </w:hyperlink>
      <w:hyperlink r:id="rId47">
        <w:r>
          <w:rPr>
            <w:color w:val="215E9E"/>
            <w:sz w:val="16"/>
            <w:u w:val="single" w:color="215E9E"/>
          </w:rPr>
          <w:t xml:space="preserve"> https://www.anrows.org.au/project/evaluation-of-the-1800respect-disability-referral-pathways-project/</w:t>
        </w:r>
      </w:hyperlink>
    </w:p>
    <w:p w:rsidR="007A0A6C" w:rsidRDefault="00660E26">
      <w:pPr>
        <w:pStyle w:val="ListParagraph"/>
        <w:numPr>
          <w:ilvl w:val="0"/>
          <w:numId w:val="4"/>
        </w:numPr>
        <w:tabs>
          <w:tab w:val="left" w:pos="744"/>
          <w:tab w:val="left" w:pos="745"/>
        </w:tabs>
        <w:spacing w:before="99"/>
        <w:ind w:left="744" w:hanging="404"/>
        <w:rPr>
          <w:sz w:val="16"/>
        </w:rPr>
      </w:pPr>
      <w:r>
        <w:rPr>
          <w:sz w:val="16"/>
        </w:rPr>
        <w:t>For example:</w:t>
      </w:r>
      <w:r>
        <w:rPr>
          <w:color w:val="215E9E"/>
          <w:sz w:val="16"/>
        </w:rPr>
        <w:t xml:space="preserve"> </w:t>
      </w:r>
      <w:r>
        <w:rPr>
          <w:color w:val="215E9E"/>
          <w:sz w:val="16"/>
          <w:u w:val="single" w:color="215E9E"/>
        </w:rPr>
        <w:t>Medibank Health Solutions</w:t>
      </w:r>
      <w:r>
        <w:rPr>
          <w:sz w:val="16"/>
        </w:rPr>
        <w:t>,</w:t>
      </w:r>
      <w:r>
        <w:rPr>
          <w:color w:val="215E9E"/>
          <w:sz w:val="16"/>
        </w:rPr>
        <w:t xml:space="preserve"> </w:t>
      </w:r>
      <w:r>
        <w:rPr>
          <w:color w:val="215E9E"/>
          <w:sz w:val="16"/>
          <w:u w:val="single" w:color="215E9E"/>
        </w:rPr>
        <w:t>e-safety</w:t>
      </w:r>
      <w:r>
        <w:rPr>
          <w:color w:val="215E9E"/>
          <w:spacing w:val="-4"/>
          <w:sz w:val="16"/>
          <w:u w:val="single" w:color="215E9E"/>
        </w:rPr>
        <w:t xml:space="preserve"> </w:t>
      </w:r>
      <w:r>
        <w:rPr>
          <w:color w:val="215E9E"/>
          <w:sz w:val="16"/>
          <w:u w:val="single" w:color="215E9E"/>
        </w:rPr>
        <w:t>Commission</w:t>
      </w:r>
    </w:p>
    <w:p w:rsidR="007A0A6C" w:rsidRDefault="00660E26">
      <w:pPr>
        <w:pStyle w:val="ListParagraph"/>
        <w:numPr>
          <w:ilvl w:val="0"/>
          <w:numId w:val="4"/>
        </w:numPr>
        <w:tabs>
          <w:tab w:val="left" w:pos="735"/>
          <w:tab w:val="left" w:pos="736"/>
        </w:tabs>
        <w:spacing w:line="261" w:lineRule="auto"/>
        <w:ind w:left="340" w:right="543" w:firstLine="0"/>
        <w:rPr>
          <w:sz w:val="16"/>
        </w:rPr>
      </w:pPr>
      <w:r>
        <w:rPr>
          <w:sz w:val="16"/>
        </w:rPr>
        <w:t>A</w:t>
      </w:r>
      <w:r>
        <w:rPr>
          <w:spacing w:val="-12"/>
          <w:sz w:val="16"/>
        </w:rPr>
        <w:t xml:space="preserve"> </w:t>
      </w:r>
      <w:r>
        <w:rPr>
          <w:sz w:val="16"/>
        </w:rPr>
        <w:t>significant</w:t>
      </w:r>
      <w:r>
        <w:rPr>
          <w:spacing w:val="-3"/>
          <w:sz w:val="16"/>
        </w:rPr>
        <w:t xml:space="preserve"> </w:t>
      </w:r>
      <w:r>
        <w:rPr>
          <w:sz w:val="16"/>
        </w:rPr>
        <w:t>majority</w:t>
      </w:r>
      <w:r>
        <w:rPr>
          <w:spacing w:val="-4"/>
          <w:sz w:val="16"/>
        </w:rPr>
        <w:t xml:space="preserve"> </w:t>
      </w:r>
      <w:r>
        <w:rPr>
          <w:sz w:val="16"/>
        </w:rPr>
        <w:t>of</w:t>
      </w:r>
      <w:r>
        <w:rPr>
          <w:spacing w:val="-4"/>
          <w:sz w:val="16"/>
        </w:rPr>
        <w:t xml:space="preserve"> </w:t>
      </w:r>
      <w:r>
        <w:rPr>
          <w:sz w:val="16"/>
        </w:rPr>
        <w:t>domestic</w:t>
      </w:r>
      <w:r>
        <w:rPr>
          <w:spacing w:val="-4"/>
          <w:sz w:val="16"/>
        </w:rPr>
        <w:t xml:space="preserve"> </w:t>
      </w:r>
      <w:r>
        <w:rPr>
          <w:sz w:val="16"/>
        </w:rPr>
        <w:t>violence</w:t>
      </w:r>
      <w:r>
        <w:rPr>
          <w:spacing w:val="-4"/>
          <w:sz w:val="16"/>
        </w:rPr>
        <w:t xml:space="preserve"> </w:t>
      </w:r>
      <w:r>
        <w:rPr>
          <w:sz w:val="16"/>
        </w:rPr>
        <w:t>shelters</w:t>
      </w:r>
      <w:r>
        <w:rPr>
          <w:spacing w:val="-3"/>
          <w:sz w:val="16"/>
        </w:rPr>
        <w:t xml:space="preserve"> </w:t>
      </w:r>
      <w:r>
        <w:rPr>
          <w:sz w:val="16"/>
        </w:rPr>
        <w:t>are</w:t>
      </w:r>
      <w:r>
        <w:rPr>
          <w:spacing w:val="-4"/>
          <w:sz w:val="16"/>
        </w:rPr>
        <w:t xml:space="preserve"> </w:t>
      </w:r>
      <w:r>
        <w:rPr>
          <w:sz w:val="16"/>
        </w:rPr>
        <w:t>not</w:t>
      </w:r>
      <w:r>
        <w:rPr>
          <w:spacing w:val="-5"/>
          <w:sz w:val="16"/>
        </w:rPr>
        <w:t xml:space="preserve"> </w:t>
      </w:r>
      <w:r>
        <w:rPr>
          <w:sz w:val="16"/>
        </w:rPr>
        <w:t>accessible</w:t>
      </w:r>
      <w:r>
        <w:rPr>
          <w:spacing w:val="-4"/>
          <w:sz w:val="16"/>
        </w:rPr>
        <w:t xml:space="preserve"> </w:t>
      </w:r>
      <w:r>
        <w:rPr>
          <w:sz w:val="16"/>
        </w:rPr>
        <w:t>for</w:t>
      </w:r>
      <w:r>
        <w:rPr>
          <w:spacing w:val="-3"/>
          <w:sz w:val="16"/>
        </w:rPr>
        <w:t xml:space="preserve"> </w:t>
      </w:r>
      <w:r>
        <w:rPr>
          <w:sz w:val="16"/>
        </w:rPr>
        <w:t>women</w:t>
      </w:r>
      <w:r>
        <w:rPr>
          <w:spacing w:val="-4"/>
          <w:sz w:val="16"/>
        </w:rPr>
        <w:t xml:space="preserve"> </w:t>
      </w:r>
      <w:r>
        <w:rPr>
          <w:sz w:val="16"/>
        </w:rPr>
        <w:t>or</w:t>
      </w:r>
      <w:r>
        <w:rPr>
          <w:spacing w:val="-5"/>
          <w:sz w:val="16"/>
        </w:rPr>
        <w:t xml:space="preserve"> </w:t>
      </w:r>
      <w:r>
        <w:rPr>
          <w:sz w:val="16"/>
        </w:rPr>
        <w:t>children</w:t>
      </w:r>
      <w:r>
        <w:rPr>
          <w:spacing w:val="-3"/>
          <w:sz w:val="16"/>
        </w:rPr>
        <w:t xml:space="preserve"> </w:t>
      </w:r>
      <w:r>
        <w:rPr>
          <w:sz w:val="16"/>
        </w:rPr>
        <w:t>with</w:t>
      </w:r>
      <w:r>
        <w:rPr>
          <w:spacing w:val="-4"/>
          <w:sz w:val="16"/>
        </w:rPr>
        <w:t xml:space="preserve"> </w:t>
      </w:r>
      <w:r>
        <w:rPr>
          <w:sz w:val="16"/>
        </w:rPr>
        <w:t>disability,</w:t>
      </w:r>
      <w:r>
        <w:rPr>
          <w:spacing w:val="-4"/>
          <w:sz w:val="16"/>
        </w:rPr>
        <w:t xml:space="preserve"> </w:t>
      </w:r>
      <w:r>
        <w:rPr>
          <w:sz w:val="16"/>
        </w:rPr>
        <w:t>and</w:t>
      </w:r>
      <w:r>
        <w:rPr>
          <w:spacing w:val="-4"/>
          <w:sz w:val="16"/>
        </w:rPr>
        <w:t xml:space="preserve"> </w:t>
      </w:r>
      <w:r>
        <w:rPr>
          <w:sz w:val="16"/>
        </w:rPr>
        <w:t>there</w:t>
      </w:r>
      <w:r>
        <w:rPr>
          <w:spacing w:val="-3"/>
          <w:sz w:val="16"/>
        </w:rPr>
        <w:t xml:space="preserve"> </w:t>
      </w:r>
      <w:r>
        <w:rPr>
          <w:sz w:val="16"/>
        </w:rPr>
        <w:t>are</w:t>
      </w:r>
      <w:r>
        <w:rPr>
          <w:spacing w:val="-5"/>
          <w:sz w:val="16"/>
        </w:rPr>
        <w:t xml:space="preserve"> </w:t>
      </w:r>
      <w:r>
        <w:rPr>
          <w:sz w:val="16"/>
        </w:rPr>
        <w:t>additional</w:t>
      </w:r>
      <w:r>
        <w:rPr>
          <w:spacing w:val="-4"/>
          <w:sz w:val="16"/>
        </w:rPr>
        <w:t xml:space="preserve"> </w:t>
      </w:r>
      <w:r>
        <w:rPr>
          <w:sz w:val="16"/>
        </w:rPr>
        <w:t>barriers where there are also language or cultural</w:t>
      </w:r>
      <w:r>
        <w:rPr>
          <w:spacing w:val="-6"/>
          <w:sz w:val="16"/>
        </w:rPr>
        <w:t xml:space="preserve"> </w:t>
      </w:r>
      <w:r>
        <w:rPr>
          <w:sz w:val="16"/>
        </w:rPr>
        <w:t>requirements.</w:t>
      </w:r>
    </w:p>
    <w:p w:rsidR="007A0A6C" w:rsidRDefault="00660E26">
      <w:pPr>
        <w:pStyle w:val="ListParagraph"/>
        <w:numPr>
          <w:ilvl w:val="0"/>
          <w:numId w:val="4"/>
        </w:numPr>
        <w:tabs>
          <w:tab w:val="left" w:pos="744"/>
          <w:tab w:val="left" w:pos="745"/>
        </w:tabs>
        <w:spacing w:before="99" w:line="261" w:lineRule="auto"/>
        <w:ind w:left="340" w:right="319" w:firstLine="0"/>
        <w:rPr>
          <w:sz w:val="16"/>
        </w:rPr>
      </w:pPr>
      <w:r>
        <w:rPr>
          <w:sz w:val="16"/>
        </w:rPr>
        <w:t>Committee on the Rights of Persons with Disabilities, General comment No. 7 (2018) on the participation of persons with disabilities, including children with disabilities, through their representative organizations, in the implementation and monitoring of the Convention, UN Doc No. CRPD/C/ GC/7.</w:t>
      </w:r>
    </w:p>
    <w:p w:rsidR="007A0A6C" w:rsidRDefault="00660E26">
      <w:pPr>
        <w:pStyle w:val="ListParagraph"/>
        <w:numPr>
          <w:ilvl w:val="0"/>
          <w:numId w:val="4"/>
        </w:numPr>
        <w:tabs>
          <w:tab w:val="left" w:pos="744"/>
          <w:tab w:val="left" w:pos="745"/>
        </w:tabs>
        <w:spacing w:before="98" w:line="261" w:lineRule="auto"/>
        <w:ind w:left="340" w:right="458" w:firstLine="0"/>
        <w:rPr>
          <w:sz w:val="16"/>
        </w:rPr>
      </w:pPr>
      <w:r>
        <w:rPr>
          <w:sz w:val="16"/>
        </w:rPr>
        <w:t>See: United Nations General Assembly (2017); Pillar one: advance the rights of women and girls;</w:t>
      </w:r>
      <w:r>
        <w:rPr>
          <w:color w:val="215E9E"/>
          <w:sz w:val="16"/>
        </w:rPr>
        <w:t xml:space="preserve"> </w:t>
      </w:r>
      <w:r>
        <w:rPr>
          <w:color w:val="215E9E"/>
          <w:sz w:val="16"/>
          <w:u w:val="single" w:color="215E9E"/>
        </w:rPr>
        <w:t>Note verbale dated 14 July 2017 from the Permanent</w:t>
      </w:r>
      <w:r>
        <w:rPr>
          <w:color w:val="215E9E"/>
          <w:spacing w:val="-2"/>
          <w:sz w:val="16"/>
          <w:u w:val="single" w:color="215E9E"/>
        </w:rPr>
        <w:t xml:space="preserve"> </w:t>
      </w:r>
      <w:r>
        <w:rPr>
          <w:color w:val="215E9E"/>
          <w:sz w:val="16"/>
          <w:u w:val="single" w:color="215E9E"/>
        </w:rPr>
        <w:t>Mission</w:t>
      </w:r>
      <w:r>
        <w:rPr>
          <w:color w:val="215E9E"/>
          <w:spacing w:val="-1"/>
          <w:sz w:val="16"/>
          <w:u w:val="single" w:color="215E9E"/>
        </w:rPr>
        <w:t xml:space="preserve"> </w:t>
      </w:r>
      <w:r>
        <w:rPr>
          <w:color w:val="215E9E"/>
          <w:sz w:val="16"/>
          <w:u w:val="single" w:color="215E9E"/>
        </w:rPr>
        <w:t>of</w:t>
      </w:r>
      <w:r>
        <w:rPr>
          <w:color w:val="215E9E"/>
          <w:spacing w:val="-10"/>
          <w:sz w:val="16"/>
          <w:u w:val="single" w:color="215E9E"/>
        </w:rPr>
        <w:t xml:space="preserve"> </w:t>
      </w:r>
      <w:r>
        <w:rPr>
          <w:color w:val="215E9E"/>
          <w:sz w:val="16"/>
          <w:u w:val="single" w:color="215E9E"/>
        </w:rPr>
        <w:t>Australia</w:t>
      </w:r>
      <w:r>
        <w:rPr>
          <w:color w:val="215E9E"/>
          <w:spacing w:val="-2"/>
          <w:sz w:val="16"/>
          <w:u w:val="single" w:color="215E9E"/>
        </w:rPr>
        <w:t xml:space="preserve"> </w:t>
      </w:r>
      <w:r>
        <w:rPr>
          <w:color w:val="215E9E"/>
          <w:sz w:val="16"/>
          <w:u w:val="single" w:color="215E9E"/>
        </w:rPr>
        <w:t>to</w:t>
      </w:r>
      <w:r>
        <w:rPr>
          <w:color w:val="215E9E"/>
          <w:spacing w:val="-1"/>
          <w:sz w:val="16"/>
          <w:u w:val="single" w:color="215E9E"/>
        </w:rPr>
        <w:t xml:space="preserve"> </w:t>
      </w:r>
      <w:r>
        <w:rPr>
          <w:color w:val="215E9E"/>
          <w:sz w:val="16"/>
          <w:u w:val="single" w:color="215E9E"/>
        </w:rPr>
        <w:t>the</w:t>
      </w:r>
      <w:r>
        <w:rPr>
          <w:color w:val="215E9E"/>
          <w:spacing w:val="-1"/>
          <w:sz w:val="16"/>
          <w:u w:val="single" w:color="215E9E"/>
        </w:rPr>
        <w:t xml:space="preserve"> </w:t>
      </w:r>
      <w:r>
        <w:rPr>
          <w:color w:val="215E9E"/>
          <w:sz w:val="16"/>
          <w:u w:val="single" w:color="215E9E"/>
        </w:rPr>
        <w:t>United</w:t>
      </w:r>
      <w:r>
        <w:rPr>
          <w:color w:val="215E9E"/>
          <w:spacing w:val="-3"/>
          <w:sz w:val="16"/>
          <w:u w:val="single" w:color="215E9E"/>
        </w:rPr>
        <w:t xml:space="preserve"> </w:t>
      </w:r>
      <w:r>
        <w:rPr>
          <w:color w:val="215E9E"/>
          <w:sz w:val="16"/>
          <w:u w:val="single" w:color="215E9E"/>
        </w:rPr>
        <w:t>Nations</w:t>
      </w:r>
      <w:r>
        <w:rPr>
          <w:color w:val="215E9E"/>
          <w:spacing w:val="-2"/>
          <w:sz w:val="16"/>
          <w:u w:val="single" w:color="215E9E"/>
        </w:rPr>
        <w:t xml:space="preserve"> </w:t>
      </w:r>
      <w:r>
        <w:rPr>
          <w:color w:val="215E9E"/>
          <w:sz w:val="16"/>
          <w:u w:val="single" w:color="215E9E"/>
        </w:rPr>
        <w:t>addressed</w:t>
      </w:r>
      <w:r>
        <w:rPr>
          <w:color w:val="215E9E"/>
          <w:spacing w:val="-2"/>
          <w:sz w:val="16"/>
          <w:u w:val="single" w:color="215E9E"/>
        </w:rPr>
        <w:t xml:space="preserve"> </w:t>
      </w:r>
      <w:r>
        <w:rPr>
          <w:color w:val="215E9E"/>
          <w:sz w:val="16"/>
          <w:u w:val="single" w:color="215E9E"/>
        </w:rPr>
        <w:t>to</w:t>
      </w:r>
      <w:r>
        <w:rPr>
          <w:color w:val="215E9E"/>
          <w:spacing w:val="-2"/>
          <w:sz w:val="16"/>
          <w:u w:val="single" w:color="215E9E"/>
        </w:rPr>
        <w:t xml:space="preserve"> </w:t>
      </w:r>
      <w:r>
        <w:rPr>
          <w:color w:val="215E9E"/>
          <w:sz w:val="16"/>
          <w:u w:val="single" w:color="215E9E"/>
        </w:rPr>
        <w:t>the</w:t>
      </w:r>
      <w:r>
        <w:rPr>
          <w:color w:val="215E9E"/>
          <w:spacing w:val="-1"/>
          <w:sz w:val="16"/>
          <w:u w:val="single" w:color="215E9E"/>
        </w:rPr>
        <w:t xml:space="preserve"> </w:t>
      </w:r>
      <w:r>
        <w:rPr>
          <w:color w:val="215E9E"/>
          <w:sz w:val="16"/>
          <w:u w:val="single" w:color="215E9E"/>
        </w:rPr>
        <w:t>President</w:t>
      </w:r>
      <w:r>
        <w:rPr>
          <w:color w:val="215E9E"/>
          <w:spacing w:val="-1"/>
          <w:sz w:val="16"/>
          <w:u w:val="single" w:color="215E9E"/>
        </w:rPr>
        <w:t xml:space="preserve"> </w:t>
      </w:r>
      <w:r>
        <w:rPr>
          <w:color w:val="215E9E"/>
          <w:sz w:val="16"/>
          <w:u w:val="single" w:color="215E9E"/>
        </w:rPr>
        <w:t>of</w:t>
      </w:r>
      <w:r>
        <w:rPr>
          <w:color w:val="215E9E"/>
          <w:spacing w:val="-3"/>
          <w:sz w:val="16"/>
          <w:u w:val="single" w:color="215E9E"/>
        </w:rPr>
        <w:t xml:space="preserve"> </w:t>
      </w:r>
      <w:r>
        <w:rPr>
          <w:color w:val="215E9E"/>
          <w:sz w:val="16"/>
          <w:u w:val="single" w:color="215E9E"/>
        </w:rPr>
        <w:t>the</w:t>
      </w:r>
      <w:r>
        <w:rPr>
          <w:color w:val="215E9E"/>
          <w:spacing w:val="-1"/>
          <w:sz w:val="16"/>
          <w:u w:val="single" w:color="215E9E"/>
        </w:rPr>
        <w:t xml:space="preserve"> </w:t>
      </w:r>
      <w:r>
        <w:rPr>
          <w:color w:val="215E9E"/>
          <w:sz w:val="16"/>
          <w:u w:val="single" w:color="215E9E"/>
        </w:rPr>
        <w:t>General</w:t>
      </w:r>
      <w:r>
        <w:rPr>
          <w:color w:val="215E9E"/>
          <w:spacing w:val="-10"/>
          <w:sz w:val="16"/>
          <w:u w:val="single" w:color="215E9E"/>
        </w:rPr>
        <w:t xml:space="preserve"> </w:t>
      </w:r>
      <w:r>
        <w:rPr>
          <w:color w:val="215E9E"/>
          <w:sz w:val="16"/>
          <w:u w:val="single" w:color="215E9E"/>
        </w:rPr>
        <w:t>Assembly</w:t>
      </w:r>
      <w:r>
        <w:rPr>
          <w:sz w:val="16"/>
        </w:rPr>
        <w:t>;</w:t>
      </w:r>
      <w:r>
        <w:rPr>
          <w:spacing w:val="-1"/>
          <w:sz w:val="16"/>
        </w:rPr>
        <w:t xml:space="preserve"> </w:t>
      </w:r>
      <w:r>
        <w:rPr>
          <w:sz w:val="16"/>
        </w:rPr>
        <w:t>24</w:t>
      </w:r>
      <w:r>
        <w:rPr>
          <w:spacing w:val="-3"/>
          <w:sz w:val="16"/>
        </w:rPr>
        <w:t xml:space="preserve"> </w:t>
      </w:r>
      <w:r>
        <w:rPr>
          <w:sz w:val="16"/>
        </w:rPr>
        <w:t>July</w:t>
      </w:r>
      <w:r>
        <w:rPr>
          <w:spacing w:val="-1"/>
          <w:sz w:val="16"/>
        </w:rPr>
        <w:t xml:space="preserve"> </w:t>
      </w:r>
      <w:r>
        <w:rPr>
          <w:sz w:val="16"/>
        </w:rPr>
        <w:t>2017;</w:t>
      </w:r>
      <w:r>
        <w:rPr>
          <w:spacing w:val="-2"/>
          <w:sz w:val="16"/>
        </w:rPr>
        <w:t xml:space="preserve"> </w:t>
      </w:r>
      <w:r>
        <w:rPr>
          <w:sz w:val="16"/>
        </w:rPr>
        <w:t>UN</w:t>
      </w:r>
      <w:r>
        <w:rPr>
          <w:spacing w:val="-3"/>
          <w:sz w:val="16"/>
        </w:rPr>
        <w:t xml:space="preserve"> </w:t>
      </w:r>
      <w:r>
        <w:rPr>
          <w:sz w:val="16"/>
        </w:rPr>
        <w:t>Doc.</w:t>
      </w:r>
      <w:r>
        <w:rPr>
          <w:spacing w:val="-2"/>
          <w:sz w:val="16"/>
        </w:rPr>
        <w:t xml:space="preserve"> </w:t>
      </w:r>
      <w:r>
        <w:rPr>
          <w:sz w:val="16"/>
        </w:rPr>
        <w:t>No:</w:t>
      </w:r>
      <w:r>
        <w:rPr>
          <w:spacing w:val="-10"/>
          <w:sz w:val="16"/>
        </w:rPr>
        <w:t xml:space="preserve"> </w:t>
      </w:r>
      <w:r>
        <w:rPr>
          <w:sz w:val="16"/>
        </w:rPr>
        <w:t>A/72/212.</w:t>
      </w:r>
    </w:p>
    <w:p w:rsidR="007A0A6C" w:rsidRDefault="00660E26">
      <w:pPr>
        <w:pStyle w:val="ListParagraph"/>
        <w:numPr>
          <w:ilvl w:val="0"/>
          <w:numId w:val="4"/>
        </w:numPr>
        <w:tabs>
          <w:tab w:val="left" w:pos="744"/>
          <w:tab w:val="left" w:pos="745"/>
        </w:tabs>
        <w:spacing w:before="99" w:line="261" w:lineRule="auto"/>
        <w:ind w:left="340" w:right="924" w:firstLine="0"/>
        <w:rPr>
          <w:sz w:val="16"/>
        </w:rPr>
      </w:pPr>
      <w:r>
        <w:rPr>
          <w:sz w:val="16"/>
        </w:rPr>
        <w:t>Department</w:t>
      </w:r>
      <w:r>
        <w:rPr>
          <w:spacing w:val="-5"/>
          <w:sz w:val="16"/>
        </w:rPr>
        <w:t xml:space="preserve"> </w:t>
      </w:r>
      <w:r>
        <w:rPr>
          <w:sz w:val="16"/>
        </w:rPr>
        <w:t>of</w:t>
      </w:r>
      <w:r>
        <w:rPr>
          <w:spacing w:val="-4"/>
          <w:sz w:val="16"/>
        </w:rPr>
        <w:t xml:space="preserve"> </w:t>
      </w:r>
      <w:r>
        <w:rPr>
          <w:sz w:val="16"/>
        </w:rPr>
        <w:t>Social</w:t>
      </w:r>
      <w:r>
        <w:rPr>
          <w:spacing w:val="-4"/>
          <w:sz w:val="16"/>
        </w:rPr>
        <w:t xml:space="preserve"> </w:t>
      </w:r>
      <w:r>
        <w:rPr>
          <w:sz w:val="16"/>
        </w:rPr>
        <w:t>Services</w:t>
      </w:r>
      <w:r>
        <w:rPr>
          <w:spacing w:val="-4"/>
          <w:sz w:val="16"/>
        </w:rPr>
        <w:t xml:space="preserve"> </w:t>
      </w:r>
      <w:r>
        <w:rPr>
          <w:sz w:val="16"/>
        </w:rPr>
        <w:t>2014,</w:t>
      </w:r>
      <w:r>
        <w:rPr>
          <w:color w:val="215E9E"/>
          <w:spacing w:val="-3"/>
          <w:sz w:val="16"/>
        </w:rPr>
        <w:t xml:space="preserve"> </w:t>
      </w:r>
      <w:r>
        <w:rPr>
          <w:color w:val="215E9E"/>
          <w:sz w:val="16"/>
          <w:u w:val="single" w:color="215E9E"/>
        </w:rPr>
        <w:t>National</w:t>
      </w:r>
      <w:r>
        <w:rPr>
          <w:color w:val="215E9E"/>
          <w:spacing w:val="-5"/>
          <w:sz w:val="16"/>
          <w:u w:val="single" w:color="215E9E"/>
        </w:rPr>
        <w:t xml:space="preserve"> </w:t>
      </w:r>
      <w:r>
        <w:rPr>
          <w:color w:val="215E9E"/>
          <w:sz w:val="16"/>
          <w:u w:val="single" w:color="215E9E"/>
        </w:rPr>
        <w:t>Framework</w:t>
      </w:r>
      <w:r>
        <w:rPr>
          <w:color w:val="215E9E"/>
          <w:spacing w:val="-3"/>
          <w:sz w:val="16"/>
          <w:u w:val="single" w:color="215E9E"/>
        </w:rPr>
        <w:t xml:space="preserve"> </w:t>
      </w:r>
      <w:r>
        <w:rPr>
          <w:color w:val="215E9E"/>
          <w:sz w:val="16"/>
          <w:u w:val="single" w:color="215E9E"/>
        </w:rPr>
        <w:t>for</w:t>
      </w:r>
      <w:r>
        <w:rPr>
          <w:color w:val="215E9E"/>
          <w:spacing w:val="-4"/>
          <w:sz w:val="16"/>
          <w:u w:val="single" w:color="215E9E"/>
        </w:rPr>
        <w:t xml:space="preserve"> </w:t>
      </w:r>
      <w:r>
        <w:rPr>
          <w:color w:val="215E9E"/>
          <w:sz w:val="16"/>
          <w:u w:val="single" w:color="215E9E"/>
        </w:rPr>
        <w:t>Protecting</w:t>
      </w:r>
      <w:r>
        <w:rPr>
          <w:color w:val="215E9E"/>
          <w:spacing w:val="-12"/>
          <w:sz w:val="16"/>
          <w:u w:val="single" w:color="215E9E"/>
        </w:rPr>
        <w:t xml:space="preserve"> </w:t>
      </w:r>
      <w:r>
        <w:rPr>
          <w:color w:val="215E9E"/>
          <w:sz w:val="16"/>
          <w:u w:val="single" w:color="215E9E"/>
        </w:rPr>
        <w:t>Australia’s</w:t>
      </w:r>
      <w:r>
        <w:rPr>
          <w:color w:val="215E9E"/>
          <w:spacing w:val="-3"/>
          <w:sz w:val="16"/>
          <w:u w:val="single" w:color="215E9E"/>
        </w:rPr>
        <w:t xml:space="preserve"> </w:t>
      </w:r>
      <w:r>
        <w:rPr>
          <w:color w:val="215E9E"/>
          <w:sz w:val="16"/>
          <w:u w:val="single" w:color="215E9E"/>
        </w:rPr>
        <w:t>Children,</w:t>
      </w:r>
      <w:r>
        <w:rPr>
          <w:color w:val="215E9E"/>
          <w:spacing w:val="-5"/>
          <w:sz w:val="16"/>
          <w:u w:val="single" w:color="215E9E"/>
        </w:rPr>
        <w:t xml:space="preserve"> </w:t>
      </w:r>
      <w:r>
        <w:rPr>
          <w:color w:val="215E9E"/>
          <w:sz w:val="16"/>
          <w:u w:val="single" w:color="215E9E"/>
        </w:rPr>
        <w:t>2009-2020</w:t>
      </w:r>
      <w:r>
        <w:rPr>
          <w:sz w:val="16"/>
        </w:rPr>
        <w:t>,</w:t>
      </w:r>
      <w:r>
        <w:rPr>
          <w:spacing w:val="-3"/>
          <w:sz w:val="16"/>
        </w:rPr>
        <w:t xml:space="preserve"> </w:t>
      </w:r>
      <w:r>
        <w:rPr>
          <w:sz w:val="16"/>
        </w:rPr>
        <w:t>Commonwealth</w:t>
      </w:r>
      <w:r>
        <w:rPr>
          <w:spacing w:val="-5"/>
          <w:sz w:val="16"/>
        </w:rPr>
        <w:t xml:space="preserve"> </w:t>
      </w:r>
      <w:r>
        <w:rPr>
          <w:sz w:val="16"/>
        </w:rPr>
        <w:t>of</w:t>
      </w:r>
      <w:r>
        <w:rPr>
          <w:spacing w:val="-11"/>
          <w:sz w:val="16"/>
        </w:rPr>
        <w:t xml:space="preserve"> </w:t>
      </w:r>
      <w:r>
        <w:rPr>
          <w:sz w:val="16"/>
        </w:rPr>
        <w:t>Australia, Canberra, viewed 29 July</w:t>
      </w:r>
      <w:r>
        <w:rPr>
          <w:spacing w:val="-3"/>
          <w:sz w:val="16"/>
        </w:rPr>
        <w:t xml:space="preserve"> </w:t>
      </w:r>
      <w:r>
        <w:rPr>
          <w:sz w:val="16"/>
        </w:rPr>
        <w:t>2014.</w:t>
      </w:r>
    </w:p>
    <w:p w:rsidR="007A0A6C" w:rsidRDefault="00660E26">
      <w:pPr>
        <w:pStyle w:val="ListParagraph"/>
        <w:numPr>
          <w:ilvl w:val="0"/>
          <w:numId w:val="4"/>
        </w:numPr>
        <w:tabs>
          <w:tab w:val="left" w:pos="744"/>
          <w:tab w:val="left" w:pos="745"/>
        </w:tabs>
        <w:spacing w:before="99" w:line="261" w:lineRule="auto"/>
        <w:ind w:left="340" w:right="741" w:firstLine="0"/>
        <w:rPr>
          <w:sz w:val="16"/>
        </w:rPr>
      </w:pPr>
      <w:r>
        <w:rPr>
          <w:sz w:val="16"/>
        </w:rPr>
        <w:t>Robinson 2012,</w:t>
      </w:r>
      <w:r>
        <w:rPr>
          <w:color w:val="215E9E"/>
          <w:sz w:val="16"/>
        </w:rPr>
        <w:t xml:space="preserve"> </w:t>
      </w:r>
      <w:r>
        <w:rPr>
          <w:color w:val="215E9E"/>
          <w:sz w:val="16"/>
          <w:u w:val="single" w:color="215E9E"/>
        </w:rPr>
        <w:t>Enabling and Protecting: Proactive approaches to addressing the abuse and neglect of children and young people with disability</w:t>
      </w:r>
      <w:r>
        <w:rPr>
          <w:sz w:val="16"/>
        </w:rPr>
        <w:t xml:space="preserve">, p. 12; Children and </w:t>
      </w:r>
      <w:r>
        <w:rPr>
          <w:spacing w:val="-4"/>
          <w:sz w:val="16"/>
        </w:rPr>
        <w:t xml:space="preserve">Young </w:t>
      </w:r>
      <w:r>
        <w:rPr>
          <w:sz w:val="16"/>
        </w:rPr>
        <w:t>People with Disability Australia,</w:t>
      </w:r>
      <w:r>
        <w:rPr>
          <w:spacing w:val="-17"/>
          <w:sz w:val="16"/>
        </w:rPr>
        <w:t xml:space="preserve"> </w:t>
      </w:r>
      <w:r>
        <w:rPr>
          <w:sz w:val="16"/>
        </w:rPr>
        <w:t>Melbourne.</w:t>
      </w:r>
    </w:p>
    <w:p w:rsidR="007A0A6C" w:rsidRDefault="00660E26">
      <w:pPr>
        <w:pStyle w:val="ListParagraph"/>
        <w:numPr>
          <w:ilvl w:val="0"/>
          <w:numId w:val="4"/>
        </w:numPr>
        <w:tabs>
          <w:tab w:val="left" w:pos="735"/>
          <w:tab w:val="left" w:pos="736"/>
        </w:tabs>
        <w:spacing w:before="99" w:line="261" w:lineRule="auto"/>
        <w:ind w:left="340" w:right="448" w:firstLine="0"/>
        <w:rPr>
          <w:sz w:val="16"/>
        </w:rPr>
      </w:pPr>
      <w:r>
        <w:rPr>
          <w:sz w:val="16"/>
        </w:rPr>
        <w:t>As of February 2019, the</w:t>
      </w:r>
      <w:r>
        <w:rPr>
          <w:color w:val="215E9E"/>
          <w:sz w:val="16"/>
        </w:rPr>
        <w:t xml:space="preserve"> </w:t>
      </w:r>
      <w:r>
        <w:rPr>
          <w:color w:val="215E9E"/>
          <w:sz w:val="16"/>
          <w:u w:val="single" w:color="215E9E"/>
        </w:rPr>
        <w:t>National Principles for Child Safe Organisations</w:t>
      </w:r>
      <w:r>
        <w:rPr>
          <w:color w:val="215E9E"/>
          <w:sz w:val="16"/>
        </w:rPr>
        <w:t xml:space="preserve"> </w:t>
      </w:r>
      <w:r>
        <w:rPr>
          <w:sz w:val="16"/>
        </w:rPr>
        <w:t>have been endorsed by members of the Council of Australian Governments, including the Prime Minister and state and territory First Ministers. The principles aim to provide a nationally consistent approach to creating organisational cultures that foster child safety and</w:t>
      </w:r>
      <w:r>
        <w:rPr>
          <w:spacing w:val="-4"/>
          <w:sz w:val="16"/>
        </w:rPr>
        <w:t xml:space="preserve"> </w:t>
      </w:r>
      <w:r>
        <w:rPr>
          <w:sz w:val="16"/>
        </w:rPr>
        <w:t>wellbeing.</w:t>
      </w:r>
    </w:p>
    <w:p w:rsidR="007A0A6C" w:rsidRDefault="00660E26">
      <w:pPr>
        <w:pStyle w:val="ListParagraph"/>
        <w:numPr>
          <w:ilvl w:val="0"/>
          <w:numId w:val="4"/>
        </w:numPr>
        <w:tabs>
          <w:tab w:val="left" w:pos="735"/>
          <w:tab w:val="left" w:pos="736"/>
        </w:tabs>
        <w:spacing w:before="98"/>
        <w:ind w:left="735" w:hanging="395"/>
        <w:rPr>
          <w:sz w:val="16"/>
        </w:rPr>
      </w:pPr>
      <w:r>
        <w:rPr>
          <w:sz w:val="16"/>
        </w:rPr>
        <w:t>Australian</w:t>
      </w:r>
      <w:r>
        <w:rPr>
          <w:spacing w:val="-2"/>
          <w:sz w:val="16"/>
        </w:rPr>
        <w:t xml:space="preserve"> </w:t>
      </w:r>
      <w:r>
        <w:rPr>
          <w:sz w:val="16"/>
        </w:rPr>
        <w:t>Institute</w:t>
      </w:r>
      <w:r>
        <w:rPr>
          <w:spacing w:val="-1"/>
          <w:sz w:val="16"/>
        </w:rPr>
        <w:t xml:space="preserve"> </w:t>
      </w:r>
      <w:r>
        <w:rPr>
          <w:sz w:val="16"/>
        </w:rPr>
        <w:t>of</w:t>
      </w:r>
      <w:r>
        <w:rPr>
          <w:spacing w:val="-3"/>
          <w:sz w:val="16"/>
        </w:rPr>
        <w:t xml:space="preserve"> </w:t>
      </w:r>
      <w:r>
        <w:rPr>
          <w:sz w:val="16"/>
        </w:rPr>
        <w:t>Health</w:t>
      </w:r>
      <w:r>
        <w:rPr>
          <w:spacing w:val="-2"/>
          <w:sz w:val="16"/>
        </w:rPr>
        <w:t xml:space="preserve"> </w:t>
      </w:r>
      <w:r>
        <w:rPr>
          <w:sz w:val="16"/>
        </w:rPr>
        <w:t>and</w:t>
      </w:r>
      <w:r>
        <w:rPr>
          <w:spacing w:val="-2"/>
          <w:sz w:val="16"/>
        </w:rPr>
        <w:t xml:space="preserve"> </w:t>
      </w:r>
      <w:r>
        <w:rPr>
          <w:sz w:val="16"/>
        </w:rPr>
        <w:t>Welfare</w:t>
      </w:r>
      <w:r>
        <w:rPr>
          <w:spacing w:val="-3"/>
          <w:sz w:val="16"/>
        </w:rPr>
        <w:t xml:space="preserve"> </w:t>
      </w:r>
      <w:r>
        <w:rPr>
          <w:sz w:val="16"/>
        </w:rPr>
        <w:t>2017.</w:t>
      </w:r>
      <w:r>
        <w:rPr>
          <w:color w:val="215E9E"/>
          <w:spacing w:val="-10"/>
          <w:sz w:val="16"/>
        </w:rPr>
        <w:t xml:space="preserve"> </w:t>
      </w:r>
      <w:r>
        <w:rPr>
          <w:color w:val="215E9E"/>
          <w:sz w:val="16"/>
          <w:u w:val="single" w:color="215E9E"/>
        </w:rPr>
        <w:t>Australia’s</w:t>
      </w:r>
      <w:r>
        <w:rPr>
          <w:color w:val="215E9E"/>
          <w:spacing w:val="-1"/>
          <w:sz w:val="16"/>
          <w:u w:val="single" w:color="215E9E"/>
        </w:rPr>
        <w:t xml:space="preserve"> </w:t>
      </w:r>
      <w:r>
        <w:rPr>
          <w:color w:val="215E9E"/>
          <w:sz w:val="16"/>
          <w:u w:val="single" w:color="215E9E"/>
        </w:rPr>
        <w:t>welfare</w:t>
      </w:r>
      <w:r>
        <w:rPr>
          <w:color w:val="215E9E"/>
          <w:spacing w:val="-3"/>
          <w:sz w:val="16"/>
          <w:u w:val="single" w:color="215E9E"/>
        </w:rPr>
        <w:t xml:space="preserve"> </w:t>
      </w:r>
      <w:r>
        <w:rPr>
          <w:color w:val="215E9E"/>
          <w:sz w:val="16"/>
          <w:u w:val="single" w:color="215E9E"/>
        </w:rPr>
        <w:t>2017</w:t>
      </w:r>
      <w:r>
        <w:rPr>
          <w:sz w:val="16"/>
        </w:rPr>
        <w:t>.</w:t>
      </w:r>
      <w:r>
        <w:rPr>
          <w:spacing w:val="-10"/>
          <w:sz w:val="16"/>
        </w:rPr>
        <w:t xml:space="preserve"> </w:t>
      </w:r>
      <w:r>
        <w:rPr>
          <w:sz w:val="16"/>
        </w:rPr>
        <w:t>Australia’s</w:t>
      </w:r>
      <w:r>
        <w:rPr>
          <w:spacing w:val="-1"/>
          <w:sz w:val="16"/>
        </w:rPr>
        <w:t xml:space="preserve"> </w:t>
      </w:r>
      <w:r>
        <w:rPr>
          <w:sz w:val="16"/>
        </w:rPr>
        <w:t>welfare</w:t>
      </w:r>
      <w:r>
        <w:rPr>
          <w:spacing w:val="-3"/>
          <w:sz w:val="16"/>
        </w:rPr>
        <w:t xml:space="preserve"> </w:t>
      </w:r>
      <w:r>
        <w:rPr>
          <w:sz w:val="16"/>
        </w:rPr>
        <w:t>series</w:t>
      </w:r>
      <w:r>
        <w:rPr>
          <w:spacing w:val="-1"/>
          <w:sz w:val="16"/>
        </w:rPr>
        <w:t xml:space="preserve"> </w:t>
      </w:r>
      <w:r>
        <w:rPr>
          <w:sz w:val="16"/>
        </w:rPr>
        <w:t>no.</w:t>
      </w:r>
      <w:r>
        <w:rPr>
          <w:spacing w:val="-2"/>
          <w:sz w:val="16"/>
        </w:rPr>
        <w:t xml:space="preserve"> </w:t>
      </w:r>
      <w:r>
        <w:rPr>
          <w:sz w:val="16"/>
        </w:rPr>
        <w:t>13.</w:t>
      </w:r>
      <w:r>
        <w:rPr>
          <w:spacing w:val="-10"/>
          <w:sz w:val="16"/>
        </w:rPr>
        <w:t xml:space="preserve"> </w:t>
      </w:r>
      <w:r>
        <w:rPr>
          <w:sz w:val="16"/>
        </w:rPr>
        <w:t>AUS</w:t>
      </w:r>
      <w:r>
        <w:rPr>
          <w:spacing w:val="-2"/>
          <w:sz w:val="16"/>
        </w:rPr>
        <w:t xml:space="preserve"> </w:t>
      </w:r>
      <w:r>
        <w:rPr>
          <w:sz w:val="16"/>
        </w:rPr>
        <w:t>214.</w:t>
      </w:r>
      <w:r>
        <w:rPr>
          <w:spacing w:val="-2"/>
          <w:sz w:val="16"/>
        </w:rPr>
        <w:t xml:space="preserve"> </w:t>
      </w:r>
      <w:r>
        <w:rPr>
          <w:sz w:val="16"/>
        </w:rPr>
        <w:t>Canberra:</w:t>
      </w:r>
      <w:r>
        <w:rPr>
          <w:spacing w:val="-10"/>
          <w:sz w:val="16"/>
        </w:rPr>
        <w:t xml:space="preserve"> </w:t>
      </w:r>
      <w:r>
        <w:rPr>
          <w:sz w:val="16"/>
        </w:rPr>
        <w:t>AIHW</w:t>
      </w:r>
    </w:p>
    <w:p w:rsidR="007A0A6C" w:rsidRDefault="00660E26">
      <w:pPr>
        <w:pStyle w:val="ListParagraph"/>
        <w:numPr>
          <w:ilvl w:val="0"/>
          <w:numId w:val="4"/>
        </w:numPr>
        <w:tabs>
          <w:tab w:val="left" w:pos="744"/>
          <w:tab w:val="left" w:pos="745"/>
        </w:tabs>
        <w:spacing w:line="261" w:lineRule="auto"/>
        <w:ind w:left="340" w:right="347" w:firstLine="0"/>
        <w:rPr>
          <w:sz w:val="16"/>
        </w:rPr>
      </w:pPr>
      <w:r>
        <w:rPr>
          <w:sz w:val="16"/>
        </w:rPr>
        <w:t>Even where services are available, parents may have to deal with as many as six or seven different government departments during the early years of the life of the child. Many parents are reluctant to seek assistance from the service sector because of lack of trust and the trauma resulting from the well-documented removal of children from Aboriginal families. See for eg: Disability Rights Now (2012) CRPD Civil Society Report on Australia. Available at: https://pwd.org.au/our-work/human-rights-campaigns/united-nations-convention-on-the-rights-of-persons-with-disabilities/ crpd-civil-society-shadow-report</w:t>
      </w:r>
    </w:p>
    <w:p w:rsidR="007A0A6C" w:rsidRDefault="00660E26">
      <w:pPr>
        <w:pStyle w:val="ListParagraph"/>
        <w:numPr>
          <w:ilvl w:val="0"/>
          <w:numId w:val="4"/>
        </w:numPr>
        <w:tabs>
          <w:tab w:val="left" w:pos="744"/>
          <w:tab w:val="left" w:pos="745"/>
        </w:tabs>
        <w:spacing w:before="98"/>
        <w:ind w:left="744" w:hanging="404"/>
        <w:rPr>
          <w:sz w:val="16"/>
        </w:rPr>
      </w:pPr>
      <w:r>
        <w:rPr>
          <w:sz w:val="16"/>
        </w:rPr>
        <w:t>See: International Day of People with Disability,</w:t>
      </w:r>
      <w:r>
        <w:rPr>
          <w:color w:val="215E9E"/>
          <w:sz w:val="16"/>
        </w:rPr>
        <w:t xml:space="preserve"> </w:t>
      </w:r>
      <w:r>
        <w:rPr>
          <w:color w:val="215E9E"/>
          <w:sz w:val="16"/>
          <w:u w:val="single" w:color="215E9E"/>
        </w:rPr>
        <w:t>Former National Disability</w:t>
      </w:r>
      <w:r>
        <w:rPr>
          <w:color w:val="215E9E"/>
          <w:spacing w:val="-19"/>
          <w:sz w:val="16"/>
          <w:u w:val="single" w:color="215E9E"/>
        </w:rPr>
        <w:t xml:space="preserve"> </w:t>
      </w:r>
      <w:r>
        <w:rPr>
          <w:color w:val="215E9E"/>
          <w:sz w:val="16"/>
          <w:u w:val="single" w:color="215E9E"/>
        </w:rPr>
        <w:t>Awards</w:t>
      </w:r>
    </w:p>
    <w:p w:rsidR="007A0A6C" w:rsidRDefault="00660E26">
      <w:pPr>
        <w:pStyle w:val="ListParagraph"/>
        <w:numPr>
          <w:ilvl w:val="0"/>
          <w:numId w:val="4"/>
        </w:numPr>
        <w:tabs>
          <w:tab w:val="left" w:pos="744"/>
          <w:tab w:val="left" w:pos="745"/>
        </w:tabs>
        <w:spacing w:line="261" w:lineRule="auto"/>
        <w:ind w:left="340" w:right="301" w:firstLine="0"/>
        <w:rPr>
          <w:sz w:val="16"/>
        </w:rPr>
      </w:pPr>
      <w:r>
        <w:rPr>
          <w:sz w:val="16"/>
        </w:rPr>
        <w:t>People</w:t>
      </w:r>
      <w:r>
        <w:rPr>
          <w:spacing w:val="-3"/>
          <w:sz w:val="16"/>
        </w:rPr>
        <w:t xml:space="preserve"> </w:t>
      </w:r>
      <w:r>
        <w:rPr>
          <w:sz w:val="16"/>
        </w:rPr>
        <w:t>with</w:t>
      </w:r>
      <w:r>
        <w:rPr>
          <w:spacing w:val="-3"/>
          <w:sz w:val="16"/>
        </w:rPr>
        <w:t xml:space="preserve"> </w:t>
      </w:r>
      <w:r>
        <w:rPr>
          <w:sz w:val="16"/>
        </w:rPr>
        <w:t>disability</w:t>
      </w:r>
      <w:r>
        <w:rPr>
          <w:spacing w:val="-4"/>
          <w:sz w:val="16"/>
        </w:rPr>
        <w:t xml:space="preserve"> </w:t>
      </w:r>
      <w:r>
        <w:rPr>
          <w:sz w:val="16"/>
        </w:rPr>
        <w:t>and</w:t>
      </w:r>
      <w:r>
        <w:rPr>
          <w:spacing w:val="-3"/>
          <w:sz w:val="16"/>
        </w:rPr>
        <w:t xml:space="preserve"> </w:t>
      </w:r>
      <w:r>
        <w:rPr>
          <w:sz w:val="16"/>
        </w:rPr>
        <w:t>their</w:t>
      </w:r>
      <w:r>
        <w:rPr>
          <w:spacing w:val="-3"/>
          <w:sz w:val="16"/>
        </w:rPr>
        <w:t xml:space="preserve"> </w:t>
      </w:r>
      <w:r>
        <w:rPr>
          <w:sz w:val="16"/>
        </w:rPr>
        <w:t>representative</w:t>
      </w:r>
      <w:r>
        <w:rPr>
          <w:spacing w:val="-2"/>
          <w:sz w:val="16"/>
        </w:rPr>
        <w:t xml:space="preserve"> </w:t>
      </w:r>
      <w:r>
        <w:rPr>
          <w:sz w:val="16"/>
        </w:rPr>
        <w:t>organisations</w:t>
      </w:r>
      <w:r>
        <w:rPr>
          <w:spacing w:val="-4"/>
          <w:sz w:val="16"/>
        </w:rPr>
        <w:t xml:space="preserve"> </w:t>
      </w:r>
      <w:r>
        <w:rPr>
          <w:sz w:val="16"/>
        </w:rPr>
        <w:t>subsequently</w:t>
      </w:r>
      <w:r>
        <w:rPr>
          <w:spacing w:val="-2"/>
          <w:sz w:val="16"/>
        </w:rPr>
        <w:t xml:space="preserve"> </w:t>
      </w:r>
      <w:r>
        <w:rPr>
          <w:sz w:val="16"/>
        </w:rPr>
        <w:t>conducted</w:t>
      </w:r>
      <w:r>
        <w:rPr>
          <w:spacing w:val="-3"/>
          <w:sz w:val="16"/>
        </w:rPr>
        <w:t xml:space="preserve"> </w:t>
      </w:r>
      <w:r>
        <w:rPr>
          <w:sz w:val="16"/>
        </w:rPr>
        <w:t>their</w:t>
      </w:r>
      <w:r>
        <w:rPr>
          <w:spacing w:val="-2"/>
          <w:sz w:val="16"/>
        </w:rPr>
        <w:t xml:space="preserve"> </w:t>
      </w:r>
      <w:r>
        <w:rPr>
          <w:sz w:val="16"/>
        </w:rPr>
        <w:t>own</w:t>
      </w:r>
      <w:r>
        <w:rPr>
          <w:spacing w:val="-4"/>
          <w:sz w:val="16"/>
        </w:rPr>
        <w:t xml:space="preserve"> </w:t>
      </w:r>
      <w:r>
        <w:rPr>
          <w:sz w:val="16"/>
        </w:rPr>
        <w:t>online</w:t>
      </w:r>
      <w:r>
        <w:rPr>
          <w:spacing w:val="-10"/>
          <w:sz w:val="16"/>
        </w:rPr>
        <w:t xml:space="preserve"> </w:t>
      </w:r>
      <w:r>
        <w:rPr>
          <w:sz w:val="16"/>
        </w:rPr>
        <w:t>Awards</w:t>
      </w:r>
      <w:r>
        <w:rPr>
          <w:spacing w:val="-3"/>
          <w:sz w:val="16"/>
        </w:rPr>
        <w:t xml:space="preserve"> </w:t>
      </w:r>
      <w:r>
        <w:rPr>
          <w:sz w:val="16"/>
        </w:rPr>
        <w:t>with</w:t>
      </w:r>
      <w:r>
        <w:rPr>
          <w:spacing w:val="-4"/>
          <w:sz w:val="16"/>
        </w:rPr>
        <w:t xml:space="preserve"> </w:t>
      </w:r>
      <w:r>
        <w:rPr>
          <w:sz w:val="16"/>
        </w:rPr>
        <w:t>minimal</w:t>
      </w:r>
      <w:r>
        <w:rPr>
          <w:spacing w:val="-2"/>
          <w:sz w:val="16"/>
        </w:rPr>
        <w:t xml:space="preserve"> </w:t>
      </w:r>
      <w:r>
        <w:rPr>
          <w:sz w:val="16"/>
        </w:rPr>
        <w:t>resources</w:t>
      </w:r>
      <w:r>
        <w:rPr>
          <w:spacing w:val="-3"/>
          <w:sz w:val="16"/>
        </w:rPr>
        <w:t xml:space="preserve"> </w:t>
      </w:r>
      <w:r>
        <w:rPr>
          <w:sz w:val="16"/>
        </w:rPr>
        <w:t>and</w:t>
      </w:r>
      <w:r>
        <w:rPr>
          <w:spacing w:val="-3"/>
          <w:sz w:val="16"/>
        </w:rPr>
        <w:t xml:space="preserve"> </w:t>
      </w:r>
      <w:r>
        <w:rPr>
          <w:sz w:val="16"/>
        </w:rPr>
        <w:t>tight timeframes. See:</w:t>
      </w:r>
      <w:r>
        <w:rPr>
          <w:color w:val="215E9E"/>
          <w:sz w:val="16"/>
        </w:rPr>
        <w:t xml:space="preserve"> </w:t>
      </w:r>
      <w:r>
        <w:rPr>
          <w:color w:val="215E9E"/>
          <w:sz w:val="16"/>
          <w:u w:val="single" w:color="215E9E"/>
        </w:rPr>
        <w:t>National Awards for Disability</w:t>
      </w:r>
      <w:r>
        <w:rPr>
          <w:color w:val="215E9E"/>
          <w:spacing w:val="-14"/>
          <w:sz w:val="16"/>
          <w:u w:val="single" w:color="215E9E"/>
        </w:rPr>
        <w:t xml:space="preserve"> </w:t>
      </w:r>
      <w:r>
        <w:rPr>
          <w:color w:val="215E9E"/>
          <w:sz w:val="16"/>
          <w:u w:val="single" w:color="215E9E"/>
        </w:rPr>
        <w:t>Leadership</w:t>
      </w:r>
      <w:r>
        <w:rPr>
          <w:sz w:val="16"/>
        </w:rPr>
        <w:t>.</w:t>
      </w:r>
    </w:p>
    <w:p w:rsidR="007A0A6C" w:rsidRDefault="00660E26">
      <w:pPr>
        <w:pStyle w:val="ListParagraph"/>
        <w:numPr>
          <w:ilvl w:val="0"/>
          <w:numId w:val="4"/>
        </w:numPr>
        <w:tabs>
          <w:tab w:val="left" w:pos="744"/>
          <w:tab w:val="left" w:pos="745"/>
        </w:tabs>
        <w:spacing w:before="99" w:line="261" w:lineRule="auto"/>
        <w:ind w:left="340" w:right="559" w:firstLine="0"/>
        <w:rPr>
          <w:sz w:val="16"/>
        </w:rPr>
      </w:pPr>
      <w:r>
        <w:rPr>
          <w:sz w:val="16"/>
        </w:rPr>
        <w:t>‘Ramp</w:t>
      </w:r>
      <w:r>
        <w:rPr>
          <w:spacing w:val="-5"/>
          <w:sz w:val="16"/>
        </w:rPr>
        <w:t xml:space="preserve"> </w:t>
      </w:r>
      <w:r>
        <w:rPr>
          <w:sz w:val="16"/>
        </w:rPr>
        <w:t>Up’,</w:t>
      </w:r>
      <w:r>
        <w:rPr>
          <w:spacing w:val="-4"/>
          <w:sz w:val="16"/>
        </w:rPr>
        <w:t xml:space="preserve"> </w:t>
      </w:r>
      <w:r>
        <w:rPr>
          <w:sz w:val="16"/>
        </w:rPr>
        <w:t>a</w:t>
      </w:r>
      <w:r>
        <w:rPr>
          <w:spacing w:val="-4"/>
          <w:sz w:val="16"/>
        </w:rPr>
        <w:t xml:space="preserve"> </w:t>
      </w:r>
      <w:r>
        <w:rPr>
          <w:sz w:val="16"/>
        </w:rPr>
        <w:t>portal</w:t>
      </w:r>
      <w:r>
        <w:rPr>
          <w:spacing w:val="-5"/>
          <w:sz w:val="16"/>
        </w:rPr>
        <w:t xml:space="preserve"> </w:t>
      </w:r>
      <w:r>
        <w:rPr>
          <w:sz w:val="16"/>
        </w:rPr>
        <w:t>on</w:t>
      </w:r>
      <w:r>
        <w:rPr>
          <w:spacing w:val="-4"/>
          <w:sz w:val="16"/>
        </w:rPr>
        <w:t xml:space="preserve"> </w:t>
      </w:r>
      <w:r>
        <w:rPr>
          <w:sz w:val="16"/>
        </w:rPr>
        <w:t>the</w:t>
      </w:r>
      <w:r>
        <w:rPr>
          <w:spacing w:val="-12"/>
          <w:sz w:val="16"/>
        </w:rPr>
        <w:t xml:space="preserve"> </w:t>
      </w:r>
      <w:r>
        <w:rPr>
          <w:sz w:val="16"/>
        </w:rPr>
        <w:t>ABC</w:t>
      </w:r>
      <w:r>
        <w:rPr>
          <w:spacing w:val="-3"/>
          <w:sz w:val="16"/>
        </w:rPr>
        <w:t xml:space="preserve"> </w:t>
      </w:r>
      <w:r>
        <w:rPr>
          <w:sz w:val="16"/>
        </w:rPr>
        <w:t>website</w:t>
      </w:r>
      <w:r>
        <w:rPr>
          <w:spacing w:val="-4"/>
          <w:sz w:val="16"/>
        </w:rPr>
        <w:t xml:space="preserve"> </w:t>
      </w:r>
      <w:r>
        <w:rPr>
          <w:sz w:val="16"/>
        </w:rPr>
        <w:t>specifically</w:t>
      </w:r>
      <w:r>
        <w:rPr>
          <w:spacing w:val="-4"/>
          <w:sz w:val="16"/>
        </w:rPr>
        <w:t xml:space="preserve"> </w:t>
      </w:r>
      <w:r>
        <w:rPr>
          <w:sz w:val="16"/>
        </w:rPr>
        <w:t>dedicated</w:t>
      </w:r>
      <w:r>
        <w:rPr>
          <w:spacing w:val="-4"/>
          <w:sz w:val="16"/>
        </w:rPr>
        <w:t xml:space="preserve"> </w:t>
      </w:r>
      <w:r>
        <w:rPr>
          <w:sz w:val="16"/>
        </w:rPr>
        <w:t>to</w:t>
      </w:r>
      <w:r>
        <w:rPr>
          <w:spacing w:val="-3"/>
          <w:sz w:val="16"/>
        </w:rPr>
        <w:t xml:space="preserve"> </w:t>
      </w:r>
      <w:r>
        <w:rPr>
          <w:sz w:val="16"/>
        </w:rPr>
        <w:t>disability</w:t>
      </w:r>
      <w:r>
        <w:rPr>
          <w:spacing w:val="-5"/>
          <w:sz w:val="16"/>
        </w:rPr>
        <w:t xml:space="preserve"> </w:t>
      </w:r>
      <w:r>
        <w:rPr>
          <w:sz w:val="16"/>
        </w:rPr>
        <w:t>issues,</w:t>
      </w:r>
      <w:r>
        <w:rPr>
          <w:spacing w:val="-4"/>
          <w:sz w:val="16"/>
        </w:rPr>
        <w:t xml:space="preserve"> </w:t>
      </w:r>
      <w:r>
        <w:rPr>
          <w:sz w:val="16"/>
        </w:rPr>
        <w:t>was</w:t>
      </w:r>
      <w:r>
        <w:rPr>
          <w:spacing w:val="-4"/>
          <w:sz w:val="16"/>
        </w:rPr>
        <w:t xml:space="preserve"> </w:t>
      </w:r>
      <w:r>
        <w:rPr>
          <w:sz w:val="16"/>
        </w:rPr>
        <w:t>de-commissioned</w:t>
      </w:r>
      <w:r>
        <w:rPr>
          <w:spacing w:val="-4"/>
          <w:sz w:val="16"/>
        </w:rPr>
        <w:t xml:space="preserve"> </w:t>
      </w:r>
      <w:r>
        <w:rPr>
          <w:sz w:val="16"/>
        </w:rPr>
        <w:t>in</w:t>
      </w:r>
      <w:r>
        <w:rPr>
          <w:spacing w:val="-5"/>
          <w:sz w:val="16"/>
        </w:rPr>
        <w:t xml:space="preserve"> </w:t>
      </w:r>
      <w:r>
        <w:rPr>
          <w:sz w:val="16"/>
        </w:rPr>
        <w:t>late</w:t>
      </w:r>
      <w:r>
        <w:rPr>
          <w:spacing w:val="-4"/>
          <w:sz w:val="16"/>
        </w:rPr>
        <w:t xml:space="preserve"> </w:t>
      </w:r>
      <w:r>
        <w:rPr>
          <w:sz w:val="16"/>
        </w:rPr>
        <w:t>2014.</w:t>
      </w:r>
      <w:r>
        <w:rPr>
          <w:spacing w:val="-4"/>
          <w:sz w:val="16"/>
        </w:rPr>
        <w:t xml:space="preserve"> </w:t>
      </w:r>
      <w:r>
        <w:rPr>
          <w:sz w:val="16"/>
        </w:rPr>
        <w:t>See</w:t>
      </w:r>
      <w:r>
        <w:rPr>
          <w:spacing w:val="-4"/>
          <w:sz w:val="16"/>
        </w:rPr>
        <w:t xml:space="preserve"> </w:t>
      </w:r>
      <w:r>
        <w:rPr>
          <w:sz w:val="16"/>
        </w:rPr>
        <w:t>archived</w:t>
      </w:r>
      <w:r>
        <w:rPr>
          <w:spacing w:val="-4"/>
          <w:sz w:val="16"/>
        </w:rPr>
        <w:t xml:space="preserve"> </w:t>
      </w:r>
      <w:r>
        <w:rPr>
          <w:sz w:val="16"/>
        </w:rPr>
        <w:t>site</w:t>
      </w:r>
      <w:r>
        <w:rPr>
          <w:spacing w:val="-3"/>
          <w:sz w:val="16"/>
        </w:rPr>
        <w:t xml:space="preserve"> </w:t>
      </w:r>
      <w:r>
        <w:rPr>
          <w:sz w:val="16"/>
        </w:rPr>
        <w:t>at:</w:t>
      </w:r>
      <w:r>
        <w:rPr>
          <w:color w:val="215E9E"/>
          <w:sz w:val="16"/>
          <w:u w:val="single" w:color="215E9E"/>
        </w:rPr>
        <w:t xml:space="preserve"> </w:t>
      </w:r>
      <w:hyperlink r:id="rId48">
        <w:r>
          <w:rPr>
            <w:color w:val="215E9E"/>
            <w:sz w:val="16"/>
            <w:u w:val="single" w:color="215E9E"/>
          </w:rPr>
          <w:t>http://www.abc.net.au/rampup/</w:t>
        </w:r>
      </w:hyperlink>
    </w:p>
    <w:p w:rsidR="007A0A6C" w:rsidRDefault="00660E26">
      <w:pPr>
        <w:pStyle w:val="ListParagraph"/>
        <w:numPr>
          <w:ilvl w:val="0"/>
          <w:numId w:val="4"/>
        </w:numPr>
        <w:tabs>
          <w:tab w:val="left" w:pos="744"/>
          <w:tab w:val="left" w:pos="745"/>
        </w:tabs>
        <w:spacing w:before="99"/>
        <w:ind w:left="744" w:hanging="404"/>
        <w:rPr>
          <w:sz w:val="16"/>
        </w:rPr>
      </w:pPr>
      <w:r>
        <w:rPr>
          <w:sz w:val="16"/>
        </w:rPr>
        <w:t>Department of Social Services (DSS)</w:t>
      </w:r>
      <w:r>
        <w:rPr>
          <w:color w:val="215E9E"/>
          <w:sz w:val="16"/>
        </w:rPr>
        <w:t xml:space="preserve"> </w:t>
      </w:r>
      <w:r>
        <w:rPr>
          <w:color w:val="215E9E"/>
          <w:sz w:val="16"/>
          <w:u w:val="single" w:color="215E9E"/>
        </w:rPr>
        <w:t>National Disability Strategy, Second Implementation Plan: Driving Action</w:t>
      </w:r>
      <w:r>
        <w:rPr>
          <w:color w:val="215E9E"/>
          <w:spacing w:val="-27"/>
          <w:sz w:val="16"/>
          <w:u w:val="single" w:color="215E9E"/>
        </w:rPr>
        <w:t xml:space="preserve"> </w:t>
      </w:r>
      <w:r>
        <w:rPr>
          <w:color w:val="215E9E"/>
          <w:sz w:val="16"/>
          <w:u w:val="single" w:color="215E9E"/>
        </w:rPr>
        <w:t>2015–2018</w:t>
      </w:r>
      <w:r>
        <w:rPr>
          <w:sz w:val="16"/>
        </w:rPr>
        <w:t>.</w:t>
      </w:r>
    </w:p>
    <w:p w:rsidR="007A0A6C" w:rsidRDefault="007A0A6C">
      <w:pPr>
        <w:rPr>
          <w:sz w:val="16"/>
        </w:rPr>
        <w:sectPr w:rsidR="007A0A6C">
          <w:pgSz w:w="11910" w:h="16840"/>
          <w:pgMar w:top="600" w:right="440" w:bottom="540" w:left="380" w:header="0" w:footer="343" w:gutter="0"/>
          <w:cols w:space="720"/>
        </w:sectPr>
      </w:pPr>
    </w:p>
    <w:p w:rsidR="007A0A6C" w:rsidRDefault="00660E26">
      <w:pPr>
        <w:pStyle w:val="ListParagraph"/>
        <w:numPr>
          <w:ilvl w:val="0"/>
          <w:numId w:val="4"/>
        </w:numPr>
        <w:tabs>
          <w:tab w:val="left" w:pos="741"/>
          <w:tab w:val="left" w:pos="742"/>
        </w:tabs>
        <w:spacing w:before="68"/>
        <w:ind w:left="741" w:hanging="401"/>
        <w:rPr>
          <w:sz w:val="16"/>
        </w:rPr>
      </w:pPr>
      <w:r>
        <w:rPr>
          <w:sz w:val="16"/>
        </w:rPr>
        <w:lastRenderedPageBreak/>
        <w:t>The</w:t>
      </w:r>
      <w:r>
        <w:rPr>
          <w:spacing w:val="-2"/>
          <w:sz w:val="16"/>
        </w:rPr>
        <w:t xml:space="preserve"> </w:t>
      </w:r>
      <w:r>
        <w:rPr>
          <w:sz w:val="16"/>
        </w:rPr>
        <w:t>four</w:t>
      </w:r>
      <w:r>
        <w:rPr>
          <w:spacing w:val="-1"/>
          <w:sz w:val="16"/>
        </w:rPr>
        <w:t xml:space="preserve"> </w:t>
      </w:r>
      <w:r>
        <w:rPr>
          <w:sz w:val="16"/>
        </w:rPr>
        <w:t>‘priority</w:t>
      </w:r>
      <w:r>
        <w:rPr>
          <w:spacing w:val="-2"/>
          <w:sz w:val="16"/>
        </w:rPr>
        <w:t xml:space="preserve"> </w:t>
      </w:r>
      <w:r>
        <w:rPr>
          <w:sz w:val="16"/>
        </w:rPr>
        <w:t>areas’</w:t>
      </w:r>
      <w:r>
        <w:rPr>
          <w:spacing w:val="-7"/>
          <w:sz w:val="16"/>
        </w:rPr>
        <w:t xml:space="preserve"> </w:t>
      </w:r>
      <w:r>
        <w:rPr>
          <w:sz w:val="16"/>
        </w:rPr>
        <w:t>of</w:t>
      </w:r>
      <w:r>
        <w:rPr>
          <w:spacing w:val="-2"/>
          <w:sz w:val="16"/>
        </w:rPr>
        <w:t xml:space="preserve"> </w:t>
      </w:r>
      <w:r>
        <w:rPr>
          <w:sz w:val="16"/>
        </w:rPr>
        <w:t>the</w:t>
      </w:r>
      <w:r>
        <w:rPr>
          <w:spacing w:val="-1"/>
          <w:sz w:val="16"/>
        </w:rPr>
        <w:t xml:space="preserve"> </w:t>
      </w:r>
      <w:r>
        <w:rPr>
          <w:sz w:val="16"/>
        </w:rPr>
        <w:t>National</w:t>
      </w:r>
      <w:r>
        <w:rPr>
          <w:spacing w:val="-2"/>
          <w:sz w:val="16"/>
        </w:rPr>
        <w:t xml:space="preserve"> </w:t>
      </w:r>
      <w:r>
        <w:rPr>
          <w:sz w:val="16"/>
        </w:rPr>
        <w:t>Disability</w:t>
      </w:r>
      <w:r>
        <w:rPr>
          <w:spacing w:val="-2"/>
          <w:sz w:val="16"/>
        </w:rPr>
        <w:t xml:space="preserve"> </w:t>
      </w:r>
      <w:r>
        <w:rPr>
          <w:sz w:val="16"/>
        </w:rPr>
        <w:t>Strategy</w:t>
      </w:r>
      <w:r>
        <w:rPr>
          <w:spacing w:val="-1"/>
          <w:sz w:val="16"/>
        </w:rPr>
        <w:t xml:space="preserve"> </w:t>
      </w:r>
      <w:r>
        <w:rPr>
          <w:sz w:val="16"/>
        </w:rPr>
        <w:t>Second</w:t>
      </w:r>
      <w:r>
        <w:rPr>
          <w:spacing w:val="-2"/>
          <w:sz w:val="16"/>
        </w:rPr>
        <w:t xml:space="preserve"> </w:t>
      </w:r>
      <w:r>
        <w:rPr>
          <w:sz w:val="16"/>
        </w:rPr>
        <w:t>Implementation</w:t>
      </w:r>
      <w:r>
        <w:rPr>
          <w:spacing w:val="-1"/>
          <w:sz w:val="16"/>
        </w:rPr>
        <w:t xml:space="preserve"> </w:t>
      </w:r>
      <w:r>
        <w:rPr>
          <w:sz w:val="16"/>
        </w:rPr>
        <w:t>Plan</w:t>
      </w:r>
      <w:r>
        <w:rPr>
          <w:spacing w:val="-1"/>
          <w:sz w:val="16"/>
        </w:rPr>
        <w:t xml:space="preserve"> </w:t>
      </w:r>
      <w:r>
        <w:rPr>
          <w:sz w:val="16"/>
        </w:rPr>
        <w:t>(2015–2018)</w:t>
      </w:r>
      <w:r>
        <w:rPr>
          <w:spacing w:val="-1"/>
          <w:sz w:val="16"/>
        </w:rPr>
        <w:t xml:space="preserve"> </w:t>
      </w:r>
      <w:r>
        <w:rPr>
          <w:sz w:val="16"/>
        </w:rPr>
        <w:t>are:</w:t>
      </w:r>
      <w:r>
        <w:rPr>
          <w:spacing w:val="-2"/>
          <w:sz w:val="16"/>
        </w:rPr>
        <w:t xml:space="preserve"> </w:t>
      </w:r>
      <w:r>
        <w:rPr>
          <w:sz w:val="16"/>
        </w:rPr>
        <w:t>1)</w:t>
      </w:r>
      <w:r>
        <w:rPr>
          <w:spacing w:val="-2"/>
          <w:sz w:val="16"/>
        </w:rPr>
        <w:t xml:space="preserve"> </w:t>
      </w:r>
      <w:r>
        <w:rPr>
          <w:sz w:val="16"/>
        </w:rPr>
        <w:t>NDIS</w:t>
      </w:r>
      <w:r>
        <w:rPr>
          <w:spacing w:val="-2"/>
          <w:sz w:val="16"/>
        </w:rPr>
        <w:t xml:space="preserve"> </w:t>
      </w:r>
      <w:r>
        <w:rPr>
          <w:sz w:val="16"/>
        </w:rPr>
        <w:t>transition</w:t>
      </w:r>
      <w:r>
        <w:rPr>
          <w:spacing w:val="-1"/>
          <w:sz w:val="16"/>
        </w:rPr>
        <w:t xml:space="preserve"> </w:t>
      </w:r>
      <w:r>
        <w:rPr>
          <w:sz w:val="16"/>
        </w:rPr>
        <w:t>to</w:t>
      </w:r>
      <w:r>
        <w:rPr>
          <w:spacing w:val="-2"/>
          <w:sz w:val="16"/>
        </w:rPr>
        <w:t xml:space="preserve"> </w:t>
      </w:r>
      <w:r>
        <w:rPr>
          <w:sz w:val="16"/>
        </w:rPr>
        <w:t>full</w:t>
      </w:r>
      <w:r>
        <w:rPr>
          <w:spacing w:val="-1"/>
          <w:sz w:val="16"/>
        </w:rPr>
        <w:t xml:space="preserve"> </w:t>
      </w:r>
      <w:r>
        <w:rPr>
          <w:sz w:val="16"/>
        </w:rPr>
        <w:t>scheme;</w:t>
      </w:r>
    </w:p>
    <w:p w:rsidR="007A0A6C" w:rsidRDefault="00660E26">
      <w:pPr>
        <w:spacing w:before="16"/>
        <w:ind w:left="340"/>
        <w:rPr>
          <w:sz w:val="16"/>
        </w:rPr>
      </w:pPr>
      <w:r>
        <w:rPr>
          <w:sz w:val="16"/>
        </w:rPr>
        <w:t>2) improving employment outcomes for people with disability 3) improving outcomes for Aboriginal and Torres Strait Islander people with disability;</w:t>
      </w:r>
    </w:p>
    <w:p w:rsidR="007A0A6C" w:rsidRDefault="00660E26">
      <w:pPr>
        <w:spacing w:before="16" w:line="261" w:lineRule="auto"/>
        <w:ind w:left="340"/>
        <w:rPr>
          <w:sz w:val="16"/>
        </w:rPr>
      </w:pPr>
      <w:r>
        <w:rPr>
          <w:sz w:val="16"/>
        </w:rPr>
        <w:t>4) communication activities to promote the intent of the strategy throughout the community. It also prioritises the development of an ‘Australian Government Action Plan’ to drive implementation of the NDS across Commonwealth portfolios between 2015 and 2018. See: Department of Social Services (DSS)</w:t>
      </w:r>
      <w:r>
        <w:rPr>
          <w:color w:val="215E9E"/>
          <w:sz w:val="16"/>
        </w:rPr>
        <w:t xml:space="preserve"> </w:t>
      </w:r>
      <w:r>
        <w:rPr>
          <w:color w:val="215E9E"/>
          <w:sz w:val="16"/>
          <w:u w:val="single" w:color="215E9E"/>
        </w:rPr>
        <w:t>National Disability Strategy, Second Implementation Plan: Driving Action 2015–2018</w:t>
      </w:r>
      <w:r>
        <w:rPr>
          <w:sz w:val="16"/>
        </w:rPr>
        <w:t>.</w:t>
      </w:r>
    </w:p>
    <w:p w:rsidR="007A0A6C" w:rsidRDefault="00660E26">
      <w:pPr>
        <w:pStyle w:val="ListParagraph"/>
        <w:numPr>
          <w:ilvl w:val="0"/>
          <w:numId w:val="4"/>
        </w:numPr>
        <w:tabs>
          <w:tab w:val="left" w:pos="744"/>
          <w:tab w:val="left" w:pos="745"/>
        </w:tabs>
        <w:spacing w:before="99" w:line="261" w:lineRule="auto"/>
        <w:ind w:left="340" w:right="287" w:firstLine="0"/>
        <w:rPr>
          <w:sz w:val="16"/>
        </w:rPr>
      </w:pPr>
      <w:r>
        <w:rPr>
          <w:spacing w:val="-3"/>
          <w:sz w:val="16"/>
        </w:rPr>
        <w:t xml:space="preserve">Davy, </w:t>
      </w:r>
      <w:r>
        <w:rPr>
          <w:sz w:val="16"/>
        </w:rPr>
        <w:t>L., Fisher, K.R., Wehbe, A., Purcal, C., Robinson, S., Kayess, R., Santos, D. (2019).</w:t>
      </w:r>
      <w:r>
        <w:rPr>
          <w:color w:val="215E9E"/>
          <w:sz w:val="16"/>
        </w:rPr>
        <w:t xml:space="preserve"> </w:t>
      </w:r>
      <w:r>
        <w:rPr>
          <w:color w:val="215E9E"/>
          <w:sz w:val="16"/>
          <w:u w:val="single" w:color="215E9E"/>
        </w:rPr>
        <w:t>Review of implementation of the National Disability Strategy 2010-2020: Final report</w:t>
      </w:r>
      <w:r>
        <w:rPr>
          <w:sz w:val="16"/>
        </w:rPr>
        <w:t>. (SPRC Report [4/19). Sydney: Social Policy Research Centre, UNSW</w:t>
      </w:r>
      <w:r>
        <w:rPr>
          <w:spacing w:val="-13"/>
          <w:sz w:val="16"/>
        </w:rPr>
        <w:t xml:space="preserve"> </w:t>
      </w:r>
      <w:r>
        <w:rPr>
          <w:sz w:val="16"/>
        </w:rPr>
        <w:t>Sydney.</w:t>
      </w:r>
    </w:p>
    <w:p w:rsidR="007A0A6C" w:rsidRDefault="00660E26">
      <w:pPr>
        <w:pStyle w:val="ListParagraph"/>
        <w:numPr>
          <w:ilvl w:val="0"/>
          <w:numId w:val="4"/>
        </w:numPr>
        <w:tabs>
          <w:tab w:val="left" w:pos="742"/>
        </w:tabs>
        <w:spacing w:before="99" w:line="261" w:lineRule="auto"/>
        <w:ind w:left="340" w:right="472" w:firstLine="0"/>
        <w:jc w:val="both"/>
        <w:rPr>
          <w:sz w:val="16"/>
        </w:rPr>
      </w:pPr>
      <w:r>
        <w:rPr>
          <w:sz w:val="16"/>
        </w:rPr>
        <w:t>The</w:t>
      </w:r>
      <w:r>
        <w:rPr>
          <w:color w:val="215E9E"/>
          <w:sz w:val="16"/>
        </w:rPr>
        <w:t xml:space="preserve"> </w:t>
      </w:r>
      <w:r>
        <w:rPr>
          <w:color w:val="215E9E"/>
          <w:sz w:val="16"/>
          <w:u w:val="single" w:color="215E9E"/>
        </w:rPr>
        <w:t>Disability Standards for Accessible Public Transport 2002</w:t>
      </w:r>
      <w:r>
        <w:rPr>
          <w:color w:val="215E9E"/>
          <w:sz w:val="16"/>
        </w:rPr>
        <w:t xml:space="preserve"> </w:t>
      </w:r>
      <w:r>
        <w:rPr>
          <w:sz w:val="16"/>
        </w:rPr>
        <w:t>(Transport Standards) seek to provide certainty to providers and operators of public transport services and infrastructure about their responsibilities under the Disability Discrimination Act (DDA). These standards are subject to</w:t>
      </w:r>
      <w:r>
        <w:rPr>
          <w:spacing w:val="-3"/>
          <w:sz w:val="16"/>
        </w:rPr>
        <w:t xml:space="preserve"> </w:t>
      </w:r>
      <w:r>
        <w:rPr>
          <w:sz w:val="16"/>
        </w:rPr>
        <w:t>a</w:t>
      </w:r>
      <w:r>
        <w:rPr>
          <w:spacing w:val="-2"/>
          <w:sz w:val="16"/>
        </w:rPr>
        <w:t xml:space="preserve"> </w:t>
      </w:r>
      <w:r>
        <w:rPr>
          <w:sz w:val="16"/>
        </w:rPr>
        <w:t>statutory</w:t>
      </w:r>
      <w:r>
        <w:rPr>
          <w:spacing w:val="-2"/>
          <w:sz w:val="16"/>
        </w:rPr>
        <w:t xml:space="preserve"> </w:t>
      </w:r>
      <w:r>
        <w:rPr>
          <w:sz w:val="16"/>
        </w:rPr>
        <w:t>five-yearly</w:t>
      </w:r>
      <w:r>
        <w:rPr>
          <w:spacing w:val="-3"/>
          <w:sz w:val="16"/>
        </w:rPr>
        <w:t xml:space="preserve"> </w:t>
      </w:r>
      <w:r>
        <w:rPr>
          <w:sz w:val="16"/>
        </w:rPr>
        <w:t>review.</w:t>
      </w:r>
      <w:r>
        <w:rPr>
          <w:spacing w:val="-2"/>
          <w:sz w:val="16"/>
        </w:rPr>
        <w:t xml:space="preserve"> </w:t>
      </w:r>
      <w:r>
        <w:rPr>
          <w:sz w:val="16"/>
        </w:rPr>
        <w:t>Recommendations</w:t>
      </w:r>
      <w:r>
        <w:rPr>
          <w:spacing w:val="-2"/>
          <w:sz w:val="16"/>
        </w:rPr>
        <w:t xml:space="preserve"> </w:t>
      </w:r>
      <w:r>
        <w:rPr>
          <w:sz w:val="16"/>
        </w:rPr>
        <w:t>from</w:t>
      </w:r>
      <w:r>
        <w:rPr>
          <w:spacing w:val="-3"/>
          <w:sz w:val="16"/>
        </w:rPr>
        <w:t xml:space="preserve"> </w:t>
      </w:r>
      <w:r>
        <w:rPr>
          <w:sz w:val="16"/>
        </w:rPr>
        <w:t>these</w:t>
      </w:r>
      <w:r>
        <w:rPr>
          <w:spacing w:val="-2"/>
          <w:sz w:val="16"/>
        </w:rPr>
        <w:t xml:space="preserve"> </w:t>
      </w:r>
      <w:r>
        <w:rPr>
          <w:sz w:val="16"/>
        </w:rPr>
        <w:t>reviews</w:t>
      </w:r>
      <w:r>
        <w:rPr>
          <w:spacing w:val="-2"/>
          <w:sz w:val="16"/>
        </w:rPr>
        <w:t xml:space="preserve"> </w:t>
      </w:r>
      <w:r>
        <w:rPr>
          <w:sz w:val="16"/>
        </w:rPr>
        <w:t>are</w:t>
      </w:r>
      <w:r>
        <w:rPr>
          <w:spacing w:val="-3"/>
          <w:sz w:val="16"/>
        </w:rPr>
        <w:t xml:space="preserve"> </w:t>
      </w:r>
      <w:r>
        <w:rPr>
          <w:sz w:val="16"/>
        </w:rPr>
        <w:t>not</w:t>
      </w:r>
      <w:r>
        <w:rPr>
          <w:spacing w:val="-2"/>
          <w:sz w:val="16"/>
        </w:rPr>
        <w:t xml:space="preserve"> </w:t>
      </w:r>
      <w:r>
        <w:rPr>
          <w:sz w:val="16"/>
        </w:rPr>
        <w:t>implemented</w:t>
      </w:r>
      <w:r>
        <w:rPr>
          <w:spacing w:val="-3"/>
          <w:sz w:val="16"/>
        </w:rPr>
        <w:t xml:space="preserve"> </w:t>
      </w:r>
      <w:r>
        <w:rPr>
          <w:sz w:val="16"/>
        </w:rPr>
        <w:t>or</w:t>
      </w:r>
      <w:r>
        <w:rPr>
          <w:spacing w:val="-3"/>
          <w:sz w:val="16"/>
        </w:rPr>
        <w:t xml:space="preserve"> </w:t>
      </w:r>
      <w:r>
        <w:rPr>
          <w:sz w:val="16"/>
        </w:rPr>
        <w:t>consistent;</w:t>
      </w:r>
      <w:r>
        <w:rPr>
          <w:spacing w:val="-2"/>
          <w:sz w:val="16"/>
        </w:rPr>
        <w:t xml:space="preserve"> </w:t>
      </w:r>
      <w:r>
        <w:rPr>
          <w:sz w:val="16"/>
        </w:rPr>
        <w:t>there</w:t>
      </w:r>
      <w:r>
        <w:rPr>
          <w:spacing w:val="-2"/>
          <w:sz w:val="16"/>
        </w:rPr>
        <w:t xml:space="preserve"> </w:t>
      </w:r>
      <w:r>
        <w:rPr>
          <w:sz w:val="16"/>
        </w:rPr>
        <w:t>is</w:t>
      </w:r>
      <w:r>
        <w:rPr>
          <w:spacing w:val="-3"/>
          <w:sz w:val="16"/>
        </w:rPr>
        <w:t xml:space="preserve"> </w:t>
      </w:r>
      <w:r>
        <w:rPr>
          <w:sz w:val="16"/>
        </w:rPr>
        <w:t>no</w:t>
      </w:r>
      <w:r>
        <w:rPr>
          <w:spacing w:val="-3"/>
          <w:sz w:val="16"/>
        </w:rPr>
        <w:t xml:space="preserve"> </w:t>
      </w:r>
      <w:r>
        <w:rPr>
          <w:sz w:val="16"/>
        </w:rPr>
        <w:t>coordinated</w:t>
      </w:r>
      <w:r>
        <w:rPr>
          <w:spacing w:val="-2"/>
          <w:sz w:val="16"/>
        </w:rPr>
        <w:t xml:space="preserve"> </w:t>
      </w:r>
      <w:r>
        <w:rPr>
          <w:sz w:val="16"/>
        </w:rPr>
        <w:t>mechanism</w:t>
      </w:r>
      <w:r>
        <w:rPr>
          <w:spacing w:val="-2"/>
          <w:sz w:val="16"/>
        </w:rPr>
        <w:t xml:space="preserve"> </w:t>
      </w:r>
      <w:r>
        <w:rPr>
          <w:sz w:val="16"/>
        </w:rPr>
        <w:t>for monitoring the implementation of the standards; and there is a lack of enforcement of compliance with the</w:t>
      </w:r>
      <w:r>
        <w:rPr>
          <w:spacing w:val="-20"/>
          <w:sz w:val="16"/>
        </w:rPr>
        <w:t xml:space="preserve"> </w:t>
      </w:r>
      <w:r>
        <w:rPr>
          <w:sz w:val="16"/>
        </w:rPr>
        <w:t>standards</w:t>
      </w:r>
    </w:p>
    <w:p w:rsidR="007A0A6C" w:rsidRDefault="00660E26">
      <w:pPr>
        <w:pStyle w:val="ListParagraph"/>
        <w:numPr>
          <w:ilvl w:val="0"/>
          <w:numId w:val="4"/>
        </w:numPr>
        <w:tabs>
          <w:tab w:val="left" w:pos="744"/>
          <w:tab w:val="left" w:pos="745"/>
        </w:tabs>
        <w:spacing w:before="97"/>
        <w:ind w:left="744" w:hanging="404"/>
        <w:rPr>
          <w:sz w:val="16"/>
        </w:rPr>
      </w:pPr>
      <w:r>
        <w:rPr>
          <w:sz w:val="16"/>
        </w:rPr>
        <w:t>In</w:t>
      </w:r>
      <w:r>
        <w:rPr>
          <w:spacing w:val="-2"/>
          <w:sz w:val="16"/>
        </w:rPr>
        <w:t xml:space="preserve"> </w:t>
      </w:r>
      <w:r>
        <w:rPr>
          <w:sz w:val="16"/>
        </w:rPr>
        <w:t>the</w:t>
      </w:r>
      <w:r>
        <w:rPr>
          <w:spacing w:val="-1"/>
          <w:sz w:val="16"/>
        </w:rPr>
        <w:t xml:space="preserve"> </w:t>
      </w:r>
      <w:r>
        <w:rPr>
          <w:sz w:val="16"/>
        </w:rPr>
        <w:t>absence</w:t>
      </w:r>
      <w:r>
        <w:rPr>
          <w:spacing w:val="-2"/>
          <w:sz w:val="16"/>
        </w:rPr>
        <w:t xml:space="preserve"> </w:t>
      </w:r>
      <w:r>
        <w:rPr>
          <w:sz w:val="16"/>
        </w:rPr>
        <w:t>of</w:t>
      </w:r>
      <w:r>
        <w:rPr>
          <w:spacing w:val="-2"/>
          <w:sz w:val="16"/>
        </w:rPr>
        <w:t xml:space="preserve"> </w:t>
      </w:r>
      <w:r>
        <w:rPr>
          <w:sz w:val="16"/>
        </w:rPr>
        <w:t>a</w:t>
      </w:r>
      <w:r>
        <w:rPr>
          <w:spacing w:val="-2"/>
          <w:sz w:val="16"/>
        </w:rPr>
        <w:t xml:space="preserve"> </w:t>
      </w:r>
      <w:r>
        <w:rPr>
          <w:sz w:val="16"/>
        </w:rPr>
        <w:t>national</w:t>
      </w:r>
      <w:r>
        <w:rPr>
          <w:spacing w:val="-2"/>
          <w:sz w:val="16"/>
        </w:rPr>
        <w:t xml:space="preserve"> </w:t>
      </w:r>
      <w:r>
        <w:rPr>
          <w:sz w:val="16"/>
        </w:rPr>
        <w:t>reporting</w:t>
      </w:r>
      <w:r>
        <w:rPr>
          <w:spacing w:val="-1"/>
          <w:sz w:val="16"/>
        </w:rPr>
        <w:t xml:space="preserve"> </w:t>
      </w:r>
      <w:r>
        <w:rPr>
          <w:sz w:val="16"/>
        </w:rPr>
        <w:t>framework,</w:t>
      </w:r>
      <w:r>
        <w:rPr>
          <w:spacing w:val="-1"/>
          <w:sz w:val="16"/>
        </w:rPr>
        <w:t xml:space="preserve"> </w:t>
      </w:r>
      <w:r>
        <w:rPr>
          <w:sz w:val="16"/>
        </w:rPr>
        <w:t>it</w:t>
      </w:r>
      <w:r>
        <w:rPr>
          <w:spacing w:val="-2"/>
          <w:sz w:val="16"/>
        </w:rPr>
        <w:t xml:space="preserve"> </w:t>
      </w:r>
      <w:r>
        <w:rPr>
          <w:sz w:val="16"/>
        </w:rPr>
        <w:t>is</w:t>
      </w:r>
      <w:r>
        <w:rPr>
          <w:spacing w:val="-3"/>
          <w:sz w:val="16"/>
        </w:rPr>
        <w:t xml:space="preserve"> </w:t>
      </w:r>
      <w:r>
        <w:rPr>
          <w:sz w:val="16"/>
        </w:rPr>
        <w:t>difficult</w:t>
      </w:r>
      <w:r>
        <w:rPr>
          <w:spacing w:val="-2"/>
          <w:sz w:val="16"/>
        </w:rPr>
        <w:t xml:space="preserve"> </w:t>
      </w:r>
      <w:r>
        <w:rPr>
          <w:sz w:val="16"/>
        </w:rPr>
        <w:t>to</w:t>
      </w:r>
      <w:r>
        <w:rPr>
          <w:spacing w:val="-1"/>
          <w:sz w:val="16"/>
        </w:rPr>
        <w:t xml:space="preserve"> </w:t>
      </w:r>
      <w:r>
        <w:rPr>
          <w:sz w:val="16"/>
        </w:rPr>
        <w:t>monitor</w:t>
      </w:r>
      <w:r>
        <w:rPr>
          <w:spacing w:val="-1"/>
          <w:sz w:val="16"/>
        </w:rPr>
        <w:t xml:space="preserve"> </w:t>
      </w:r>
      <w:r>
        <w:rPr>
          <w:sz w:val="16"/>
        </w:rPr>
        <w:t>the</w:t>
      </w:r>
      <w:r>
        <w:rPr>
          <w:spacing w:val="-1"/>
          <w:sz w:val="16"/>
        </w:rPr>
        <w:t xml:space="preserve"> </w:t>
      </w:r>
      <w:r>
        <w:rPr>
          <w:sz w:val="16"/>
        </w:rPr>
        <w:t>effectiveness</w:t>
      </w:r>
      <w:r>
        <w:rPr>
          <w:spacing w:val="-1"/>
          <w:sz w:val="16"/>
        </w:rPr>
        <w:t xml:space="preserve"> </w:t>
      </w:r>
      <w:r>
        <w:rPr>
          <w:sz w:val="16"/>
        </w:rPr>
        <w:t>of</w:t>
      </w:r>
      <w:r>
        <w:rPr>
          <w:spacing w:val="-2"/>
          <w:sz w:val="16"/>
        </w:rPr>
        <w:t xml:space="preserve"> </w:t>
      </w:r>
      <w:r>
        <w:rPr>
          <w:sz w:val="16"/>
        </w:rPr>
        <w:t>the</w:t>
      </w:r>
      <w:r>
        <w:rPr>
          <w:spacing w:val="-1"/>
          <w:sz w:val="16"/>
        </w:rPr>
        <w:t xml:space="preserve"> </w:t>
      </w:r>
      <w:r>
        <w:rPr>
          <w:sz w:val="16"/>
        </w:rPr>
        <w:t>Standards</w:t>
      </w:r>
      <w:r>
        <w:rPr>
          <w:spacing w:val="-1"/>
          <w:sz w:val="16"/>
        </w:rPr>
        <w:t xml:space="preserve"> </w:t>
      </w:r>
      <w:r>
        <w:rPr>
          <w:sz w:val="16"/>
        </w:rPr>
        <w:t>and</w:t>
      </w:r>
      <w:r>
        <w:rPr>
          <w:spacing w:val="-3"/>
          <w:sz w:val="16"/>
        </w:rPr>
        <w:t xml:space="preserve"> </w:t>
      </w:r>
      <w:r>
        <w:rPr>
          <w:sz w:val="16"/>
        </w:rPr>
        <w:t>enforce</w:t>
      </w:r>
      <w:r>
        <w:rPr>
          <w:spacing w:val="-2"/>
          <w:sz w:val="16"/>
        </w:rPr>
        <w:t xml:space="preserve"> </w:t>
      </w:r>
      <w:r>
        <w:rPr>
          <w:sz w:val="16"/>
        </w:rPr>
        <w:t>compliance</w:t>
      </w:r>
      <w:r>
        <w:rPr>
          <w:spacing w:val="-1"/>
          <w:sz w:val="16"/>
        </w:rPr>
        <w:t xml:space="preserve"> </w:t>
      </w:r>
      <w:r>
        <w:rPr>
          <w:sz w:val="16"/>
        </w:rPr>
        <w:t>targets.</w:t>
      </w:r>
    </w:p>
    <w:p w:rsidR="007A0A6C" w:rsidRDefault="00660E26">
      <w:pPr>
        <w:pStyle w:val="ListParagraph"/>
        <w:numPr>
          <w:ilvl w:val="0"/>
          <w:numId w:val="4"/>
        </w:numPr>
        <w:tabs>
          <w:tab w:val="left" w:pos="744"/>
          <w:tab w:val="left" w:pos="745"/>
        </w:tabs>
        <w:spacing w:line="261" w:lineRule="auto"/>
        <w:ind w:left="340" w:right="545" w:firstLine="0"/>
        <w:rPr>
          <w:sz w:val="16"/>
        </w:rPr>
      </w:pPr>
      <w:r>
        <w:rPr>
          <w:sz w:val="16"/>
        </w:rPr>
        <w:t>People with disability are often forced to shoulder the financial burden of inaccessible public transport by using taxis or expensive private transport options. Changes to the mobility allowance under the NDIS have exacerbated this burden. See: Senate Standing Committee on Community Affairs (29 November 2017)</w:t>
      </w:r>
      <w:r>
        <w:rPr>
          <w:color w:val="215E9E"/>
          <w:sz w:val="16"/>
        </w:rPr>
        <w:t xml:space="preserve"> </w:t>
      </w:r>
      <w:r>
        <w:rPr>
          <w:color w:val="215E9E"/>
          <w:sz w:val="16"/>
          <w:u w:val="single" w:color="215E9E"/>
        </w:rPr>
        <w:t>Delivery of outcomes under the National Disability Strategy 2010-2020 to build inclusive and accessible communities</w:t>
      </w:r>
      <w:r>
        <w:rPr>
          <w:sz w:val="16"/>
        </w:rPr>
        <w:t>. Commonwealth of</w:t>
      </w:r>
      <w:r>
        <w:rPr>
          <w:spacing w:val="-11"/>
          <w:sz w:val="16"/>
        </w:rPr>
        <w:t xml:space="preserve"> </w:t>
      </w:r>
      <w:r>
        <w:rPr>
          <w:sz w:val="16"/>
        </w:rPr>
        <w:t>Australia.</w:t>
      </w:r>
    </w:p>
    <w:p w:rsidR="007A0A6C" w:rsidRDefault="00660E26">
      <w:pPr>
        <w:pStyle w:val="ListParagraph"/>
        <w:numPr>
          <w:ilvl w:val="0"/>
          <w:numId w:val="4"/>
        </w:numPr>
        <w:tabs>
          <w:tab w:val="left" w:pos="735"/>
          <w:tab w:val="left" w:pos="736"/>
        </w:tabs>
        <w:spacing w:before="98" w:line="261" w:lineRule="auto"/>
        <w:ind w:left="340" w:right="610" w:firstLine="0"/>
        <w:rPr>
          <w:sz w:val="16"/>
        </w:rPr>
      </w:pPr>
      <w:r>
        <w:rPr>
          <w:sz w:val="16"/>
        </w:rPr>
        <w:t>Australian</w:t>
      </w:r>
      <w:r>
        <w:rPr>
          <w:spacing w:val="-4"/>
          <w:sz w:val="16"/>
        </w:rPr>
        <w:t xml:space="preserve"> </w:t>
      </w:r>
      <w:r>
        <w:rPr>
          <w:sz w:val="16"/>
        </w:rPr>
        <w:t>Government</w:t>
      </w:r>
      <w:r>
        <w:rPr>
          <w:spacing w:val="-3"/>
          <w:sz w:val="16"/>
        </w:rPr>
        <w:t xml:space="preserve"> </w:t>
      </w:r>
      <w:r>
        <w:rPr>
          <w:sz w:val="16"/>
        </w:rPr>
        <w:t>(April</w:t>
      </w:r>
      <w:r>
        <w:rPr>
          <w:spacing w:val="-3"/>
          <w:sz w:val="16"/>
        </w:rPr>
        <w:t xml:space="preserve"> </w:t>
      </w:r>
      <w:r>
        <w:rPr>
          <w:sz w:val="16"/>
        </w:rPr>
        <w:t>2016)</w:t>
      </w:r>
      <w:r>
        <w:rPr>
          <w:color w:val="215E9E"/>
          <w:spacing w:val="-4"/>
          <w:sz w:val="16"/>
        </w:rPr>
        <w:t xml:space="preserve"> </w:t>
      </w:r>
      <w:r>
        <w:rPr>
          <w:color w:val="215E9E"/>
          <w:sz w:val="16"/>
          <w:u w:val="single" w:color="215E9E"/>
        </w:rPr>
        <w:t>Review</w:t>
      </w:r>
      <w:r>
        <w:rPr>
          <w:color w:val="215E9E"/>
          <w:spacing w:val="-4"/>
          <w:sz w:val="16"/>
          <w:u w:val="single" w:color="215E9E"/>
        </w:rPr>
        <w:t xml:space="preserve"> </w:t>
      </w:r>
      <w:r>
        <w:rPr>
          <w:color w:val="215E9E"/>
          <w:sz w:val="16"/>
          <w:u w:val="single" w:color="215E9E"/>
        </w:rPr>
        <w:t>of</w:t>
      </w:r>
      <w:r>
        <w:rPr>
          <w:color w:val="215E9E"/>
          <w:spacing w:val="-4"/>
          <w:sz w:val="16"/>
          <w:u w:val="single" w:color="215E9E"/>
        </w:rPr>
        <w:t xml:space="preserve"> </w:t>
      </w:r>
      <w:r>
        <w:rPr>
          <w:color w:val="215E9E"/>
          <w:sz w:val="16"/>
          <w:u w:val="single" w:color="215E9E"/>
        </w:rPr>
        <w:t>the</w:t>
      </w:r>
      <w:r>
        <w:rPr>
          <w:color w:val="215E9E"/>
          <w:spacing w:val="-3"/>
          <w:sz w:val="16"/>
          <w:u w:val="single" w:color="215E9E"/>
        </w:rPr>
        <w:t xml:space="preserve"> </w:t>
      </w:r>
      <w:r>
        <w:rPr>
          <w:color w:val="215E9E"/>
          <w:sz w:val="16"/>
          <w:u w:val="single" w:color="215E9E"/>
        </w:rPr>
        <w:t>Disability</w:t>
      </w:r>
      <w:r>
        <w:rPr>
          <w:color w:val="215E9E"/>
          <w:spacing w:val="-4"/>
          <w:sz w:val="16"/>
          <w:u w:val="single" w:color="215E9E"/>
        </w:rPr>
        <w:t xml:space="preserve"> </w:t>
      </w:r>
      <w:r>
        <w:rPr>
          <w:color w:val="215E9E"/>
          <w:sz w:val="16"/>
          <w:u w:val="single" w:color="215E9E"/>
        </w:rPr>
        <w:t>(Access</w:t>
      </w:r>
      <w:r>
        <w:rPr>
          <w:color w:val="215E9E"/>
          <w:spacing w:val="-3"/>
          <w:sz w:val="16"/>
          <w:u w:val="single" w:color="215E9E"/>
        </w:rPr>
        <w:t xml:space="preserve"> </w:t>
      </w:r>
      <w:r>
        <w:rPr>
          <w:color w:val="215E9E"/>
          <w:sz w:val="16"/>
          <w:u w:val="single" w:color="215E9E"/>
        </w:rPr>
        <w:t>to</w:t>
      </w:r>
      <w:r>
        <w:rPr>
          <w:color w:val="215E9E"/>
          <w:spacing w:val="-3"/>
          <w:sz w:val="16"/>
          <w:u w:val="single" w:color="215E9E"/>
        </w:rPr>
        <w:t xml:space="preserve"> </w:t>
      </w:r>
      <w:r>
        <w:rPr>
          <w:color w:val="215E9E"/>
          <w:sz w:val="16"/>
          <w:u w:val="single" w:color="215E9E"/>
        </w:rPr>
        <w:t>Premises</w:t>
      </w:r>
      <w:r>
        <w:rPr>
          <w:color w:val="215E9E"/>
          <w:spacing w:val="-3"/>
          <w:sz w:val="16"/>
          <w:u w:val="single" w:color="215E9E"/>
        </w:rPr>
        <w:t xml:space="preserve"> </w:t>
      </w:r>
      <w:r>
        <w:rPr>
          <w:color w:val="215E9E"/>
          <w:sz w:val="16"/>
          <w:u w:val="single" w:color="215E9E"/>
        </w:rPr>
        <w:t>–Buildings)</w:t>
      </w:r>
      <w:r>
        <w:rPr>
          <w:color w:val="215E9E"/>
          <w:spacing w:val="-4"/>
          <w:sz w:val="16"/>
          <w:u w:val="single" w:color="215E9E"/>
        </w:rPr>
        <w:t xml:space="preserve"> </w:t>
      </w:r>
      <w:r>
        <w:rPr>
          <w:color w:val="215E9E"/>
          <w:sz w:val="16"/>
          <w:u w:val="single" w:color="215E9E"/>
        </w:rPr>
        <w:t>Standards</w:t>
      </w:r>
      <w:r>
        <w:rPr>
          <w:color w:val="215E9E"/>
          <w:spacing w:val="-3"/>
          <w:sz w:val="16"/>
          <w:u w:val="single" w:color="215E9E"/>
        </w:rPr>
        <w:t xml:space="preserve"> </w:t>
      </w:r>
      <w:r>
        <w:rPr>
          <w:color w:val="215E9E"/>
          <w:sz w:val="16"/>
          <w:u w:val="single" w:color="215E9E"/>
        </w:rPr>
        <w:t>2010</w:t>
      </w:r>
      <w:r>
        <w:rPr>
          <w:color w:val="215E9E"/>
          <w:spacing w:val="-4"/>
          <w:sz w:val="16"/>
          <w:u w:val="single" w:color="215E9E"/>
        </w:rPr>
        <w:t xml:space="preserve"> </w:t>
      </w:r>
      <w:r>
        <w:rPr>
          <w:color w:val="215E9E"/>
          <w:sz w:val="16"/>
          <w:u w:val="single" w:color="215E9E"/>
        </w:rPr>
        <w:t>First</w:t>
      </w:r>
      <w:r>
        <w:rPr>
          <w:color w:val="215E9E"/>
          <w:spacing w:val="-3"/>
          <w:sz w:val="16"/>
          <w:u w:val="single" w:color="215E9E"/>
        </w:rPr>
        <w:t xml:space="preserve"> </w:t>
      </w:r>
      <w:r>
        <w:rPr>
          <w:color w:val="215E9E"/>
          <w:sz w:val="16"/>
          <w:u w:val="single" w:color="215E9E"/>
        </w:rPr>
        <w:t>Review</w:t>
      </w:r>
      <w:r>
        <w:rPr>
          <w:sz w:val="16"/>
        </w:rPr>
        <w:t>,</w:t>
      </w:r>
      <w:r>
        <w:rPr>
          <w:spacing w:val="-3"/>
          <w:sz w:val="16"/>
        </w:rPr>
        <w:t xml:space="preserve"> </w:t>
      </w:r>
      <w:r>
        <w:rPr>
          <w:sz w:val="16"/>
        </w:rPr>
        <w:t>Department</w:t>
      </w:r>
      <w:r>
        <w:rPr>
          <w:spacing w:val="-4"/>
          <w:sz w:val="16"/>
        </w:rPr>
        <w:t xml:space="preserve"> </w:t>
      </w:r>
      <w:r>
        <w:rPr>
          <w:sz w:val="16"/>
        </w:rPr>
        <w:t>of Industry, Innovation and</w:t>
      </w:r>
      <w:r>
        <w:rPr>
          <w:spacing w:val="-2"/>
          <w:sz w:val="16"/>
        </w:rPr>
        <w:t xml:space="preserve"> </w:t>
      </w:r>
      <w:r>
        <w:rPr>
          <w:sz w:val="16"/>
        </w:rPr>
        <w:t>Science.</w:t>
      </w:r>
    </w:p>
    <w:p w:rsidR="007A0A6C" w:rsidRDefault="00660E26">
      <w:pPr>
        <w:pStyle w:val="ListParagraph"/>
        <w:numPr>
          <w:ilvl w:val="0"/>
          <w:numId w:val="4"/>
        </w:numPr>
        <w:tabs>
          <w:tab w:val="left" w:pos="744"/>
          <w:tab w:val="left" w:pos="745"/>
        </w:tabs>
        <w:spacing w:before="99" w:line="261" w:lineRule="auto"/>
        <w:ind w:left="340" w:right="596" w:firstLine="0"/>
        <w:rPr>
          <w:sz w:val="16"/>
        </w:rPr>
      </w:pPr>
      <w:r>
        <w:rPr>
          <w:sz w:val="16"/>
        </w:rPr>
        <w:t>Senate</w:t>
      </w:r>
      <w:r>
        <w:rPr>
          <w:spacing w:val="-4"/>
          <w:sz w:val="16"/>
        </w:rPr>
        <w:t xml:space="preserve"> </w:t>
      </w:r>
      <w:r>
        <w:rPr>
          <w:sz w:val="16"/>
        </w:rPr>
        <w:t>Standing</w:t>
      </w:r>
      <w:r>
        <w:rPr>
          <w:spacing w:val="-4"/>
          <w:sz w:val="16"/>
        </w:rPr>
        <w:t xml:space="preserve"> </w:t>
      </w:r>
      <w:r>
        <w:rPr>
          <w:sz w:val="16"/>
        </w:rPr>
        <w:t>Committee</w:t>
      </w:r>
      <w:r>
        <w:rPr>
          <w:spacing w:val="-5"/>
          <w:sz w:val="16"/>
        </w:rPr>
        <w:t xml:space="preserve"> </w:t>
      </w:r>
      <w:r>
        <w:rPr>
          <w:sz w:val="16"/>
        </w:rPr>
        <w:t>on</w:t>
      </w:r>
      <w:r>
        <w:rPr>
          <w:spacing w:val="-5"/>
          <w:sz w:val="16"/>
        </w:rPr>
        <w:t xml:space="preserve"> </w:t>
      </w:r>
      <w:r>
        <w:rPr>
          <w:sz w:val="16"/>
        </w:rPr>
        <w:t>Community</w:t>
      </w:r>
      <w:r>
        <w:rPr>
          <w:spacing w:val="-12"/>
          <w:sz w:val="16"/>
        </w:rPr>
        <w:t xml:space="preserve"> </w:t>
      </w:r>
      <w:r>
        <w:rPr>
          <w:sz w:val="16"/>
        </w:rPr>
        <w:t>Affairs</w:t>
      </w:r>
      <w:r>
        <w:rPr>
          <w:spacing w:val="-4"/>
          <w:sz w:val="16"/>
        </w:rPr>
        <w:t xml:space="preserve"> </w:t>
      </w:r>
      <w:r>
        <w:rPr>
          <w:sz w:val="16"/>
        </w:rPr>
        <w:t>(29</w:t>
      </w:r>
      <w:r>
        <w:rPr>
          <w:spacing w:val="-3"/>
          <w:sz w:val="16"/>
        </w:rPr>
        <w:t xml:space="preserve"> </w:t>
      </w:r>
      <w:r>
        <w:rPr>
          <w:sz w:val="16"/>
        </w:rPr>
        <w:t>November</w:t>
      </w:r>
      <w:r>
        <w:rPr>
          <w:spacing w:val="-5"/>
          <w:sz w:val="16"/>
        </w:rPr>
        <w:t xml:space="preserve"> </w:t>
      </w:r>
      <w:r>
        <w:rPr>
          <w:sz w:val="16"/>
        </w:rPr>
        <w:t>2017)</w:t>
      </w:r>
      <w:r>
        <w:rPr>
          <w:color w:val="215E9E"/>
          <w:spacing w:val="-4"/>
          <w:sz w:val="16"/>
        </w:rPr>
        <w:t xml:space="preserve"> </w:t>
      </w:r>
      <w:r>
        <w:rPr>
          <w:color w:val="215E9E"/>
          <w:sz w:val="16"/>
          <w:u w:val="single" w:color="215E9E"/>
        </w:rPr>
        <w:t>Delivery</w:t>
      </w:r>
      <w:r>
        <w:rPr>
          <w:color w:val="215E9E"/>
          <w:spacing w:val="-5"/>
          <w:sz w:val="16"/>
          <w:u w:val="single" w:color="215E9E"/>
        </w:rPr>
        <w:t xml:space="preserve"> </w:t>
      </w:r>
      <w:r>
        <w:rPr>
          <w:color w:val="215E9E"/>
          <w:sz w:val="16"/>
          <w:u w:val="single" w:color="215E9E"/>
        </w:rPr>
        <w:t>of</w:t>
      </w:r>
      <w:r>
        <w:rPr>
          <w:color w:val="215E9E"/>
          <w:spacing w:val="-5"/>
          <w:sz w:val="16"/>
          <w:u w:val="single" w:color="215E9E"/>
        </w:rPr>
        <w:t xml:space="preserve"> </w:t>
      </w:r>
      <w:r>
        <w:rPr>
          <w:color w:val="215E9E"/>
          <w:sz w:val="16"/>
          <w:u w:val="single" w:color="215E9E"/>
        </w:rPr>
        <w:t>outcomes</w:t>
      </w:r>
      <w:r>
        <w:rPr>
          <w:color w:val="215E9E"/>
          <w:spacing w:val="-4"/>
          <w:sz w:val="16"/>
          <w:u w:val="single" w:color="215E9E"/>
        </w:rPr>
        <w:t xml:space="preserve"> </w:t>
      </w:r>
      <w:r>
        <w:rPr>
          <w:color w:val="215E9E"/>
          <w:sz w:val="16"/>
          <w:u w:val="single" w:color="215E9E"/>
        </w:rPr>
        <w:t>under</w:t>
      </w:r>
      <w:r>
        <w:rPr>
          <w:color w:val="215E9E"/>
          <w:spacing w:val="-5"/>
          <w:sz w:val="16"/>
          <w:u w:val="single" w:color="215E9E"/>
        </w:rPr>
        <w:t xml:space="preserve"> </w:t>
      </w:r>
      <w:r>
        <w:rPr>
          <w:color w:val="215E9E"/>
          <w:sz w:val="16"/>
          <w:u w:val="single" w:color="215E9E"/>
        </w:rPr>
        <w:t>the</w:t>
      </w:r>
      <w:r>
        <w:rPr>
          <w:color w:val="215E9E"/>
          <w:spacing w:val="-4"/>
          <w:sz w:val="16"/>
          <w:u w:val="single" w:color="215E9E"/>
        </w:rPr>
        <w:t xml:space="preserve"> </w:t>
      </w:r>
      <w:r>
        <w:rPr>
          <w:color w:val="215E9E"/>
          <w:sz w:val="16"/>
          <w:u w:val="single" w:color="215E9E"/>
        </w:rPr>
        <w:t>National</w:t>
      </w:r>
      <w:r>
        <w:rPr>
          <w:color w:val="215E9E"/>
          <w:spacing w:val="-5"/>
          <w:sz w:val="16"/>
          <w:u w:val="single" w:color="215E9E"/>
        </w:rPr>
        <w:t xml:space="preserve"> </w:t>
      </w:r>
      <w:r>
        <w:rPr>
          <w:color w:val="215E9E"/>
          <w:sz w:val="16"/>
          <w:u w:val="single" w:color="215E9E"/>
        </w:rPr>
        <w:t>Disability</w:t>
      </w:r>
      <w:r>
        <w:rPr>
          <w:color w:val="215E9E"/>
          <w:spacing w:val="-4"/>
          <w:sz w:val="16"/>
          <w:u w:val="single" w:color="215E9E"/>
        </w:rPr>
        <w:t xml:space="preserve"> </w:t>
      </w:r>
      <w:r>
        <w:rPr>
          <w:color w:val="215E9E"/>
          <w:sz w:val="16"/>
          <w:u w:val="single" w:color="215E9E"/>
        </w:rPr>
        <w:t>Strategy</w:t>
      </w:r>
      <w:r>
        <w:rPr>
          <w:color w:val="215E9E"/>
          <w:spacing w:val="-4"/>
          <w:sz w:val="16"/>
          <w:u w:val="single" w:color="215E9E"/>
        </w:rPr>
        <w:t xml:space="preserve"> </w:t>
      </w:r>
      <w:r>
        <w:rPr>
          <w:color w:val="215E9E"/>
          <w:sz w:val="16"/>
          <w:u w:val="single" w:color="215E9E"/>
        </w:rPr>
        <w:t>2010- 2020 to build inclusive and accessible communities</w:t>
      </w:r>
      <w:r>
        <w:rPr>
          <w:sz w:val="16"/>
        </w:rPr>
        <w:t>. Commonwealth of</w:t>
      </w:r>
      <w:r>
        <w:rPr>
          <w:spacing w:val="-18"/>
          <w:sz w:val="16"/>
        </w:rPr>
        <w:t xml:space="preserve"> </w:t>
      </w:r>
      <w:r>
        <w:rPr>
          <w:sz w:val="16"/>
        </w:rPr>
        <w:t>Australia.</w:t>
      </w:r>
    </w:p>
    <w:p w:rsidR="007A0A6C" w:rsidRDefault="00660E26">
      <w:pPr>
        <w:pStyle w:val="ListParagraph"/>
        <w:numPr>
          <w:ilvl w:val="0"/>
          <w:numId w:val="4"/>
        </w:numPr>
        <w:tabs>
          <w:tab w:val="left" w:pos="741"/>
          <w:tab w:val="left" w:pos="742"/>
        </w:tabs>
        <w:spacing w:before="99"/>
        <w:ind w:left="741" w:hanging="401"/>
        <w:rPr>
          <w:sz w:val="16"/>
        </w:rPr>
      </w:pPr>
      <w:r>
        <w:rPr>
          <w:sz w:val="16"/>
        </w:rPr>
        <w:t>The</w:t>
      </w:r>
      <w:r>
        <w:rPr>
          <w:color w:val="215E9E"/>
          <w:sz w:val="16"/>
        </w:rPr>
        <w:t xml:space="preserve"> </w:t>
      </w:r>
      <w:r>
        <w:rPr>
          <w:color w:val="215E9E"/>
          <w:sz w:val="16"/>
          <w:u w:val="single" w:color="215E9E"/>
        </w:rPr>
        <w:t>National Standards for Disability Services</w:t>
      </w:r>
      <w:r>
        <w:rPr>
          <w:color w:val="215E9E"/>
          <w:sz w:val="16"/>
        </w:rPr>
        <w:t xml:space="preserve"> </w:t>
      </w:r>
      <w:r>
        <w:rPr>
          <w:sz w:val="16"/>
        </w:rPr>
        <w:t>(2013) cover Disability Advocacy and Employment</w:t>
      </w:r>
      <w:r>
        <w:rPr>
          <w:spacing w:val="-18"/>
          <w:sz w:val="16"/>
        </w:rPr>
        <w:t xml:space="preserve"> </w:t>
      </w:r>
      <w:r>
        <w:rPr>
          <w:sz w:val="16"/>
        </w:rPr>
        <w:t>Services.</w:t>
      </w:r>
    </w:p>
    <w:p w:rsidR="007A0A6C" w:rsidRDefault="00660E26">
      <w:pPr>
        <w:pStyle w:val="ListParagraph"/>
        <w:numPr>
          <w:ilvl w:val="0"/>
          <w:numId w:val="4"/>
        </w:numPr>
        <w:tabs>
          <w:tab w:val="left" w:pos="735"/>
          <w:tab w:val="left" w:pos="736"/>
        </w:tabs>
        <w:ind w:left="735" w:hanging="395"/>
        <w:rPr>
          <w:sz w:val="16"/>
        </w:rPr>
      </w:pPr>
      <w:r>
        <w:rPr>
          <w:sz w:val="16"/>
        </w:rPr>
        <w:t>Australian Government,</w:t>
      </w:r>
      <w:r>
        <w:rPr>
          <w:color w:val="215E9E"/>
          <w:sz w:val="16"/>
        </w:rPr>
        <w:t xml:space="preserve"> </w:t>
      </w:r>
      <w:r>
        <w:rPr>
          <w:color w:val="215E9E"/>
          <w:sz w:val="16"/>
          <w:u w:val="single" w:color="215E9E"/>
        </w:rPr>
        <w:t>Quality Assurance for Disability Advocacy and Employment Services</w:t>
      </w:r>
      <w:r>
        <w:rPr>
          <w:sz w:val="16"/>
        </w:rPr>
        <w:t>. Department of Social</w:t>
      </w:r>
      <w:r>
        <w:rPr>
          <w:spacing w:val="-28"/>
          <w:sz w:val="16"/>
        </w:rPr>
        <w:t xml:space="preserve"> </w:t>
      </w:r>
      <w:r>
        <w:rPr>
          <w:sz w:val="16"/>
        </w:rPr>
        <w:t>Services</w:t>
      </w:r>
    </w:p>
    <w:p w:rsidR="007A0A6C" w:rsidRDefault="00660E26">
      <w:pPr>
        <w:pStyle w:val="ListParagraph"/>
        <w:numPr>
          <w:ilvl w:val="0"/>
          <w:numId w:val="4"/>
        </w:numPr>
        <w:tabs>
          <w:tab w:val="left" w:pos="744"/>
          <w:tab w:val="left" w:pos="745"/>
        </w:tabs>
        <w:ind w:left="744" w:hanging="404"/>
        <w:rPr>
          <w:sz w:val="16"/>
        </w:rPr>
      </w:pPr>
      <w:r>
        <w:rPr>
          <w:sz w:val="16"/>
        </w:rPr>
        <w:t>Disabled People’s Organisations Australia, “Building a Disability Inclusive Australia”,</w:t>
      </w:r>
      <w:r>
        <w:rPr>
          <w:color w:val="215E9E"/>
          <w:sz w:val="16"/>
        </w:rPr>
        <w:t xml:space="preserve"> </w:t>
      </w:r>
      <w:r>
        <w:rPr>
          <w:color w:val="215E9E"/>
          <w:sz w:val="16"/>
          <w:u w:val="single" w:color="215E9E"/>
        </w:rPr>
        <w:t>Election Policy Platform</w:t>
      </w:r>
      <w:r>
        <w:rPr>
          <w:color w:val="215E9E"/>
          <w:spacing w:val="-28"/>
          <w:sz w:val="16"/>
          <w:u w:val="single" w:color="215E9E"/>
        </w:rPr>
        <w:t xml:space="preserve"> </w:t>
      </w:r>
      <w:r>
        <w:rPr>
          <w:color w:val="215E9E"/>
          <w:sz w:val="16"/>
          <w:u w:val="single" w:color="215E9E"/>
        </w:rPr>
        <w:t>2016</w:t>
      </w:r>
    </w:p>
    <w:p w:rsidR="007A0A6C" w:rsidRDefault="00660E26">
      <w:pPr>
        <w:pStyle w:val="ListParagraph"/>
        <w:numPr>
          <w:ilvl w:val="0"/>
          <w:numId w:val="4"/>
        </w:numPr>
        <w:tabs>
          <w:tab w:val="left" w:pos="744"/>
          <w:tab w:val="left" w:pos="745"/>
        </w:tabs>
        <w:spacing w:line="261" w:lineRule="auto"/>
        <w:ind w:left="340" w:right="596" w:firstLine="0"/>
        <w:rPr>
          <w:sz w:val="16"/>
        </w:rPr>
      </w:pPr>
      <w:r>
        <w:rPr>
          <w:sz w:val="16"/>
        </w:rPr>
        <w:t>Senate</w:t>
      </w:r>
      <w:r>
        <w:rPr>
          <w:spacing w:val="-4"/>
          <w:sz w:val="16"/>
        </w:rPr>
        <w:t xml:space="preserve"> </w:t>
      </w:r>
      <w:r>
        <w:rPr>
          <w:sz w:val="16"/>
        </w:rPr>
        <w:t>Standing</w:t>
      </w:r>
      <w:r>
        <w:rPr>
          <w:spacing w:val="-4"/>
          <w:sz w:val="16"/>
        </w:rPr>
        <w:t xml:space="preserve"> </w:t>
      </w:r>
      <w:r>
        <w:rPr>
          <w:sz w:val="16"/>
        </w:rPr>
        <w:t>Committee</w:t>
      </w:r>
      <w:r>
        <w:rPr>
          <w:spacing w:val="-5"/>
          <w:sz w:val="16"/>
        </w:rPr>
        <w:t xml:space="preserve"> </w:t>
      </w:r>
      <w:r>
        <w:rPr>
          <w:sz w:val="16"/>
        </w:rPr>
        <w:t>on</w:t>
      </w:r>
      <w:r>
        <w:rPr>
          <w:spacing w:val="-5"/>
          <w:sz w:val="16"/>
        </w:rPr>
        <w:t xml:space="preserve"> </w:t>
      </w:r>
      <w:r>
        <w:rPr>
          <w:sz w:val="16"/>
        </w:rPr>
        <w:t>Community</w:t>
      </w:r>
      <w:r>
        <w:rPr>
          <w:spacing w:val="-12"/>
          <w:sz w:val="16"/>
        </w:rPr>
        <w:t xml:space="preserve"> </w:t>
      </w:r>
      <w:r>
        <w:rPr>
          <w:sz w:val="16"/>
        </w:rPr>
        <w:t>Affairs</w:t>
      </w:r>
      <w:r>
        <w:rPr>
          <w:spacing w:val="-4"/>
          <w:sz w:val="16"/>
        </w:rPr>
        <w:t xml:space="preserve"> </w:t>
      </w:r>
      <w:r>
        <w:rPr>
          <w:sz w:val="16"/>
        </w:rPr>
        <w:t>(29</w:t>
      </w:r>
      <w:r>
        <w:rPr>
          <w:spacing w:val="-3"/>
          <w:sz w:val="16"/>
        </w:rPr>
        <w:t xml:space="preserve"> </w:t>
      </w:r>
      <w:r>
        <w:rPr>
          <w:sz w:val="16"/>
        </w:rPr>
        <w:t>November</w:t>
      </w:r>
      <w:r>
        <w:rPr>
          <w:spacing w:val="-5"/>
          <w:sz w:val="16"/>
        </w:rPr>
        <w:t xml:space="preserve"> </w:t>
      </w:r>
      <w:r>
        <w:rPr>
          <w:sz w:val="16"/>
        </w:rPr>
        <w:t>2017)</w:t>
      </w:r>
      <w:r>
        <w:rPr>
          <w:color w:val="215E9E"/>
          <w:spacing w:val="-4"/>
          <w:sz w:val="16"/>
        </w:rPr>
        <w:t xml:space="preserve"> </w:t>
      </w:r>
      <w:r>
        <w:rPr>
          <w:color w:val="215E9E"/>
          <w:sz w:val="16"/>
          <w:u w:val="single" w:color="215E9E"/>
        </w:rPr>
        <w:t>Delivery</w:t>
      </w:r>
      <w:r>
        <w:rPr>
          <w:color w:val="215E9E"/>
          <w:spacing w:val="-5"/>
          <w:sz w:val="16"/>
          <w:u w:val="single" w:color="215E9E"/>
        </w:rPr>
        <w:t xml:space="preserve"> </w:t>
      </w:r>
      <w:r>
        <w:rPr>
          <w:color w:val="215E9E"/>
          <w:sz w:val="16"/>
          <w:u w:val="single" w:color="215E9E"/>
        </w:rPr>
        <w:t>of</w:t>
      </w:r>
      <w:r>
        <w:rPr>
          <w:color w:val="215E9E"/>
          <w:spacing w:val="-5"/>
          <w:sz w:val="16"/>
          <w:u w:val="single" w:color="215E9E"/>
        </w:rPr>
        <w:t xml:space="preserve"> </w:t>
      </w:r>
      <w:r>
        <w:rPr>
          <w:color w:val="215E9E"/>
          <w:sz w:val="16"/>
          <w:u w:val="single" w:color="215E9E"/>
        </w:rPr>
        <w:t>outcomes</w:t>
      </w:r>
      <w:r>
        <w:rPr>
          <w:color w:val="215E9E"/>
          <w:spacing w:val="-4"/>
          <w:sz w:val="16"/>
          <w:u w:val="single" w:color="215E9E"/>
        </w:rPr>
        <w:t xml:space="preserve"> </w:t>
      </w:r>
      <w:r>
        <w:rPr>
          <w:color w:val="215E9E"/>
          <w:sz w:val="16"/>
          <w:u w:val="single" w:color="215E9E"/>
        </w:rPr>
        <w:t>under</w:t>
      </w:r>
      <w:r>
        <w:rPr>
          <w:color w:val="215E9E"/>
          <w:spacing w:val="-5"/>
          <w:sz w:val="16"/>
          <w:u w:val="single" w:color="215E9E"/>
        </w:rPr>
        <w:t xml:space="preserve"> </w:t>
      </w:r>
      <w:r>
        <w:rPr>
          <w:color w:val="215E9E"/>
          <w:sz w:val="16"/>
          <w:u w:val="single" w:color="215E9E"/>
        </w:rPr>
        <w:t>the</w:t>
      </w:r>
      <w:r>
        <w:rPr>
          <w:color w:val="215E9E"/>
          <w:spacing w:val="-4"/>
          <w:sz w:val="16"/>
          <w:u w:val="single" w:color="215E9E"/>
        </w:rPr>
        <w:t xml:space="preserve"> </w:t>
      </w:r>
      <w:r>
        <w:rPr>
          <w:color w:val="215E9E"/>
          <w:sz w:val="16"/>
          <w:u w:val="single" w:color="215E9E"/>
        </w:rPr>
        <w:t>National</w:t>
      </w:r>
      <w:r>
        <w:rPr>
          <w:color w:val="215E9E"/>
          <w:spacing w:val="-5"/>
          <w:sz w:val="16"/>
          <w:u w:val="single" w:color="215E9E"/>
        </w:rPr>
        <w:t xml:space="preserve"> </w:t>
      </w:r>
      <w:r>
        <w:rPr>
          <w:color w:val="215E9E"/>
          <w:sz w:val="16"/>
          <w:u w:val="single" w:color="215E9E"/>
        </w:rPr>
        <w:t>Disability</w:t>
      </w:r>
      <w:r>
        <w:rPr>
          <w:color w:val="215E9E"/>
          <w:spacing w:val="-4"/>
          <w:sz w:val="16"/>
          <w:u w:val="single" w:color="215E9E"/>
        </w:rPr>
        <w:t xml:space="preserve"> </w:t>
      </w:r>
      <w:r>
        <w:rPr>
          <w:color w:val="215E9E"/>
          <w:sz w:val="16"/>
          <w:u w:val="single" w:color="215E9E"/>
        </w:rPr>
        <w:t>Strategy</w:t>
      </w:r>
      <w:r>
        <w:rPr>
          <w:color w:val="215E9E"/>
          <w:spacing w:val="-4"/>
          <w:sz w:val="16"/>
          <w:u w:val="single" w:color="215E9E"/>
        </w:rPr>
        <w:t xml:space="preserve"> </w:t>
      </w:r>
      <w:r>
        <w:rPr>
          <w:color w:val="215E9E"/>
          <w:sz w:val="16"/>
          <w:u w:val="single" w:color="215E9E"/>
        </w:rPr>
        <w:t>2010- 2020 to build inclusive and accessible communities</w:t>
      </w:r>
      <w:r>
        <w:rPr>
          <w:sz w:val="16"/>
        </w:rPr>
        <w:t>. Commonwealth of</w:t>
      </w:r>
      <w:r>
        <w:rPr>
          <w:spacing w:val="-18"/>
          <w:sz w:val="16"/>
        </w:rPr>
        <w:t xml:space="preserve"> </w:t>
      </w:r>
      <w:r>
        <w:rPr>
          <w:sz w:val="16"/>
        </w:rPr>
        <w:t>Australia.</w:t>
      </w:r>
    </w:p>
    <w:p w:rsidR="007A0A6C" w:rsidRDefault="00660E26">
      <w:pPr>
        <w:pStyle w:val="ListParagraph"/>
        <w:numPr>
          <w:ilvl w:val="0"/>
          <w:numId w:val="4"/>
        </w:numPr>
        <w:tabs>
          <w:tab w:val="left" w:pos="735"/>
          <w:tab w:val="left" w:pos="736"/>
        </w:tabs>
        <w:spacing w:before="99"/>
        <w:ind w:left="735" w:hanging="395"/>
        <w:rPr>
          <w:sz w:val="16"/>
        </w:rPr>
      </w:pPr>
      <w:r>
        <w:rPr>
          <w:sz w:val="16"/>
        </w:rPr>
        <w:t>Australian</w:t>
      </w:r>
      <w:r>
        <w:rPr>
          <w:spacing w:val="-4"/>
          <w:sz w:val="16"/>
        </w:rPr>
        <w:t xml:space="preserve"> </w:t>
      </w:r>
      <w:r>
        <w:rPr>
          <w:sz w:val="16"/>
        </w:rPr>
        <w:t>Government,</w:t>
      </w:r>
      <w:r>
        <w:rPr>
          <w:color w:val="215E9E"/>
          <w:spacing w:val="-4"/>
          <w:sz w:val="16"/>
        </w:rPr>
        <w:t xml:space="preserve"> </w:t>
      </w:r>
      <w:r>
        <w:rPr>
          <w:color w:val="215E9E"/>
          <w:sz w:val="16"/>
          <w:u w:val="single" w:color="215E9E"/>
        </w:rPr>
        <w:t>Livable</w:t>
      </w:r>
      <w:r>
        <w:rPr>
          <w:color w:val="215E9E"/>
          <w:spacing w:val="-3"/>
          <w:sz w:val="16"/>
          <w:u w:val="single" w:color="215E9E"/>
        </w:rPr>
        <w:t xml:space="preserve"> </w:t>
      </w:r>
      <w:r>
        <w:rPr>
          <w:color w:val="215E9E"/>
          <w:sz w:val="16"/>
          <w:u w:val="single" w:color="215E9E"/>
        </w:rPr>
        <w:t>Housing</w:t>
      </w:r>
      <w:r>
        <w:rPr>
          <w:color w:val="215E9E"/>
          <w:spacing w:val="-4"/>
          <w:sz w:val="16"/>
          <w:u w:val="single" w:color="215E9E"/>
        </w:rPr>
        <w:t xml:space="preserve"> </w:t>
      </w:r>
      <w:r>
        <w:rPr>
          <w:color w:val="215E9E"/>
          <w:sz w:val="16"/>
          <w:u w:val="single" w:color="215E9E"/>
        </w:rPr>
        <w:t>Design</w:t>
      </w:r>
      <w:r>
        <w:rPr>
          <w:color w:val="215E9E"/>
          <w:spacing w:val="-4"/>
          <w:sz w:val="16"/>
          <w:u w:val="single" w:color="215E9E"/>
        </w:rPr>
        <w:t xml:space="preserve"> </w:t>
      </w:r>
      <w:r>
        <w:rPr>
          <w:color w:val="215E9E"/>
          <w:sz w:val="16"/>
          <w:u w:val="single" w:color="215E9E"/>
        </w:rPr>
        <w:t>Guidelines</w:t>
      </w:r>
      <w:r>
        <w:rPr>
          <w:sz w:val="16"/>
        </w:rPr>
        <w:t>,</w:t>
      </w:r>
      <w:r>
        <w:rPr>
          <w:spacing w:val="-3"/>
          <w:sz w:val="16"/>
        </w:rPr>
        <w:t xml:space="preserve"> </w:t>
      </w:r>
      <w:r>
        <w:rPr>
          <w:sz w:val="16"/>
        </w:rPr>
        <w:t>Department</w:t>
      </w:r>
      <w:r>
        <w:rPr>
          <w:spacing w:val="-4"/>
          <w:sz w:val="16"/>
        </w:rPr>
        <w:t xml:space="preserve"> </w:t>
      </w:r>
      <w:r>
        <w:rPr>
          <w:sz w:val="16"/>
        </w:rPr>
        <w:t>of</w:t>
      </w:r>
      <w:r>
        <w:rPr>
          <w:spacing w:val="-4"/>
          <w:sz w:val="16"/>
        </w:rPr>
        <w:t xml:space="preserve"> </w:t>
      </w:r>
      <w:r>
        <w:rPr>
          <w:sz w:val="16"/>
        </w:rPr>
        <w:t>Social</w:t>
      </w:r>
      <w:r>
        <w:rPr>
          <w:spacing w:val="-3"/>
          <w:sz w:val="16"/>
        </w:rPr>
        <w:t xml:space="preserve"> </w:t>
      </w:r>
      <w:r>
        <w:rPr>
          <w:sz w:val="16"/>
        </w:rPr>
        <w:t>Services.</w:t>
      </w:r>
    </w:p>
    <w:p w:rsidR="007A0A6C" w:rsidRDefault="00660E26">
      <w:pPr>
        <w:pStyle w:val="ListParagraph"/>
        <w:numPr>
          <w:ilvl w:val="0"/>
          <w:numId w:val="4"/>
        </w:numPr>
        <w:tabs>
          <w:tab w:val="left" w:pos="735"/>
          <w:tab w:val="left" w:pos="736"/>
        </w:tabs>
        <w:ind w:left="735" w:hanging="395"/>
        <w:rPr>
          <w:sz w:val="16"/>
        </w:rPr>
      </w:pPr>
      <w:r>
        <w:rPr>
          <w:sz w:val="16"/>
        </w:rPr>
        <w:t>Australian</w:t>
      </w:r>
      <w:r>
        <w:rPr>
          <w:spacing w:val="-4"/>
          <w:sz w:val="16"/>
        </w:rPr>
        <w:t xml:space="preserve"> </w:t>
      </w:r>
      <w:r>
        <w:rPr>
          <w:sz w:val="16"/>
        </w:rPr>
        <w:t>Government,</w:t>
      </w:r>
      <w:r>
        <w:rPr>
          <w:color w:val="215E9E"/>
          <w:spacing w:val="-4"/>
          <w:sz w:val="16"/>
        </w:rPr>
        <w:t xml:space="preserve"> </w:t>
      </w:r>
      <w:r>
        <w:rPr>
          <w:color w:val="215E9E"/>
          <w:sz w:val="16"/>
          <w:u w:val="single" w:color="215E9E"/>
        </w:rPr>
        <w:t>Livable</w:t>
      </w:r>
      <w:r>
        <w:rPr>
          <w:color w:val="215E9E"/>
          <w:spacing w:val="-3"/>
          <w:sz w:val="16"/>
          <w:u w:val="single" w:color="215E9E"/>
        </w:rPr>
        <w:t xml:space="preserve"> </w:t>
      </w:r>
      <w:r>
        <w:rPr>
          <w:color w:val="215E9E"/>
          <w:sz w:val="16"/>
          <w:u w:val="single" w:color="215E9E"/>
        </w:rPr>
        <w:t>Housing</w:t>
      </w:r>
      <w:r>
        <w:rPr>
          <w:color w:val="215E9E"/>
          <w:spacing w:val="-4"/>
          <w:sz w:val="16"/>
          <w:u w:val="single" w:color="215E9E"/>
        </w:rPr>
        <w:t xml:space="preserve"> </w:t>
      </w:r>
      <w:r>
        <w:rPr>
          <w:color w:val="215E9E"/>
          <w:sz w:val="16"/>
          <w:u w:val="single" w:color="215E9E"/>
        </w:rPr>
        <w:t>Design</w:t>
      </w:r>
      <w:r>
        <w:rPr>
          <w:color w:val="215E9E"/>
          <w:spacing w:val="-4"/>
          <w:sz w:val="16"/>
          <w:u w:val="single" w:color="215E9E"/>
        </w:rPr>
        <w:t xml:space="preserve"> </w:t>
      </w:r>
      <w:r>
        <w:rPr>
          <w:color w:val="215E9E"/>
          <w:sz w:val="16"/>
          <w:u w:val="single" w:color="215E9E"/>
        </w:rPr>
        <w:t>Guidelines</w:t>
      </w:r>
      <w:r>
        <w:rPr>
          <w:sz w:val="16"/>
        </w:rPr>
        <w:t>,</w:t>
      </w:r>
      <w:r>
        <w:rPr>
          <w:spacing w:val="-3"/>
          <w:sz w:val="16"/>
        </w:rPr>
        <w:t xml:space="preserve"> </w:t>
      </w:r>
      <w:r>
        <w:rPr>
          <w:sz w:val="16"/>
        </w:rPr>
        <w:t>Department</w:t>
      </w:r>
      <w:r>
        <w:rPr>
          <w:spacing w:val="-4"/>
          <w:sz w:val="16"/>
        </w:rPr>
        <w:t xml:space="preserve"> </w:t>
      </w:r>
      <w:r>
        <w:rPr>
          <w:sz w:val="16"/>
        </w:rPr>
        <w:t>of</w:t>
      </w:r>
      <w:r>
        <w:rPr>
          <w:spacing w:val="-4"/>
          <w:sz w:val="16"/>
        </w:rPr>
        <w:t xml:space="preserve"> </w:t>
      </w:r>
      <w:r>
        <w:rPr>
          <w:sz w:val="16"/>
        </w:rPr>
        <w:t>Social</w:t>
      </w:r>
      <w:r>
        <w:rPr>
          <w:spacing w:val="-3"/>
          <w:sz w:val="16"/>
        </w:rPr>
        <w:t xml:space="preserve"> </w:t>
      </w:r>
      <w:r>
        <w:rPr>
          <w:sz w:val="16"/>
        </w:rPr>
        <w:t>Services.</w:t>
      </w:r>
    </w:p>
    <w:p w:rsidR="007A0A6C" w:rsidRDefault="00660E26">
      <w:pPr>
        <w:pStyle w:val="ListParagraph"/>
        <w:numPr>
          <w:ilvl w:val="0"/>
          <w:numId w:val="4"/>
        </w:numPr>
        <w:tabs>
          <w:tab w:val="left" w:pos="741"/>
          <w:tab w:val="left" w:pos="742"/>
        </w:tabs>
        <w:spacing w:line="261" w:lineRule="auto"/>
        <w:ind w:left="340" w:right="296" w:firstLine="0"/>
        <w:rPr>
          <w:sz w:val="16"/>
        </w:rPr>
      </w:pPr>
      <w:r>
        <w:rPr>
          <w:sz w:val="16"/>
        </w:rPr>
        <w:t>This is due to the voluntary nature of the target and the number of compliant houses currently being produced. See: Senate Standing Committee on Community Affairs (29 November 2017)</w:t>
      </w:r>
      <w:r>
        <w:rPr>
          <w:color w:val="215E9E"/>
          <w:sz w:val="16"/>
        </w:rPr>
        <w:t xml:space="preserve"> </w:t>
      </w:r>
      <w:r>
        <w:rPr>
          <w:color w:val="215E9E"/>
          <w:sz w:val="16"/>
          <w:u w:val="single" w:color="215E9E"/>
        </w:rPr>
        <w:t>Delivery of outcomes under the National Disability Strategy 2010-2020 to build inclusive and accessible communities</w:t>
      </w:r>
      <w:r>
        <w:rPr>
          <w:sz w:val="16"/>
        </w:rPr>
        <w:t>. Commonwealth of</w:t>
      </w:r>
      <w:r>
        <w:rPr>
          <w:spacing w:val="-12"/>
          <w:sz w:val="16"/>
        </w:rPr>
        <w:t xml:space="preserve"> </w:t>
      </w:r>
      <w:r>
        <w:rPr>
          <w:sz w:val="16"/>
        </w:rPr>
        <w:t>Australia.</w:t>
      </w:r>
    </w:p>
    <w:p w:rsidR="007A0A6C" w:rsidRDefault="00660E26">
      <w:pPr>
        <w:pStyle w:val="ListParagraph"/>
        <w:numPr>
          <w:ilvl w:val="0"/>
          <w:numId w:val="4"/>
        </w:numPr>
        <w:tabs>
          <w:tab w:val="left" w:pos="741"/>
          <w:tab w:val="left" w:pos="742"/>
        </w:tabs>
        <w:spacing w:before="98" w:line="261" w:lineRule="auto"/>
        <w:ind w:left="340" w:right="327" w:firstLine="0"/>
        <w:rPr>
          <w:sz w:val="16"/>
        </w:rPr>
      </w:pPr>
      <w:r>
        <w:rPr>
          <w:sz w:val="16"/>
        </w:rPr>
        <w:t>The</w:t>
      </w:r>
      <w:r>
        <w:rPr>
          <w:spacing w:val="-2"/>
          <w:sz w:val="16"/>
        </w:rPr>
        <w:t xml:space="preserve"> </w:t>
      </w:r>
      <w:r>
        <w:rPr>
          <w:sz w:val="16"/>
        </w:rPr>
        <w:t>Building</w:t>
      </w:r>
      <w:r>
        <w:rPr>
          <w:spacing w:val="-2"/>
          <w:sz w:val="16"/>
        </w:rPr>
        <w:t xml:space="preserve"> </w:t>
      </w:r>
      <w:r>
        <w:rPr>
          <w:sz w:val="16"/>
        </w:rPr>
        <w:t>Code</w:t>
      </w:r>
      <w:r>
        <w:rPr>
          <w:spacing w:val="-3"/>
          <w:sz w:val="16"/>
        </w:rPr>
        <w:t xml:space="preserve"> </w:t>
      </w:r>
      <w:r>
        <w:rPr>
          <w:sz w:val="16"/>
        </w:rPr>
        <w:t>of</w:t>
      </w:r>
      <w:r>
        <w:rPr>
          <w:spacing w:val="-11"/>
          <w:sz w:val="16"/>
        </w:rPr>
        <w:t xml:space="preserve"> </w:t>
      </w:r>
      <w:r>
        <w:rPr>
          <w:sz w:val="16"/>
        </w:rPr>
        <w:t>Australia,</w:t>
      </w:r>
      <w:r>
        <w:rPr>
          <w:spacing w:val="-2"/>
          <w:sz w:val="16"/>
        </w:rPr>
        <w:t xml:space="preserve"> </w:t>
      </w:r>
      <w:r>
        <w:rPr>
          <w:sz w:val="16"/>
        </w:rPr>
        <w:t>in</w:t>
      </w:r>
      <w:r>
        <w:rPr>
          <w:spacing w:val="-2"/>
          <w:sz w:val="16"/>
        </w:rPr>
        <w:t xml:space="preserve"> </w:t>
      </w:r>
      <w:r>
        <w:rPr>
          <w:sz w:val="16"/>
        </w:rPr>
        <w:t>conjunction</w:t>
      </w:r>
      <w:r>
        <w:rPr>
          <w:spacing w:val="-2"/>
          <w:sz w:val="16"/>
        </w:rPr>
        <w:t xml:space="preserve"> </w:t>
      </w:r>
      <w:r>
        <w:rPr>
          <w:sz w:val="16"/>
        </w:rPr>
        <w:t>with</w:t>
      </w:r>
      <w:r>
        <w:rPr>
          <w:spacing w:val="-3"/>
          <w:sz w:val="16"/>
        </w:rPr>
        <w:t xml:space="preserve"> </w:t>
      </w:r>
      <w:r>
        <w:rPr>
          <w:sz w:val="16"/>
        </w:rPr>
        <w:t>the</w:t>
      </w:r>
      <w:r>
        <w:rPr>
          <w:spacing w:val="-2"/>
          <w:sz w:val="16"/>
        </w:rPr>
        <w:t xml:space="preserve"> </w:t>
      </w:r>
      <w:r>
        <w:rPr>
          <w:sz w:val="16"/>
        </w:rPr>
        <w:t>Plumbing</w:t>
      </w:r>
      <w:r>
        <w:rPr>
          <w:spacing w:val="-2"/>
          <w:sz w:val="16"/>
        </w:rPr>
        <w:t xml:space="preserve"> </w:t>
      </w:r>
      <w:r>
        <w:rPr>
          <w:sz w:val="16"/>
        </w:rPr>
        <w:t>Code</w:t>
      </w:r>
      <w:r>
        <w:rPr>
          <w:spacing w:val="-3"/>
          <w:sz w:val="16"/>
        </w:rPr>
        <w:t xml:space="preserve"> </w:t>
      </w:r>
      <w:r>
        <w:rPr>
          <w:sz w:val="16"/>
        </w:rPr>
        <w:t>of</w:t>
      </w:r>
      <w:r>
        <w:rPr>
          <w:spacing w:val="-10"/>
          <w:sz w:val="16"/>
        </w:rPr>
        <w:t xml:space="preserve"> </w:t>
      </w:r>
      <w:r>
        <w:rPr>
          <w:sz w:val="16"/>
        </w:rPr>
        <w:t>Australia,</w:t>
      </w:r>
      <w:r>
        <w:rPr>
          <w:spacing w:val="-2"/>
          <w:sz w:val="16"/>
        </w:rPr>
        <w:t xml:space="preserve"> </w:t>
      </w:r>
      <w:r>
        <w:rPr>
          <w:sz w:val="16"/>
        </w:rPr>
        <w:t>forms</w:t>
      </w:r>
      <w:r>
        <w:rPr>
          <w:spacing w:val="-2"/>
          <w:sz w:val="16"/>
        </w:rPr>
        <w:t xml:space="preserve"> </w:t>
      </w:r>
      <w:r>
        <w:rPr>
          <w:sz w:val="16"/>
        </w:rPr>
        <w:t>the</w:t>
      </w:r>
      <w:r>
        <w:rPr>
          <w:color w:val="215E9E"/>
          <w:spacing w:val="-3"/>
          <w:sz w:val="16"/>
        </w:rPr>
        <w:t xml:space="preserve"> </w:t>
      </w:r>
      <w:r>
        <w:rPr>
          <w:color w:val="215E9E"/>
          <w:sz w:val="16"/>
          <w:u w:val="single" w:color="215E9E"/>
        </w:rPr>
        <w:t>National</w:t>
      </w:r>
      <w:r>
        <w:rPr>
          <w:color w:val="215E9E"/>
          <w:spacing w:val="-3"/>
          <w:sz w:val="16"/>
          <w:u w:val="single" w:color="215E9E"/>
        </w:rPr>
        <w:t xml:space="preserve"> </w:t>
      </w:r>
      <w:r>
        <w:rPr>
          <w:color w:val="215E9E"/>
          <w:sz w:val="16"/>
          <w:u w:val="single" w:color="215E9E"/>
        </w:rPr>
        <w:t>Construction</w:t>
      </w:r>
      <w:r>
        <w:rPr>
          <w:color w:val="215E9E"/>
          <w:spacing w:val="-3"/>
          <w:sz w:val="16"/>
          <w:u w:val="single" w:color="215E9E"/>
        </w:rPr>
        <w:t xml:space="preserve"> </w:t>
      </w:r>
      <w:r>
        <w:rPr>
          <w:color w:val="215E9E"/>
          <w:sz w:val="16"/>
          <w:u w:val="single" w:color="215E9E"/>
        </w:rPr>
        <w:t>Code</w:t>
      </w:r>
      <w:r>
        <w:rPr>
          <w:color w:val="215E9E"/>
          <w:spacing w:val="-1"/>
          <w:sz w:val="16"/>
        </w:rPr>
        <w:t xml:space="preserve"> </w:t>
      </w:r>
      <w:r>
        <w:rPr>
          <w:sz w:val="16"/>
        </w:rPr>
        <w:t>issued</w:t>
      </w:r>
      <w:r>
        <w:rPr>
          <w:spacing w:val="-3"/>
          <w:sz w:val="16"/>
        </w:rPr>
        <w:t xml:space="preserve"> </w:t>
      </w:r>
      <w:r>
        <w:rPr>
          <w:sz w:val="16"/>
        </w:rPr>
        <w:t>by</w:t>
      </w:r>
      <w:r>
        <w:rPr>
          <w:spacing w:val="-10"/>
          <w:sz w:val="16"/>
        </w:rPr>
        <w:t xml:space="preserve"> </w:t>
      </w:r>
      <w:r>
        <w:rPr>
          <w:sz w:val="16"/>
        </w:rPr>
        <w:t>Australian Building Codes</w:t>
      </w:r>
      <w:r>
        <w:rPr>
          <w:spacing w:val="-2"/>
          <w:sz w:val="16"/>
        </w:rPr>
        <w:t xml:space="preserve"> </w:t>
      </w:r>
      <w:r>
        <w:rPr>
          <w:sz w:val="16"/>
        </w:rPr>
        <w:t>Board.</w:t>
      </w:r>
    </w:p>
    <w:p w:rsidR="007A0A6C" w:rsidRDefault="00660E26">
      <w:pPr>
        <w:pStyle w:val="ListParagraph"/>
        <w:numPr>
          <w:ilvl w:val="0"/>
          <w:numId w:val="4"/>
        </w:numPr>
        <w:tabs>
          <w:tab w:val="left" w:pos="735"/>
          <w:tab w:val="left" w:pos="736"/>
        </w:tabs>
        <w:spacing w:before="99"/>
        <w:ind w:left="735" w:hanging="395"/>
        <w:rPr>
          <w:sz w:val="16"/>
        </w:rPr>
      </w:pPr>
      <w:r>
        <w:rPr>
          <w:sz w:val="16"/>
        </w:rPr>
        <w:t>Australian Government (2016) National Disability Strategy 2010-2020: Progress Report to</w:t>
      </w:r>
      <w:r>
        <w:rPr>
          <w:spacing w:val="-8"/>
          <w:sz w:val="16"/>
        </w:rPr>
        <w:t xml:space="preserve"> </w:t>
      </w:r>
      <w:r>
        <w:rPr>
          <w:sz w:val="16"/>
        </w:rPr>
        <w:t>COAG.</w:t>
      </w:r>
    </w:p>
    <w:p w:rsidR="007A0A6C" w:rsidRDefault="00660E26">
      <w:pPr>
        <w:pStyle w:val="ListParagraph"/>
        <w:numPr>
          <w:ilvl w:val="0"/>
          <w:numId w:val="4"/>
        </w:numPr>
        <w:tabs>
          <w:tab w:val="left" w:pos="744"/>
          <w:tab w:val="left" w:pos="745"/>
        </w:tabs>
        <w:ind w:left="744" w:hanging="404"/>
        <w:rPr>
          <w:sz w:val="16"/>
        </w:rPr>
      </w:pPr>
      <w:r>
        <w:rPr>
          <w:sz w:val="16"/>
        </w:rPr>
        <w:t>Disability Rights Now (2012)</w:t>
      </w:r>
      <w:r>
        <w:rPr>
          <w:color w:val="215E9E"/>
          <w:sz w:val="16"/>
        </w:rPr>
        <w:t xml:space="preserve"> </w:t>
      </w:r>
      <w:r>
        <w:rPr>
          <w:color w:val="215E9E"/>
          <w:sz w:val="16"/>
          <w:u w:val="single" w:color="215E9E"/>
        </w:rPr>
        <w:t>CRPD Civil Society Report on</w:t>
      </w:r>
      <w:r>
        <w:rPr>
          <w:color w:val="215E9E"/>
          <w:spacing w:val="-17"/>
          <w:sz w:val="16"/>
          <w:u w:val="single" w:color="215E9E"/>
        </w:rPr>
        <w:t xml:space="preserve"> </w:t>
      </w:r>
      <w:r>
        <w:rPr>
          <w:color w:val="215E9E"/>
          <w:sz w:val="16"/>
          <w:u w:val="single" w:color="215E9E"/>
        </w:rPr>
        <w:t>Australia</w:t>
      </w:r>
      <w:r>
        <w:rPr>
          <w:sz w:val="16"/>
        </w:rPr>
        <w:t>.</w:t>
      </w:r>
    </w:p>
    <w:p w:rsidR="007A0A6C" w:rsidRDefault="00660E26">
      <w:pPr>
        <w:pStyle w:val="ListParagraph"/>
        <w:numPr>
          <w:ilvl w:val="0"/>
          <w:numId w:val="4"/>
        </w:numPr>
        <w:tabs>
          <w:tab w:val="left" w:pos="735"/>
          <w:tab w:val="left" w:pos="736"/>
        </w:tabs>
        <w:spacing w:line="261" w:lineRule="auto"/>
        <w:ind w:left="340" w:right="651" w:firstLine="0"/>
        <w:rPr>
          <w:sz w:val="16"/>
        </w:rPr>
      </w:pPr>
      <w:r>
        <w:rPr>
          <w:sz w:val="16"/>
        </w:rPr>
        <w:t>Australian Bureau of Statistics, 4430.0 - Disability, Ageing and Carers, Australia: Summary of Findings, 2015:</w:t>
      </w:r>
      <w:r>
        <w:rPr>
          <w:color w:val="215E9E"/>
          <w:sz w:val="16"/>
        </w:rPr>
        <w:t xml:space="preserve"> </w:t>
      </w:r>
      <w:r>
        <w:rPr>
          <w:color w:val="215E9E"/>
          <w:sz w:val="16"/>
          <w:u w:val="single" w:color="215E9E"/>
        </w:rPr>
        <w:t xml:space="preserve">Aboriginal and </w:t>
      </w:r>
      <w:r>
        <w:rPr>
          <w:color w:val="215E9E"/>
          <w:spacing w:val="-4"/>
          <w:sz w:val="16"/>
          <w:u w:val="single" w:color="215E9E"/>
        </w:rPr>
        <w:t xml:space="preserve">Torres </w:t>
      </w:r>
      <w:r>
        <w:rPr>
          <w:color w:val="215E9E"/>
          <w:sz w:val="16"/>
          <w:u w:val="single" w:color="215E9E"/>
        </w:rPr>
        <w:t>Strait Islander People with</w:t>
      </w:r>
      <w:r>
        <w:rPr>
          <w:color w:val="215E9E"/>
          <w:spacing w:val="-2"/>
          <w:sz w:val="16"/>
          <w:u w:val="single" w:color="215E9E"/>
        </w:rPr>
        <w:t xml:space="preserve"> </w:t>
      </w:r>
      <w:r>
        <w:rPr>
          <w:color w:val="215E9E"/>
          <w:sz w:val="16"/>
          <w:u w:val="single" w:color="215E9E"/>
        </w:rPr>
        <w:t>Disability</w:t>
      </w:r>
      <w:r>
        <w:rPr>
          <w:sz w:val="16"/>
        </w:rPr>
        <w:t>.</w:t>
      </w:r>
    </w:p>
    <w:p w:rsidR="007A0A6C" w:rsidRDefault="00660E26">
      <w:pPr>
        <w:pStyle w:val="ListParagraph"/>
        <w:numPr>
          <w:ilvl w:val="0"/>
          <w:numId w:val="4"/>
        </w:numPr>
        <w:tabs>
          <w:tab w:val="left" w:pos="735"/>
          <w:tab w:val="left" w:pos="736"/>
        </w:tabs>
        <w:spacing w:before="99"/>
        <w:ind w:left="735" w:hanging="395"/>
        <w:rPr>
          <w:sz w:val="16"/>
        </w:rPr>
      </w:pPr>
      <w:r>
        <w:rPr>
          <w:sz w:val="16"/>
        </w:rPr>
        <w:t>Australian</w:t>
      </w:r>
      <w:r>
        <w:rPr>
          <w:spacing w:val="-4"/>
          <w:sz w:val="16"/>
        </w:rPr>
        <w:t xml:space="preserve"> </w:t>
      </w:r>
      <w:r>
        <w:rPr>
          <w:sz w:val="16"/>
        </w:rPr>
        <w:t>Institute</w:t>
      </w:r>
      <w:r>
        <w:rPr>
          <w:spacing w:val="-4"/>
          <w:sz w:val="16"/>
        </w:rPr>
        <w:t xml:space="preserve"> </w:t>
      </w:r>
      <w:r>
        <w:rPr>
          <w:sz w:val="16"/>
        </w:rPr>
        <w:t>of</w:t>
      </w:r>
      <w:r>
        <w:rPr>
          <w:spacing w:val="-5"/>
          <w:sz w:val="16"/>
        </w:rPr>
        <w:t xml:space="preserve"> </w:t>
      </w:r>
      <w:r>
        <w:rPr>
          <w:sz w:val="16"/>
        </w:rPr>
        <w:t>Health</w:t>
      </w:r>
      <w:r>
        <w:rPr>
          <w:spacing w:val="-4"/>
          <w:sz w:val="16"/>
        </w:rPr>
        <w:t xml:space="preserve"> </w:t>
      </w:r>
      <w:r>
        <w:rPr>
          <w:sz w:val="16"/>
        </w:rPr>
        <w:t>and</w:t>
      </w:r>
      <w:r>
        <w:rPr>
          <w:spacing w:val="-5"/>
          <w:sz w:val="16"/>
        </w:rPr>
        <w:t xml:space="preserve"> </w:t>
      </w:r>
      <w:r>
        <w:rPr>
          <w:sz w:val="16"/>
        </w:rPr>
        <w:t>Welfare</w:t>
      </w:r>
      <w:r>
        <w:rPr>
          <w:spacing w:val="-4"/>
          <w:sz w:val="16"/>
        </w:rPr>
        <w:t xml:space="preserve"> </w:t>
      </w:r>
      <w:r>
        <w:rPr>
          <w:sz w:val="16"/>
        </w:rPr>
        <w:t>2018.</w:t>
      </w:r>
      <w:r>
        <w:rPr>
          <w:color w:val="215E9E"/>
          <w:spacing w:val="-12"/>
          <w:sz w:val="16"/>
        </w:rPr>
        <w:t xml:space="preserve"> </w:t>
      </w:r>
      <w:r>
        <w:rPr>
          <w:color w:val="215E9E"/>
          <w:sz w:val="16"/>
          <w:u w:val="single" w:color="215E9E"/>
        </w:rPr>
        <w:t>Australia’s</w:t>
      </w:r>
      <w:r>
        <w:rPr>
          <w:color w:val="215E9E"/>
          <w:spacing w:val="-4"/>
          <w:sz w:val="16"/>
          <w:u w:val="single" w:color="215E9E"/>
        </w:rPr>
        <w:t xml:space="preserve"> </w:t>
      </w:r>
      <w:r>
        <w:rPr>
          <w:color w:val="215E9E"/>
          <w:sz w:val="16"/>
          <w:u w:val="single" w:color="215E9E"/>
        </w:rPr>
        <w:t>health</w:t>
      </w:r>
      <w:r>
        <w:rPr>
          <w:color w:val="215E9E"/>
          <w:spacing w:val="-5"/>
          <w:sz w:val="16"/>
          <w:u w:val="single" w:color="215E9E"/>
        </w:rPr>
        <w:t xml:space="preserve"> </w:t>
      </w:r>
      <w:r>
        <w:rPr>
          <w:color w:val="215E9E"/>
          <w:sz w:val="16"/>
          <w:u w:val="single" w:color="215E9E"/>
        </w:rPr>
        <w:t>2018</w:t>
      </w:r>
      <w:r>
        <w:rPr>
          <w:sz w:val="16"/>
        </w:rPr>
        <w:t>.</w:t>
      </w:r>
      <w:r>
        <w:rPr>
          <w:spacing w:val="-12"/>
          <w:sz w:val="16"/>
        </w:rPr>
        <w:t xml:space="preserve"> </w:t>
      </w:r>
      <w:r>
        <w:rPr>
          <w:sz w:val="16"/>
        </w:rPr>
        <w:t>Australia’s</w:t>
      </w:r>
      <w:r>
        <w:rPr>
          <w:spacing w:val="-3"/>
          <w:sz w:val="16"/>
        </w:rPr>
        <w:t xml:space="preserve"> </w:t>
      </w:r>
      <w:r>
        <w:rPr>
          <w:sz w:val="16"/>
        </w:rPr>
        <w:t>health</w:t>
      </w:r>
      <w:r>
        <w:rPr>
          <w:spacing w:val="-5"/>
          <w:sz w:val="16"/>
        </w:rPr>
        <w:t xml:space="preserve"> </w:t>
      </w:r>
      <w:r>
        <w:rPr>
          <w:sz w:val="16"/>
        </w:rPr>
        <w:t>series</w:t>
      </w:r>
      <w:r>
        <w:rPr>
          <w:spacing w:val="-4"/>
          <w:sz w:val="16"/>
        </w:rPr>
        <w:t xml:space="preserve"> </w:t>
      </w:r>
      <w:r>
        <w:rPr>
          <w:sz w:val="16"/>
        </w:rPr>
        <w:t>no.</w:t>
      </w:r>
      <w:r>
        <w:rPr>
          <w:spacing w:val="-4"/>
          <w:sz w:val="16"/>
        </w:rPr>
        <w:t xml:space="preserve"> </w:t>
      </w:r>
      <w:r>
        <w:rPr>
          <w:sz w:val="16"/>
        </w:rPr>
        <w:t>16.</w:t>
      </w:r>
      <w:r>
        <w:rPr>
          <w:spacing w:val="-12"/>
          <w:sz w:val="16"/>
        </w:rPr>
        <w:t xml:space="preserve"> </w:t>
      </w:r>
      <w:r>
        <w:rPr>
          <w:sz w:val="16"/>
        </w:rPr>
        <w:t>AUS</w:t>
      </w:r>
      <w:r>
        <w:rPr>
          <w:spacing w:val="-4"/>
          <w:sz w:val="16"/>
        </w:rPr>
        <w:t xml:space="preserve"> </w:t>
      </w:r>
      <w:r>
        <w:rPr>
          <w:sz w:val="16"/>
        </w:rPr>
        <w:t>221.</w:t>
      </w:r>
      <w:r>
        <w:rPr>
          <w:spacing w:val="-5"/>
          <w:sz w:val="16"/>
        </w:rPr>
        <w:t xml:space="preserve"> </w:t>
      </w:r>
      <w:r>
        <w:rPr>
          <w:sz w:val="16"/>
        </w:rPr>
        <w:t>Canberra:</w:t>
      </w:r>
      <w:r>
        <w:rPr>
          <w:spacing w:val="-11"/>
          <w:sz w:val="16"/>
        </w:rPr>
        <w:t xml:space="preserve"> </w:t>
      </w:r>
      <w:r>
        <w:rPr>
          <w:sz w:val="16"/>
        </w:rPr>
        <w:t>AIHW.</w:t>
      </w:r>
    </w:p>
    <w:p w:rsidR="007A0A6C" w:rsidRDefault="00660E26">
      <w:pPr>
        <w:pStyle w:val="ListParagraph"/>
        <w:numPr>
          <w:ilvl w:val="0"/>
          <w:numId w:val="4"/>
        </w:numPr>
        <w:tabs>
          <w:tab w:val="left" w:pos="735"/>
          <w:tab w:val="left" w:pos="736"/>
        </w:tabs>
        <w:ind w:left="735" w:hanging="395"/>
        <w:rPr>
          <w:sz w:val="16"/>
        </w:rPr>
      </w:pPr>
      <w:r>
        <w:rPr>
          <w:sz w:val="16"/>
        </w:rPr>
        <w:t>Australian</w:t>
      </w:r>
      <w:r>
        <w:rPr>
          <w:spacing w:val="-4"/>
          <w:sz w:val="16"/>
        </w:rPr>
        <w:t xml:space="preserve"> </w:t>
      </w:r>
      <w:r>
        <w:rPr>
          <w:sz w:val="16"/>
        </w:rPr>
        <w:t>Institute</w:t>
      </w:r>
      <w:r>
        <w:rPr>
          <w:spacing w:val="-4"/>
          <w:sz w:val="16"/>
        </w:rPr>
        <w:t xml:space="preserve"> </w:t>
      </w:r>
      <w:r>
        <w:rPr>
          <w:sz w:val="16"/>
        </w:rPr>
        <w:t>of</w:t>
      </w:r>
      <w:r>
        <w:rPr>
          <w:spacing w:val="-5"/>
          <w:sz w:val="16"/>
        </w:rPr>
        <w:t xml:space="preserve"> </w:t>
      </w:r>
      <w:r>
        <w:rPr>
          <w:sz w:val="16"/>
        </w:rPr>
        <w:t>Health</w:t>
      </w:r>
      <w:r>
        <w:rPr>
          <w:spacing w:val="-4"/>
          <w:sz w:val="16"/>
        </w:rPr>
        <w:t xml:space="preserve"> </w:t>
      </w:r>
      <w:r>
        <w:rPr>
          <w:sz w:val="16"/>
        </w:rPr>
        <w:t>and</w:t>
      </w:r>
      <w:r>
        <w:rPr>
          <w:spacing w:val="-5"/>
          <w:sz w:val="16"/>
        </w:rPr>
        <w:t xml:space="preserve"> </w:t>
      </w:r>
      <w:r>
        <w:rPr>
          <w:sz w:val="16"/>
        </w:rPr>
        <w:t>Welfare</w:t>
      </w:r>
      <w:r>
        <w:rPr>
          <w:spacing w:val="-4"/>
          <w:sz w:val="16"/>
        </w:rPr>
        <w:t xml:space="preserve"> </w:t>
      </w:r>
      <w:r>
        <w:rPr>
          <w:sz w:val="16"/>
        </w:rPr>
        <w:t>2018.</w:t>
      </w:r>
      <w:r>
        <w:rPr>
          <w:color w:val="215E9E"/>
          <w:spacing w:val="-12"/>
          <w:sz w:val="16"/>
        </w:rPr>
        <w:t xml:space="preserve"> </w:t>
      </w:r>
      <w:r>
        <w:rPr>
          <w:color w:val="215E9E"/>
          <w:sz w:val="16"/>
          <w:u w:val="single" w:color="215E9E"/>
        </w:rPr>
        <w:t>Australia’s</w:t>
      </w:r>
      <w:r>
        <w:rPr>
          <w:color w:val="215E9E"/>
          <w:spacing w:val="-4"/>
          <w:sz w:val="16"/>
          <w:u w:val="single" w:color="215E9E"/>
        </w:rPr>
        <w:t xml:space="preserve"> </w:t>
      </w:r>
      <w:r>
        <w:rPr>
          <w:color w:val="215E9E"/>
          <w:sz w:val="16"/>
          <w:u w:val="single" w:color="215E9E"/>
        </w:rPr>
        <w:t>health</w:t>
      </w:r>
      <w:r>
        <w:rPr>
          <w:color w:val="215E9E"/>
          <w:spacing w:val="-5"/>
          <w:sz w:val="16"/>
          <w:u w:val="single" w:color="215E9E"/>
        </w:rPr>
        <w:t xml:space="preserve"> </w:t>
      </w:r>
      <w:r>
        <w:rPr>
          <w:color w:val="215E9E"/>
          <w:sz w:val="16"/>
          <w:u w:val="single" w:color="215E9E"/>
        </w:rPr>
        <w:t>2018</w:t>
      </w:r>
      <w:r>
        <w:rPr>
          <w:sz w:val="16"/>
        </w:rPr>
        <w:t>.</w:t>
      </w:r>
      <w:r>
        <w:rPr>
          <w:spacing w:val="-12"/>
          <w:sz w:val="16"/>
        </w:rPr>
        <w:t xml:space="preserve"> </w:t>
      </w:r>
      <w:r>
        <w:rPr>
          <w:sz w:val="16"/>
        </w:rPr>
        <w:t>Australia’s</w:t>
      </w:r>
      <w:r>
        <w:rPr>
          <w:spacing w:val="-3"/>
          <w:sz w:val="16"/>
        </w:rPr>
        <w:t xml:space="preserve"> </w:t>
      </w:r>
      <w:r>
        <w:rPr>
          <w:sz w:val="16"/>
        </w:rPr>
        <w:t>health</w:t>
      </w:r>
      <w:r>
        <w:rPr>
          <w:spacing w:val="-5"/>
          <w:sz w:val="16"/>
        </w:rPr>
        <w:t xml:space="preserve"> </w:t>
      </w:r>
      <w:r>
        <w:rPr>
          <w:sz w:val="16"/>
        </w:rPr>
        <w:t>series</w:t>
      </w:r>
      <w:r>
        <w:rPr>
          <w:spacing w:val="-4"/>
          <w:sz w:val="16"/>
        </w:rPr>
        <w:t xml:space="preserve"> </w:t>
      </w:r>
      <w:r>
        <w:rPr>
          <w:sz w:val="16"/>
        </w:rPr>
        <w:t>no.</w:t>
      </w:r>
      <w:r>
        <w:rPr>
          <w:spacing w:val="-4"/>
          <w:sz w:val="16"/>
        </w:rPr>
        <w:t xml:space="preserve"> </w:t>
      </w:r>
      <w:r>
        <w:rPr>
          <w:sz w:val="16"/>
        </w:rPr>
        <w:t>16.</w:t>
      </w:r>
      <w:r>
        <w:rPr>
          <w:spacing w:val="-12"/>
          <w:sz w:val="16"/>
        </w:rPr>
        <w:t xml:space="preserve"> </w:t>
      </w:r>
      <w:r>
        <w:rPr>
          <w:sz w:val="16"/>
        </w:rPr>
        <w:t>AUS</w:t>
      </w:r>
      <w:r>
        <w:rPr>
          <w:spacing w:val="-4"/>
          <w:sz w:val="16"/>
        </w:rPr>
        <w:t xml:space="preserve"> </w:t>
      </w:r>
      <w:r>
        <w:rPr>
          <w:sz w:val="16"/>
        </w:rPr>
        <w:t>221.</w:t>
      </w:r>
      <w:r>
        <w:rPr>
          <w:spacing w:val="-5"/>
          <w:sz w:val="16"/>
        </w:rPr>
        <w:t xml:space="preserve"> </w:t>
      </w:r>
      <w:r>
        <w:rPr>
          <w:sz w:val="16"/>
        </w:rPr>
        <w:t>Canberra:</w:t>
      </w:r>
      <w:r>
        <w:rPr>
          <w:spacing w:val="-11"/>
          <w:sz w:val="16"/>
        </w:rPr>
        <w:t xml:space="preserve"> </w:t>
      </w:r>
      <w:r>
        <w:rPr>
          <w:sz w:val="16"/>
        </w:rPr>
        <w:t>AIHW.</w:t>
      </w:r>
    </w:p>
    <w:p w:rsidR="007A0A6C" w:rsidRDefault="00660E26">
      <w:pPr>
        <w:pStyle w:val="ListParagraph"/>
        <w:numPr>
          <w:ilvl w:val="0"/>
          <w:numId w:val="4"/>
        </w:numPr>
        <w:tabs>
          <w:tab w:val="left" w:pos="735"/>
          <w:tab w:val="left" w:pos="736"/>
        </w:tabs>
        <w:ind w:left="735" w:hanging="395"/>
        <w:rPr>
          <w:sz w:val="16"/>
        </w:rPr>
      </w:pPr>
      <w:r>
        <w:rPr>
          <w:sz w:val="16"/>
        </w:rPr>
        <w:t>Australian</w:t>
      </w:r>
      <w:r>
        <w:rPr>
          <w:spacing w:val="-4"/>
          <w:sz w:val="16"/>
        </w:rPr>
        <w:t xml:space="preserve"> </w:t>
      </w:r>
      <w:r>
        <w:rPr>
          <w:sz w:val="16"/>
        </w:rPr>
        <w:t>Institute</w:t>
      </w:r>
      <w:r>
        <w:rPr>
          <w:spacing w:val="-4"/>
          <w:sz w:val="16"/>
        </w:rPr>
        <w:t xml:space="preserve"> </w:t>
      </w:r>
      <w:r>
        <w:rPr>
          <w:sz w:val="16"/>
        </w:rPr>
        <w:t>of</w:t>
      </w:r>
      <w:r>
        <w:rPr>
          <w:spacing w:val="-5"/>
          <w:sz w:val="16"/>
        </w:rPr>
        <w:t xml:space="preserve"> </w:t>
      </w:r>
      <w:r>
        <w:rPr>
          <w:sz w:val="16"/>
        </w:rPr>
        <w:t>Health</w:t>
      </w:r>
      <w:r>
        <w:rPr>
          <w:spacing w:val="-4"/>
          <w:sz w:val="16"/>
        </w:rPr>
        <w:t xml:space="preserve"> </w:t>
      </w:r>
      <w:r>
        <w:rPr>
          <w:sz w:val="16"/>
        </w:rPr>
        <w:t>and</w:t>
      </w:r>
      <w:r>
        <w:rPr>
          <w:spacing w:val="-5"/>
          <w:sz w:val="16"/>
        </w:rPr>
        <w:t xml:space="preserve"> </w:t>
      </w:r>
      <w:r>
        <w:rPr>
          <w:sz w:val="16"/>
        </w:rPr>
        <w:t>Welfare</w:t>
      </w:r>
      <w:r>
        <w:rPr>
          <w:spacing w:val="-4"/>
          <w:sz w:val="16"/>
        </w:rPr>
        <w:t xml:space="preserve"> </w:t>
      </w:r>
      <w:r>
        <w:rPr>
          <w:sz w:val="16"/>
        </w:rPr>
        <w:t>2018.</w:t>
      </w:r>
      <w:r>
        <w:rPr>
          <w:color w:val="215E9E"/>
          <w:spacing w:val="-12"/>
          <w:sz w:val="16"/>
        </w:rPr>
        <w:t xml:space="preserve"> </w:t>
      </w:r>
      <w:r>
        <w:rPr>
          <w:color w:val="215E9E"/>
          <w:sz w:val="16"/>
          <w:u w:val="single" w:color="215E9E"/>
        </w:rPr>
        <w:t>Australia’s</w:t>
      </w:r>
      <w:r>
        <w:rPr>
          <w:color w:val="215E9E"/>
          <w:spacing w:val="-4"/>
          <w:sz w:val="16"/>
          <w:u w:val="single" w:color="215E9E"/>
        </w:rPr>
        <w:t xml:space="preserve"> </w:t>
      </w:r>
      <w:r>
        <w:rPr>
          <w:color w:val="215E9E"/>
          <w:sz w:val="16"/>
          <w:u w:val="single" w:color="215E9E"/>
        </w:rPr>
        <w:t>health</w:t>
      </w:r>
      <w:r>
        <w:rPr>
          <w:color w:val="215E9E"/>
          <w:spacing w:val="-5"/>
          <w:sz w:val="16"/>
          <w:u w:val="single" w:color="215E9E"/>
        </w:rPr>
        <w:t xml:space="preserve"> </w:t>
      </w:r>
      <w:r>
        <w:rPr>
          <w:color w:val="215E9E"/>
          <w:sz w:val="16"/>
          <w:u w:val="single" w:color="215E9E"/>
        </w:rPr>
        <w:t>2018</w:t>
      </w:r>
      <w:r>
        <w:rPr>
          <w:sz w:val="16"/>
        </w:rPr>
        <w:t>.</w:t>
      </w:r>
      <w:r>
        <w:rPr>
          <w:spacing w:val="-12"/>
          <w:sz w:val="16"/>
        </w:rPr>
        <w:t xml:space="preserve"> </w:t>
      </w:r>
      <w:r>
        <w:rPr>
          <w:sz w:val="16"/>
        </w:rPr>
        <w:t>Australia’s</w:t>
      </w:r>
      <w:r>
        <w:rPr>
          <w:spacing w:val="-3"/>
          <w:sz w:val="16"/>
        </w:rPr>
        <w:t xml:space="preserve"> </w:t>
      </w:r>
      <w:r>
        <w:rPr>
          <w:sz w:val="16"/>
        </w:rPr>
        <w:t>health</w:t>
      </w:r>
      <w:r>
        <w:rPr>
          <w:spacing w:val="-5"/>
          <w:sz w:val="16"/>
        </w:rPr>
        <w:t xml:space="preserve"> </w:t>
      </w:r>
      <w:r>
        <w:rPr>
          <w:sz w:val="16"/>
        </w:rPr>
        <w:t>series</w:t>
      </w:r>
      <w:r>
        <w:rPr>
          <w:spacing w:val="-4"/>
          <w:sz w:val="16"/>
        </w:rPr>
        <w:t xml:space="preserve"> </w:t>
      </w:r>
      <w:r>
        <w:rPr>
          <w:sz w:val="16"/>
        </w:rPr>
        <w:t>no.</w:t>
      </w:r>
      <w:r>
        <w:rPr>
          <w:spacing w:val="-4"/>
          <w:sz w:val="16"/>
        </w:rPr>
        <w:t xml:space="preserve"> </w:t>
      </w:r>
      <w:r>
        <w:rPr>
          <w:sz w:val="16"/>
        </w:rPr>
        <w:t>16.</w:t>
      </w:r>
      <w:r>
        <w:rPr>
          <w:spacing w:val="-12"/>
          <w:sz w:val="16"/>
        </w:rPr>
        <w:t xml:space="preserve"> </w:t>
      </w:r>
      <w:r>
        <w:rPr>
          <w:sz w:val="16"/>
        </w:rPr>
        <w:t>AUS</w:t>
      </w:r>
      <w:r>
        <w:rPr>
          <w:spacing w:val="-4"/>
          <w:sz w:val="16"/>
        </w:rPr>
        <w:t xml:space="preserve"> </w:t>
      </w:r>
      <w:r>
        <w:rPr>
          <w:sz w:val="16"/>
        </w:rPr>
        <w:t>221.</w:t>
      </w:r>
      <w:r>
        <w:rPr>
          <w:spacing w:val="-5"/>
          <w:sz w:val="16"/>
        </w:rPr>
        <w:t xml:space="preserve"> </w:t>
      </w:r>
      <w:r>
        <w:rPr>
          <w:sz w:val="16"/>
        </w:rPr>
        <w:t>Canberra:</w:t>
      </w:r>
      <w:r>
        <w:rPr>
          <w:spacing w:val="-11"/>
          <w:sz w:val="16"/>
        </w:rPr>
        <w:t xml:space="preserve"> </w:t>
      </w:r>
      <w:r>
        <w:rPr>
          <w:sz w:val="16"/>
        </w:rPr>
        <w:t>AIHW.</w:t>
      </w:r>
    </w:p>
    <w:p w:rsidR="007A0A6C" w:rsidRDefault="00660E26">
      <w:pPr>
        <w:pStyle w:val="ListParagraph"/>
        <w:numPr>
          <w:ilvl w:val="0"/>
          <w:numId w:val="4"/>
        </w:numPr>
        <w:tabs>
          <w:tab w:val="left" w:pos="744"/>
          <w:tab w:val="left" w:pos="745"/>
        </w:tabs>
        <w:ind w:left="744" w:hanging="404"/>
        <w:rPr>
          <w:sz w:val="16"/>
        </w:rPr>
      </w:pPr>
      <w:r>
        <w:rPr>
          <w:sz w:val="16"/>
        </w:rPr>
        <w:t xml:space="preserve">Dudgeon, </w:t>
      </w:r>
      <w:r>
        <w:rPr>
          <w:spacing w:val="-7"/>
          <w:sz w:val="16"/>
        </w:rPr>
        <w:t xml:space="preserve">P., </w:t>
      </w:r>
      <w:r>
        <w:rPr>
          <w:sz w:val="16"/>
        </w:rPr>
        <w:t xml:space="preserve">Hirvonen, </w:t>
      </w:r>
      <w:r>
        <w:rPr>
          <w:spacing w:val="-9"/>
          <w:sz w:val="16"/>
        </w:rPr>
        <w:t xml:space="preserve">T. </w:t>
      </w:r>
      <w:r>
        <w:rPr>
          <w:sz w:val="16"/>
        </w:rPr>
        <w:t>&amp; McPhee, R. (March 29, 2019)</w:t>
      </w:r>
      <w:r>
        <w:rPr>
          <w:color w:val="215E9E"/>
          <w:sz w:val="16"/>
        </w:rPr>
        <w:t xml:space="preserve"> </w:t>
      </w:r>
      <w:r>
        <w:rPr>
          <w:color w:val="215E9E"/>
          <w:sz w:val="16"/>
          <w:u w:val="single" w:color="215E9E"/>
        </w:rPr>
        <w:t>Why are we losing so many Indigenous children to suicide?</w:t>
      </w:r>
      <w:r>
        <w:rPr>
          <w:color w:val="215E9E"/>
          <w:sz w:val="16"/>
        </w:rPr>
        <w:t xml:space="preserve"> </w:t>
      </w:r>
      <w:r>
        <w:rPr>
          <w:sz w:val="16"/>
        </w:rPr>
        <w:t>The</w:t>
      </w:r>
      <w:r>
        <w:rPr>
          <w:spacing w:val="-22"/>
          <w:sz w:val="16"/>
        </w:rPr>
        <w:t xml:space="preserve"> </w:t>
      </w:r>
      <w:r>
        <w:rPr>
          <w:sz w:val="16"/>
        </w:rPr>
        <w:t>Conversation.</w:t>
      </w:r>
    </w:p>
    <w:p w:rsidR="007A0A6C" w:rsidRDefault="00660E26">
      <w:pPr>
        <w:pStyle w:val="ListParagraph"/>
        <w:numPr>
          <w:ilvl w:val="0"/>
          <w:numId w:val="4"/>
        </w:numPr>
        <w:tabs>
          <w:tab w:val="left" w:pos="736"/>
        </w:tabs>
        <w:spacing w:line="261" w:lineRule="auto"/>
        <w:ind w:left="340" w:right="282" w:firstLine="0"/>
        <w:rPr>
          <w:sz w:val="16"/>
        </w:rPr>
      </w:pPr>
      <w:r>
        <w:rPr>
          <w:sz w:val="16"/>
        </w:rPr>
        <w:t>Australian</w:t>
      </w:r>
      <w:r>
        <w:rPr>
          <w:spacing w:val="-2"/>
          <w:sz w:val="16"/>
        </w:rPr>
        <w:t xml:space="preserve"> </w:t>
      </w:r>
      <w:r>
        <w:rPr>
          <w:sz w:val="16"/>
        </w:rPr>
        <w:t>Bureau</w:t>
      </w:r>
      <w:r>
        <w:rPr>
          <w:spacing w:val="-1"/>
          <w:sz w:val="16"/>
        </w:rPr>
        <w:t xml:space="preserve"> </w:t>
      </w:r>
      <w:r>
        <w:rPr>
          <w:sz w:val="16"/>
        </w:rPr>
        <w:t>of</w:t>
      </w:r>
      <w:r>
        <w:rPr>
          <w:spacing w:val="-2"/>
          <w:sz w:val="16"/>
        </w:rPr>
        <w:t xml:space="preserve"> </w:t>
      </w:r>
      <w:r>
        <w:rPr>
          <w:sz w:val="16"/>
        </w:rPr>
        <w:t>Statistics,</w:t>
      </w:r>
      <w:r>
        <w:rPr>
          <w:spacing w:val="-1"/>
          <w:sz w:val="16"/>
        </w:rPr>
        <w:t xml:space="preserve"> </w:t>
      </w:r>
      <w:r>
        <w:rPr>
          <w:sz w:val="16"/>
        </w:rPr>
        <w:t>3303.0</w:t>
      </w:r>
      <w:r>
        <w:rPr>
          <w:spacing w:val="-3"/>
          <w:sz w:val="16"/>
        </w:rPr>
        <w:t xml:space="preserve"> </w:t>
      </w:r>
      <w:r>
        <w:rPr>
          <w:sz w:val="16"/>
        </w:rPr>
        <w:t>-</w:t>
      </w:r>
      <w:r>
        <w:rPr>
          <w:spacing w:val="-1"/>
          <w:sz w:val="16"/>
        </w:rPr>
        <w:t xml:space="preserve"> </w:t>
      </w:r>
      <w:r>
        <w:rPr>
          <w:sz w:val="16"/>
        </w:rPr>
        <w:t>Causes</w:t>
      </w:r>
      <w:r>
        <w:rPr>
          <w:spacing w:val="-2"/>
          <w:sz w:val="16"/>
        </w:rPr>
        <w:t xml:space="preserve"> </w:t>
      </w:r>
      <w:r>
        <w:rPr>
          <w:sz w:val="16"/>
        </w:rPr>
        <w:t>of</w:t>
      </w:r>
      <w:r>
        <w:rPr>
          <w:spacing w:val="-2"/>
          <w:sz w:val="16"/>
        </w:rPr>
        <w:t xml:space="preserve"> </w:t>
      </w:r>
      <w:r>
        <w:rPr>
          <w:sz w:val="16"/>
        </w:rPr>
        <w:t>Death,</w:t>
      </w:r>
      <w:r>
        <w:rPr>
          <w:spacing w:val="-10"/>
          <w:sz w:val="16"/>
        </w:rPr>
        <w:t xml:space="preserve"> </w:t>
      </w:r>
      <w:r>
        <w:rPr>
          <w:sz w:val="16"/>
        </w:rPr>
        <w:t>Australia,</w:t>
      </w:r>
      <w:r>
        <w:rPr>
          <w:spacing w:val="-1"/>
          <w:sz w:val="16"/>
        </w:rPr>
        <w:t xml:space="preserve"> </w:t>
      </w:r>
      <w:r>
        <w:rPr>
          <w:sz w:val="16"/>
        </w:rPr>
        <w:t>2017:</w:t>
      </w:r>
      <w:r>
        <w:rPr>
          <w:color w:val="215E9E"/>
          <w:spacing w:val="-2"/>
          <w:sz w:val="16"/>
        </w:rPr>
        <w:t xml:space="preserve"> </w:t>
      </w:r>
      <w:r>
        <w:rPr>
          <w:color w:val="215E9E"/>
          <w:sz w:val="16"/>
          <w:u w:val="single" w:color="215E9E"/>
        </w:rPr>
        <w:t>Intentional</w:t>
      </w:r>
      <w:r>
        <w:rPr>
          <w:color w:val="215E9E"/>
          <w:spacing w:val="-1"/>
          <w:sz w:val="16"/>
          <w:u w:val="single" w:color="215E9E"/>
        </w:rPr>
        <w:t xml:space="preserve"> </w:t>
      </w:r>
      <w:r>
        <w:rPr>
          <w:color w:val="215E9E"/>
          <w:sz w:val="16"/>
          <w:u w:val="single" w:color="215E9E"/>
        </w:rPr>
        <w:t>self-harm</w:t>
      </w:r>
      <w:r>
        <w:rPr>
          <w:color w:val="215E9E"/>
          <w:spacing w:val="-1"/>
          <w:sz w:val="16"/>
          <w:u w:val="single" w:color="215E9E"/>
        </w:rPr>
        <w:t xml:space="preserve"> </w:t>
      </w:r>
      <w:r>
        <w:rPr>
          <w:color w:val="215E9E"/>
          <w:sz w:val="16"/>
          <w:u w:val="single" w:color="215E9E"/>
        </w:rPr>
        <w:t>in</w:t>
      </w:r>
      <w:r>
        <w:rPr>
          <w:color w:val="215E9E"/>
          <w:spacing w:val="-10"/>
          <w:sz w:val="16"/>
          <w:u w:val="single" w:color="215E9E"/>
        </w:rPr>
        <w:t xml:space="preserve"> </w:t>
      </w:r>
      <w:r>
        <w:rPr>
          <w:color w:val="215E9E"/>
          <w:sz w:val="16"/>
          <w:u w:val="single" w:color="215E9E"/>
        </w:rPr>
        <w:t>Aboriginal</w:t>
      </w:r>
      <w:r>
        <w:rPr>
          <w:color w:val="215E9E"/>
          <w:spacing w:val="-1"/>
          <w:sz w:val="16"/>
          <w:u w:val="single" w:color="215E9E"/>
        </w:rPr>
        <w:t xml:space="preserve"> </w:t>
      </w:r>
      <w:r>
        <w:rPr>
          <w:color w:val="215E9E"/>
          <w:sz w:val="16"/>
          <w:u w:val="single" w:color="215E9E"/>
        </w:rPr>
        <w:t>and</w:t>
      </w:r>
      <w:r>
        <w:rPr>
          <w:color w:val="215E9E"/>
          <w:spacing w:val="-5"/>
          <w:sz w:val="16"/>
          <w:u w:val="single" w:color="215E9E"/>
        </w:rPr>
        <w:t xml:space="preserve"> </w:t>
      </w:r>
      <w:r>
        <w:rPr>
          <w:color w:val="215E9E"/>
          <w:spacing w:val="-4"/>
          <w:sz w:val="16"/>
          <w:u w:val="single" w:color="215E9E"/>
        </w:rPr>
        <w:t>Torres</w:t>
      </w:r>
      <w:r>
        <w:rPr>
          <w:color w:val="215E9E"/>
          <w:spacing w:val="-2"/>
          <w:sz w:val="16"/>
          <w:u w:val="single" w:color="215E9E"/>
        </w:rPr>
        <w:t xml:space="preserve"> </w:t>
      </w:r>
      <w:r>
        <w:rPr>
          <w:color w:val="215E9E"/>
          <w:sz w:val="16"/>
          <w:u w:val="single" w:color="215E9E"/>
        </w:rPr>
        <w:t>Strait</w:t>
      </w:r>
      <w:r>
        <w:rPr>
          <w:color w:val="215E9E"/>
          <w:spacing w:val="-1"/>
          <w:sz w:val="16"/>
          <w:u w:val="single" w:color="215E9E"/>
        </w:rPr>
        <w:t xml:space="preserve"> </w:t>
      </w:r>
      <w:r>
        <w:rPr>
          <w:color w:val="215E9E"/>
          <w:sz w:val="16"/>
          <w:u w:val="single" w:color="215E9E"/>
        </w:rPr>
        <w:t>Islander</w:t>
      </w:r>
      <w:r>
        <w:rPr>
          <w:color w:val="215E9E"/>
          <w:spacing w:val="-1"/>
          <w:sz w:val="16"/>
          <w:u w:val="single" w:color="215E9E"/>
        </w:rPr>
        <w:t xml:space="preserve"> </w:t>
      </w:r>
      <w:r>
        <w:rPr>
          <w:color w:val="215E9E"/>
          <w:sz w:val="16"/>
          <w:u w:val="single" w:color="215E9E"/>
        </w:rPr>
        <w:t>People</w:t>
      </w:r>
      <w:r>
        <w:rPr>
          <w:sz w:val="16"/>
        </w:rPr>
        <w:t>. See</w:t>
      </w:r>
      <w:r>
        <w:rPr>
          <w:spacing w:val="-2"/>
          <w:sz w:val="16"/>
        </w:rPr>
        <w:t xml:space="preserve"> </w:t>
      </w:r>
      <w:r>
        <w:rPr>
          <w:sz w:val="16"/>
        </w:rPr>
        <w:t>also:</w:t>
      </w:r>
      <w:r>
        <w:rPr>
          <w:spacing w:val="-10"/>
          <w:sz w:val="16"/>
        </w:rPr>
        <w:t xml:space="preserve"> </w:t>
      </w:r>
      <w:r>
        <w:rPr>
          <w:sz w:val="16"/>
        </w:rPr>
        <w:t>Aubusson,</w:t>
      </w:r>
      <w:r>
        <w:rPr>
          <w:spacing w:val="-1"/>
          <w:sz w:val="16"/>
        </w:rPr>
        <w:t xml:space="preserve"> </w:t>
      </w:r>
      <w:r>
        <w:rPr>
          <w:sz w:val="16"/>
        </w:rPr>
        <w:t>K.</w:t>
      </w:r>
      <w:r>
        <w:rPr>
          <w:spacing w:val="-1"/>
          <w:sz w:val="16"/>
        </w:rPr>
        <w:t xml:space="preserve"> </w:t>
      </w:r>
      <w:r>
        <w:rPr>
          <w:sz w:val="16"/>
        </w:rPr>
        <w:t>(March</w:t>
      </w:r>
      <w:r>
        <w:rPr>
          <w:spacing w:val="-1"/>
          <w:sz w:val="16"/>
        </w:rPr>
        <w:t xml:space="preserve"> </w:t>
      </w:r>
      <w:r>
        <w:rPr>
          <w:sz w:val="16"/>
        </w:rPr>
        <w:t>20,</w:t>
      </w:r>
      <w:r>
        <w:rPr>
          <w:spacing w:val="-2"/>
          <w:sz w:val="16"/>
        </w:rPr>
        <w:t xml:space="preserve"> </w:t>
      </w:r>
      <w:r>
        <w:rPr>
          <w:sz w:val="16"/>
        </w:rPr>
        <w:t>2019)</w:t>
      </w:r>
      <w:r>
        <w:rPr>
          <w:color w:val="215E9E"/>
          <w:spacing w:val="-1"/>
          <w:sz w:val="16"/>
        </w:rPr>
        <w:t xml:space="preserve"> </w:t>
      </w:r>
      <w:r>
        <w:rPr>
          <w:color w:val="215E9E"/>
          <w:sz w:val="16"/>
          <w:u w:val="single" w:color="215E9E"/>
        </w:rPr>
        <w:t>Leaders</w:t>
      </w:r>
      <w:r>
        <w:rPr>
          <w:color w:val="215E9E"/>
          <w:spacing w:val="-3"/>
          <w:sz w:val="16"/>
          <w:u w:val="single" w:color="215E9E"/>
        </w:rPr>
        <w:t xml:space="preserve"> </w:t>
      </w:r>
      <w:r>
        <w:rPr>
          <w:color w:val="215E9E"/>
          <w:sz w:val="16"/>
          <w:u w:val="single" w:color="215E9E"/>
        </w:rPr>
        <w:t>urged</w:t>
      </w:r>
      <w:r>
        <w:rPr>
          <w:color w:val="215E9E"/>
          <w:spacing w:val="-2"/>
          <w:sz w:val="16"/>
          <w:u w:val="single" w:color="215E9E"/>
        </w:rPr>
        <w:t xml:space="preserve"> </w:t>
      </w:r>
      <w:r>
        <w:rPr>
          <w:color w:val="215E9E"/>
          <w:sz w:val="16"/>
          <w:u w:val="single" w:color="215E9E"/>
        </w:rPr>
        <w:t>to</w:t>
      </w:r>
      <w:r>
        <w:rPr>
          <w:color w:val="215E9E"/>
          <w:spacing w:val="-1"/>
          <w:sz w:val="16"/>
          <w:u w:val="single" w:color="215E9E"/>
        </w:rPr>
        <w:t xml:space="preserve"> </w:t>
      </w:r>
      <w:r>
        <w:rPr>
          <w:color w:val="215E9E"/>
          <w:sz w:val="16"/>
          <w:u w:val="single" w:color="215E9E"/>
        </w:rPr>
        <w:t>declare</w:t>
      </w:r>
      <w:r>
        <w:rPr>
          <w:color w:val="215E9E"/>
          <w:spacing w:val="-10"/>
          <w:sz w:val="16"/>
          <w:u w:val="single" w:color="215E9E"/>
        </w:rPr>
        <w:t xml:space="preserve"> </w:t>
      </w:r>
      <w:r>
        <w:rPr>
          <w:color w:val="215E9E"/>
          <w:sz w:val="16"/>
          <w:u w:val="single" w:color="215E9E"/>
        </w:rPr>
        <w:t>Aboriginal</w:t>
      </w:r>
      <w:r>
        <w:rPr>
          <w:color w:val="215E9E"/>
          <w:spacing w:val="-1"/>
          <w:sz w:val="16"/>
          <w:u w:val="single" w:color="215E9E"/>
        </w:rPr>
        <w:t xml:space="preserve"> </w:t>
      </w:r>
      <w:r>
        <w:rPr>
          <w:color w:val="215E9E"/>
          <w:sz w:val="16"/>
          <w:u w:val="single" w:color="215E9E"/>
        </w:rPr>
        <w:t>child</w:t>
      </w:r>
      <w:r>
        <w:rPr>
          <w:color w:val="215E9E"/>
          <w:spacing w:val="-1"/>
          <w:sz w:val="16"/>
          <w:u w:val="single" w:color="215E9E"/>
        </w:rPr>
        <w:t xml:space="preserve"> </w:t>
      </w:r>
      <w:r>
        <w:rPr>
          <w:color w:val="215E9E"/>
          <w:sz w:val="16"/>
          <w:u w:val="single" w:color="215E9E"/>
        </w:rPr>
        <w:t>suicides</w:t>
      </w:r>
      <w:r>
        <w:rPr>
          <w:color w:val="215E9E"/>
          <w:spacing w:val="-1"/>
          <w:sz w:val="16"/>
          <w:u w:val="single" w:color="215E9E"/>
        </w:rPr>
        <w:t xml:space="preserve"> </w:t>
      </w:r>
      <w:r>
        <w:rPr>
          <w:color w:val="215E9E"/>
          <w:sz w:val="16"/>
          <w:u w:val="single" w:color="215E9E"/>
        </w:rPr>
        <w:t>a</w:t>
      </w:r>
      <w:r>
        <w:rPr>
          <w:color w:val="215E9E"/>
          <w:spacing w:val="-3"/>
          <w:sz w:val="16"/>
          <w:u w:val="single" w:color="215E9E"/>
        </w:rPr>
        <w:t xml:space="preserve"> </w:t>
      </w:r>
      <w:r>
        <w:rPr>
          <w:color w:val="215E9E"/>
          <w:sz w:val="16"/>
          <w:u w:val="single" w:color="215E9E"/>
        </w:rPr>
        <w:t>‘national</w:t>
      </w:r>
      <w:r>
        <w:rPr>
          <w:color w:val="215E9E"/>
          <w:spacing w:val="-2"/>
          <w:sz w:val="16"/>
          <w:u w:val="single" w:color="215E9E"/>
        </w:rPr>
        <w:t xml:space="preserve"> </w:t>
      </w:r>
      <w:r>
        <w:rPr>
          <w:color w:val="215E9E"/>
          <w:sz w:val="16"/>
          <w:u w:val="single" w:color="215E9E"/>
        </w:rPr>
        <w:t>crisis</w:t>
      </w:r>
      <w:r>
        <w:rPr>
          <w:color w:val="215E9E"/>
          <w:sz w:val="16"/>
        </w:rPr>
        <w:t>’</w:t>
      </w:r>
      <w:r>
        <w:rPr>
          <w:sz w:val="16"/>
        </w:rPr>
        <w:t>.</w:t>
      </w:r>
      <w:r>
        <w:rPr>
          <w:spacing w:val="-4"/>
          <w:sz w:val="16"/>
        </w:rPr>
        <w:t xml:space="preserve"> </w:t>
      </w:r>
      <w:r>
        <w:rPr>
          <w:sz w:val="16"/>
        </w:rPr>
        <w:t>The</w:t>
      </w:r>
      <w:r>
        <w:rPr>
          <w:spacing w:val="-1"/>
          <w:sz w:val="16"/>
        </w:rPr>
        <w:t xml:space="preserve"> </w:t>
      </w:r>
      <w:r>
        <w:rPr>
          <w:sz w:val="16"/>
        </w:rPr>
        <w:t>Sydney</w:t>
      </w:r>
      <w:r>
        <w:rPr>
          <w:spacing w:val="-1"/>
          <w:sz w:val="16"/>
        </w:rPr>
        <w:t xml:space="preserve"> </w:t>
      </w:r>
      <w:r>
        <w:rPr>
          <w:sz w:val="16"/>
        </w:rPr>
        <w:t>Morning</w:t>
      </w:r>
      <w:r>
        <w:rPr>
          <w:spacing w:val="-1"/>
          <w:sz w:val="16"/>
        </w:rPr>
        <w:t xml:space="preserve"> </w:t>
      </w:r>
      <w:r>
        <w:rPr>
          <w:sz w:val="16"/>
        </w:rPr>
        <w:t>Herald.</w:t>
      </w:r>
    </w:p>
    <w:p w:rsidR="007A0A6C" w:rsidRDefault="00660E26">
      <w:pPr>
        <w:pStyle w:val="ListParagraph"/>
        <w:numPr>
          <w:ilvl w:val="0"/>
          <w:numId w:val="4"/>
        </w:numPr>
        <w:tabs>
          <w:tab w:val="left" w:pos="736"/>
        </w:tabs>
        <w:spacing w:before="99" w:line="261" w:lineRule="auto"/>
        <w:ind w:left="340" w:right="540" w:firstLine="0"/>
        <w:rPr>
          <w:sz w:val="16"/>
        </w:rPr>
      </w:pPr>
      <w:r>
        <w:rPr>
          <w:sz w:val="16"/>
        </w:rPr>
        <w:t>Australian</w:t>
      </w:r>
      <w:r>
        <w:rPr>
          <w:spacing w:val="-3"/>
          <w:sz w:val="16"/>
        </w:rPr>
        <w:t xml:space="preserve"> </w:t>
      </w:r>
      <w:r>
        <w:rPr>
          <w:sz w:val="16"/>
        </w:rPr>
        <w:t>Bureau</w:t>
      </w:r>
      <w:r>
        <w:rPr>
          <w:spacing w:val="-2"/>
          <w:sz w:val="16"/>
        </w:rPr>
        <w:t xml:space="preserve"> </w:t>
      </w:r>
      <w:r>
        <w:rPr>
          <w:sz w:val="16"/>
        </w:rPr>
        <w:t>of</w:t>
      </w:r>
      <w:r>
        <w:rPr>
          <w:spacing w:val="-4"/>
          <w:sz w:val="16"/>
        </w:rPr>
        <w:t xml:space="preserve"> </w:t>
      </w:r>
      <w:r>
        <w:rPr>
          <w:sz w:val="16"/>
        </w:rPr>
        <w:t>Statistics,</w:t>
      </w:r>
      <w:r>
        <w:rPr>
          <w:spacing w:val="-2"/>
          <w:sz w:val="16"/>
        </w:rPr>
        <w:t xml:space="preserve"> </w:t>
      </w:r>
      <w:r>
        <w:rPr>
          <w:sz w:val="16"/>
        </w:rPr>
        <w:t>3303.0</w:t>
      </w:r>
      <w:r>
        <w:rPr>
          <w:spacing w:val="-4"/>
          <w:sz w:val="16"/>
        </w:rPr>
        <w:t xml:space="preserve"> </w:t>
      </w:r>
      <w:r>
        <w:rPr>
          <w:sz w:val="16"/>
        </w:rPr>
        <w:t>-</w:t>
      </w:r>
      <w:r>
        <w:rPr>
          <w:spacing w:val="-2"/>
          <w:sz w:val="16"/>
        </w:rPr>
        <w:t xml:space="preserve"> </w:t>
      </w:r>
      <w:r>
        <w:rPr>
          <w:sz w:val="16"/>
        </w:rPr>
        <w:t>Causes</w:t>
      </w:r>
      <w:r>
        <w:rPr>
          <w:spacing w:val="-3"/>
          <w:sz w:val="16"/>
        </w:rPr>
        <w:t xml:space="preserve"> </w:t>
      </w:r>
      <w:r>
        <w:rPr>
          <w:sz w:val="16"/>
        </w:rPr>
        <w:t>of</w:t>
      </w:r>
      <w:r>
        <w:rPr>
          <w:spacing w:val="-4"/>
          <w:sz w:val="16"/>
        </w:rPr>
        <w:t xml:space="preserve"> </w:t>
      </w:r>
      <w:r>
        <w:rPr>
          <w:sz w:val="16"/>
        </w:rPr>
        <w:t>Death,</w:t>
      </w:r>
      <w:r>
        <w:rPr>
          <w:spacing w:val="-11"/>
          <w:sz w:val="16"/>
        </w:rPr>
        <w:t xml:space="preserve"> </w:t>
      </w:r>
      <w:r>
        <w:rPr>
          <w:sz w:val="16"/>
        </w:rPr>
        <w:t>Australia,</w:t>
      </w:r>
      <w:r>
        <w:rPr>
          <w:spacing w:val="-2"/>
          <w:sz w:val="16"/>
        </w:rPr>
        <w:t xml:space="preserve"> </w:t>
      </w:r>
      <w:r>
        <w:rPr>
          <w:sz w:val="16"/>
        </w:rPr>
        <w:t>2015:</w:t>
      </w:r>
      <w:r>
        <w:rPr>
          <w:color w:val="215E9E"/>
          <w:spacing w:val="-11"/>
          <w:sz w:val="16"/>
        </w:rPr>
        <w:t xml:space="preserve"> </w:t>
      </w:r>
      <w:r>
        <w:rPr>
          <w:color w:val="215E9E"/>
          <w:sz w:val="16"/>
          <w:u w:val="single" w:color="215E9E"/>
        </w:rPr>
        <w:t>Australia’s</w:t>
      </w:r>
      <w:r>
        <w:rPr>
          <w:color w:val="215E9E"/>
          <w:spacing w:val="-3"/>
          <w:sz w:val="16"/>
          <w:u w:val="single" w:color="215E9E"/>
        </w:rPr>
        <w:t xml:space="preserve"> </w:t>
      </w:r>
      <w:r>
        <w:rPr>
          <w:color w:val="215E9E"/>
          <w:sz w:val="16"/>
          <w:u w:val="single" w:color="215E9E"/>
        </w:rPr>
        <w:t>Leading</w:t>
      </w:r>
      <w:r>
        <w:rPr>
          <w:color w:val="215E9E"/>
          <w:spacing w:val="-3"/>
          <w:sz w:val="16"/>
          <w:u w:val="single" w:color="215E9E"/>
        </w:rPr>
        <w:t xml:space="preserve"> </w:t>
      </w:r>
      <w:r>
        <w:rPr>
          <w:color w:val="215E9E"/>
          <w:sz w:val="16"/>
          <w:u w:val="single" w:color="215E9E"/>
        </w:rPr>
        <w:t>Causes</w:t>
      </w:r>
      <w:r>
        <w:rPr>
          <w:color w:val="215E9E"/>
          <w:spacing w:val="-3"/>
          <w:sz w:val="16"/>
          <w:u w:val="single" w:color="215E9E"/>
        </w:rPr>
        <w:t xml:space="preserve"> </w:t>
      </w:r>
      <w:r>
        <w:rPr>
          <w:color w:val="215E9E"/>
          <w:sz w:val="16"/>
          <w:u w:val="single" w:color="215E9E"/>
        </w:rPr>
        <w:t>of</w:t>
      </w:r>
      <w:r>
        <w:rPr>
          <w:color w:val="215E9E"/>
          <w:spacing w:val="-4"/>
          <w:sz w:val="16"/>
          <w:u w:val="single" w:color="215E9E"/>
        </w:rPr>
        <w:t xml:space="preserve"> </w:t>
      </w:r>
      <w:r>
        <w:rPr>
          <w:color w:val="215E9E"/>
          <w:sz w:val="16"/>
          <w:u w:val="single" w:color="215E9E"/>
        </w:rPr>
        <w:t>Death,</w:t>
      </w:r>
      <w:r>
        <w:rPr>
          <w:color w:val="215E9E"/>
          <w:spacing w:val="-3"/>
          <w:sz w:val="16"/>
          <w:u w:val="single" w:color="215E9E"/>
        </w:rPr>
        <w:t xml:space="preserve"> </w:t>
      </w:r>
      <w:r>
        <w:rPr>
          <w:color w:val="215E9E"/>
          <w:sz w:val="16"/>
          <w:u w:val="single" w:color="215E9E"/>
        </w:rPr>
        <w:t>2015</w:t>
      </w:r>
      <w:r>
        <w:rPr>
          <w:sz w:val="16"/>
        </w:rPr>
        <w:t>.</w:t>
      </w:r>
      <w:r>
        <w:rPr>
          <w:spacing w:val="-3"/>
          <w:sz w:val="16"/>
        </w:rPr>
        <w:t xml:space="preserve"> </w:t>
      </w:r>
      <w:r>
        <w:rPr>
          <w:sz w:val="16"/>
        </w:rPr>
        <w:t>See</w:t>
      </w:r>
      <w:r>
        <w:rPr>
          <w:spacing w:val="-2"/>
          <w:sz w:val="16"/>
        </w:rPr>
        <w:t xml:space="preserve"> </w:t>
      </w:r>
      <w:r>
        <w:rPr>
          <w:sz w:val="16"/>
        </w:rPr>
        <w:t>also:</w:t>
      </w:r>
      <w:r>
        <w:rPr>
          <w:spacing w:val="-11"/>
          <w:sz w:val="16"/>
        </w:rPr>
        <w:t xml:space="preserve"> </w:t>
      </w:r>
      <w:r>
        <w:rPr>
          <w:sz w:val="16"/>
        </w:rPr>
        <w:t>Australian Institute of Health and Welfare 2018.</w:t>
      </w:r>
      <w:r>
        <w:rPr>
          <w:color w:val="215E9E"/>
          <w:sz w:val="16"/>
        </w:rPr>
        <w:t xml:space="preserve"> </w:t>
      </w:r>
      <w:r>
        <w:rPr>
          <w:color w:val="215E9E"/>
          <w:sz w:val="16"/>
          <w:u w:val="single" w:color="215E9E"/>
        </w:rPr>
        <w:t>Australia’s health 2018</w:t>
      </w:r>
      <w:r>
        <w:rPr>
          <w:sz w:val="16"/>
        </w:rPr>
        <w:t>. Australia’s health series no. 16. AUS 221. Canberra: AIHW. See also: Lifeline,</w:t>
      </w:r>
      <w:r>
        <w:rPr>
          <w:color w:val="215E9E"/>
          <w:sz w:val="16"/>
          <w:u w:val="single" w:color="215E9E"/>
        </w:rPr>
        <w:t xml:space="preserve"> Statistics on Suicide in</w:t>
      </w:r>
      <w:r>
        <w:rPr>
          <w:color w:val="215E9E"/>
          <w:spacing w:val="-11"/>
          <w:sz w:val="16"/>
          <w:u w:val="single" w:color="215E9E"/>
        </w:rPr>
        <w:t xml:space="preserve"> </w:t>
      </w:r>
      <w:r>
        <w:rPr>
          <w:color w:val="215E9E"/>
          <w:sz w:val="16"/>
          <w:u w:val="single" w:color="215E9E"/>
        </w:rPr>
        <w:t>Australia</w:t>
      </w:r>
      <w:r>
        <w:rPr>
          <w:sz w:val="16"/>
        </w:rPr>
        <w:t>.</w:t>
      </w:r>
    </w:p>
    <w:p w:rsidR="007A0A6C" w:rsidRDefault="00660E26">
      <w:pPr>
        <w:pStyle w:val="ListParagraph"/>
        <w:numPr>
          <w:ilvl w:val="0"/>
          <w:numId w:val="4"/>
        </w:numPr>
        <w:tabs>
          <w:tab w:val="left" w:pos="745"/>
        </w:tabs>
        <w:spacing w:before="99"/>
        <w:ind w:left="744" w:hanging="404"/>
        <w:rPr>
          <w:sz w:val="16"/>
        </w:rPr>
      </w:pPr>
      <w:r>
        <w:rPr>
          <w:sz w:val="16"/>
        </w:rPr>
        <w:t>Lifeline,</w:t>
      </w:r>
      <w:r>
        <w:rPr>
          <w:color w:val="215E9E"/>
          <w:sz w:val="16"/>
        </w:rPr>
        <w:t xml:space="preserve"> </w:t>
      </w:r>
      <w:r>
        <w:rPr>
          <w:color w:val="215E9E"/>
          <w:sz w:val="16"/>
          <w:u w:val="single" w:color="215E9E"/>
        </w:rPr>
        <w:t>Statistics on Suicide in</w:t>
      </w:r>
      <w:r>
        <w:rPr>
          <w:color w:val="215E9E"/>
          <w:spacing w:val="-11"/>
          <w:sz w:val="16"/>
          <w:u w:val="single" w:color="215E9E"/>
        </w:rPr>
        <w:t xml:space="preserve"> </w:t>
      </w:r>
      <w:r>
        <w:rPr>
          <w:color w:val="215E9E"/>
          <w:sz w:val="16"/>
          <w:u w:val="single" w:color="215E9E"/>
        </w:rPr>
        <w:t>Australia</w:t>
      </w:r>
      <w:r>
        <w:rPr>
          <w:sz w:val="16"/>
        </w:rPr>
        <w:t>.</w:t>
      </w:r>
    </w:p>
    <w:p w:rsidR="007A0A6C" w:rsidRDefault="00660E26">
      <w:pPr>
        <w:pStyle w:val="ListParagraph"/>
        <w:numPr>
          <w:ilvl w:val="0"/>
          <w:numId w:val="4"/>
        </w:numPr>
        <w:tabs>
          <w:tab w:val="left" w:pos="742"/>
        </w:tabs>
        <w:spacing w:line="261" w:lineRule="auto"/>
        <w:ind w:left="340" w:right="499" w:firstLine="0"/>
        <w:rPr>
          <w:sz w:val="16"/>
        </w:rPr>
      </w:pPr>
      <w:r>
        <w:rPr>
          <w:sz w:val="16"/>
        </w:rPr>
        <w:t xml:space="preserve">The suicide rate amongst Aboriginal and </w:t>
      </w:r>
      <w:r>
        <w:rPr>
          <w:spacing w:val="-4"/>
          <w:sz w:val="16"/>
        </w:rPr>
        <w:t xml:space="preserve">Torres </w:t>
      </w:r>
      <w:r>
        <w:rPr>
          <w:sz w:val="16"/>
        </w:rPr>
        <w:t>Strait Islander peoples is more than double the national rate. In 2015, suicide accounted for 5.2% of all Indigenous deaths compared to 1.8% for non-Indigenous people. See: Lifeline,</w:t>
      </w:r>
      <w:r>
        <w:rPr>
          <w:color w:val="215E9E"/>
          <w:sz w:val="16"/>
        </w:rPr>
        <w:t xml:space="preserve"> </w:t>
      </w:r>
      <w:r>
        <w:rPr>
          <w:color w:val="215E9E"/>
          <w:sz w:val="16"/>
          <w:u w:val="single" w:color="215E9E"/>
        </w:rPr>
        <w:t>Statistics on Suicide in</w:t>
      </w:r>
      <w:r>
        <w:rPr>
          <w:color w:val="215E9E"/>
          <w:spacing w:val="-30"/>
          <w:sz w:val="16"/>
          <w:u w:val="single" w:color="215E9E"/>
        </w:rPr>
        <w:t xml:space="preserve"> </w:t>
      </w:r>
      <w:r>
        <w:rPr>
          <w:color w:val="215E9E"/>
          <w:sz w:val="16"/>
          <w:u w:val="single" w:color="215E9E"/>
        </w:rPr>
        <w:t>Australia</w:t>
      </w:r>
      <w:r>
        <w:rPr>
          <w:sz w:val="16"/>
        </w:rPr>
        <w:t>.</w:t>
      </w:r>
    </w:p>
    <w:p w:rsidR="007A0A6C" w:rsidRDefault="00660E26">
      <w:pPr>
        <w:pStyle w:val="ListParagraph"/>
        <w:numPr>
          <w:ilvl w:val="0"/>
          <w:numId w:val="4"/>
        </w:numPr>
        <w:tabs>
          <w:tab w:val="left" w:pos="745"/>
        </w:tabs>
        <w:spacing w:before="99"/>
        <w:ind w:left="744" w:hanging="404"/>
        <w:rPr>
          <w:sz w:val="16"/>
        </w:rPr>
      </w:pPr>
      <w:r>
        <w:rPr>
          <w:sz w:val="16"/>
        </w:rPr>
        <w:t>National Survey on the CRPD, (2019)</w:t>
      </w:r>
      <w:r>
        <w:rPr>
          <w:spacing w:val="-4"/>
          <w:sz w:val="16"/>
        </w:rPr>
        <w:t xml:space="preserve"> </w:t>
      </w:r>
      <w:r>
        <w:rPr>
          <w:sz w:val="16"/>
        </w:rPr>
        <w:t>Findings.</w:t>
      </w:r>
    </w:p>
    <w:p w:rsidR="007A0A6C" w:rsidRDefault="00660E26">
      <w:pPr>
        <w:pStyle w:val="ListParagraph"/>
        <w:numPr>
          <w:ilvl w:val="0"/>
          <w:numId w:val="4"/>
        </w:numPr>
        <w:tabs>
          <w:tab w:val="left" w:pos="745"/>
        </w:tabs>
        <w:ind w:left="744" w:hanging="404"/>
        <w:rPr>
          <w:sz w:val="16"/>
        </w:rPr>
      </w:pPr>
      <w:r>
        <w:rPr>
          <w:sz w:val="16"/>
        </w:rPr>
        <w:t>Worthington,</w:t>
      </w:r>
      <w:r>
        <w:rPr>
          <w:spacing w:val="-5"/>
          <w:sz w:val="16"/>
        </w:rPr>
        <w:t xml:space="preserve"> </w:t>
      </w:r>
      <w:r>
        <w:rPr>
          <w:sz w:val="16"/>
        </w:rPr>
        <w:t>E.</w:t>
      </w:r>
      <w:r>
        <w:rPr>
          <w:spacing w:val="-4"/>
          <w:sz w:val="16"/>
        </w:rPr>
        <w:t xml:space="preserve"> </w:t>
      </w:r>
      <w:r>
        <w:rPr>
          <w:sz w:val="16"/>
        </w:rPr>
        <w:t>(2017)</w:t>
      </w:r>
      <w:r>
        <w:rPr>
          <w:color w:val="215E9E"/>
          <w:spacing w:val="-4"/>
          <w:sz w:val="16"/>
        </w:rPr>
        <w:t xml:space="preserve"> </w:t>
      </w:r>
      <w:r>
        <w:rPr>
          <w:color w:val="215E9E"/>
          <w:sz w:val="16"/>
          <w:u w:val="single" w:color="215E9E"/>
        </w:rPr>
        <w:t>People</w:t>
      </w:r>
      <w:r>
        <w:rPr>
          <w:color w:val="215E9E"/>
          <w:spacing w:val="-4"/>
          <w:sz w:val="16"/>
          <w:u w:val="single" w:color="215E9E"/>
        </w:rPr>
        <w:t xml:space="preserve"> </w:t>
      </w:r>
      <w:r>
        <w:rPr>
          <w:color w:val="215E9E"/>
          <w:sz w:val="16"/>
          <w:u w:val="single" w:color="215E9E"/>
        </w:rPr>
        <w:t>with</w:t>
      </w:r>
      <w:r>
        <w:rPr>
          <w:color w:val="215E9E"/>
          <w:spacing w:val="-5"/>
          <w:sz w:val="16"/>
          <w:u w:val="single" w:color="215E9E"/>
        </w:rPr>
        <w:t xml:space="preserve"> </w:t>
      </w:r>
      <w:r>
        <w:rPr>
          <w:color w:val="215E9E"/>
          <w:sz w:val="16"/>
          <w:u w:val="single" w:color="215E9E"/>
        </w:rPr>
        <w:t>intellectual</w:t>
      </w:r>
      <w:r>
        <w:rPr>
          <w:color w:val="215E9E"/>
          <w:spacing w:val="-5"/>
          <w:sz w:val="16"/>
          <w:u w:val="single" w:color="215E9E"/>
        </w:rPr>
        <w:t xml:space="preserve"> </w:t>
      </w:r>
      <w:r>
        <w:rPr>
          <w:color w:val="215E9E"/>
          <w:sz w:val="16"/>
          <w:u w:val="single" w:color="215E9E"/>
        </w:rPr>
        <w:t>disabilities</w:t>
      </w:r>
      <w:r>
        <w:rPr>
          <w:color w:val="215E9E"/>
          <w:spacing w:val="-5"/>
          <w:sz w:val="16"/>
          <w:u w:val="single" w:color="215E9E"/>
        </w:rPr>
        <w:t xml:space="preserve"> </w:t>
      </w:r>
      <w:r>
        <w:rPr>
          <w:color w:val="215E9E"/>
          <w:sz w:val="16"/>
          <w:u w:val="single" w:color="215E9E"/>
        </w:rPr>
        <w:t>twice</w:t>
      </w:r>
      <w:r>
        <w:rPr>
          <w:color w:val="215E9E"/>
          <w:spacing w:val="-4"/>
          <w:sz w:val="16"/>
          <w:u w:val="single" w:color="215E9E"/>
        </w:rPr>
        <w:t xml:space="preserve"> </w:t>
      </w:r>
      <w:r>
        <w:rPr>
          <w:color w:val="215E9E"/>
          <w:sz w:val="16"/>
          <w:u w:val="single" w:color="215E9E"/>
        </w:rPr>
        <w:t>as</w:t>
      </w:r>
      <w:r>
        <w:rPr>
          <w:color w:val="215E9E"/>
          <w:spacing w:val="-5"/>
          <w:sz w:val="16"/>
          <w:u w:val="single" w:color="215E9E"/>
        </w:rPr>
        <w:t xml:space="preserve"> </w:t>
      </w:r>
      <w:r>
        <w:rPr>
          <w:color w:val="215E9E"/>
          <w:sz w:val="16"/>
          <w:u w:val="single" w:color="215E9E"/>
        </w:rPr>
        <w:t>likely</w:t>
      </w:r>
      <w:r>
        <w:rPr>
          <w:color w:val="215E9E"/>
          <w:spacing w:val="-5"/>
          <w:sz w:val="16"/>
          <w:u w:val="single" w:color="215E9E"/>
        </w:rPr>
        <w:t xml:space="preserve"> </w:t>
      </w:r>
      <w:r>
        <w:rPr>
          <w:color w:val="215E9E"/>
          <w:sz w:val="16"/>
          <w:u w:val="single" w:color="215E9E"/>
        </w:rPr>
        <w:t>to</w:t>
      </w:r>
      <w:r>
        <w:rPr>
          <w:color w:val="215E9E"/>
          <w:spacing w:val="-4"/>
          <w:sz w:val="16"/>
          <w:u w:val="single" w:color="215E9E"/>
        </w:rPr>
        <w:t xml:space="preserve"> </w:t>
      </w:r>
      <w:r>
        <w:rPr>
          <w:color w:val="215E9E"/>
          <w:sz w:val="16"/>
          <w:u w:val="single" w:color="215E9E"/>
        </w:rPr>
        <w:t>suffer</w:t>
      </w:r>
      <w:r>
        <w:rPr>
          <w:color w:val="215E9E"/>
          <w:spacing w:val="-4"/>
          <w:sz w:val="16"/>
          <w:u w:val="single" w:color="215E9E"/>
        </w:rPr>
        <w:t xml:space="preserve"> </w:t>
      </w:r>
      <w:r>
        <w:rPr>
          <w:color w:val="215E9E"/>
          <w:sz w:val="16"/>
          <w:u w:val="single" w:color="215E9E"/>
        </w:rPr>
        <w:t>preventable</w:t>
      </w:r>
      <w:r>
        <w:rPr>
          <w:color w:val="215E9E"/>
          <w:spacing w:val="-4"/>
          <w:sz w:val="16"/>
          <w:u w:val="single" w:color="215E9E"/>
        </w:rPr>
        <w:t xml:space="preserve"> </w:t>
      </w:r>
      <w:r>
        <w:rPr>
          <w:color w:val="215E9E"/>
          <w:sz w:val="16"/>
          <w:u w:val="single" w:color="215E9E"/>
        </w:rPr>
        <w:t>death,</w:t>
      </w:r>
      <w:r>
        <w:rPr>
          <w:color w:val="215E9E"/>
          <w:spacing w:val="-5"/>
          <w:sz w:val="16"/>
          <w:u w:val="single" w:color="215E9E"/>
        </w:rPr>
        <w:t xml:space="preserve"> </w:t>
      </w:r>
      <w:r>
        <w:rPr>
          <w:color w:val="215E9E"/>
          <w:sz w:val="16"/>
          <w:u w:val="single" w:color="215E9E"/>
        </w:rPr>
        <w:t>study</w:t>
      </w:r>
      <w:r>
        <w:rPr>
          <w:color w:val="215E9E"/>
          <w:spacing w:val="-4"/>
          <w:sz w:val="16"/>
          <w:u w:val="single" w:color="215E9E"/>
        </w:rPr>
        <w:t xml:space="preserve"> </w:t>
      </w:r>
      <w:r>
        <w:rPr>
          <w:color w:val="215E9E"/>
          <w:sz w:val="16"/>
          <w:u w:val="single" w:color="215E9E"/>
        </w:rPr>
        <w:t>finds</w:t>
      </w:r>
      <w:r>
        <w:rPr>
          <w:sz w:val="16"/>
        </w:rPr>
        <w:t>.</w:t>
      </w:r>
      <w:r>
        <w:rPr>
          <w:spacing w:val="-13"/>
          <w:sz w:val="16"/>
        </w:rPr>
        <w:t xml:space="preserve"> </w:t>
      </w:r>
      <w:r>
        <w:rPr>
          <w:sz w:val="16"/>
        </w:rPr>
        <w:t>ABC</w:t>
      </w:r>
      <w:r>
        <w:rPr>
          <w:spacing w:val="-3"/>
          <w:sz w:val="16"/>
        </w:rPr>
        <w:t xml:space="preserve"> </w:t>
      </w:r>
      <w:r>
        <w:rPr>
          <w:sz w:val="16"/>
        </w:rPr>
        <w:t>News.</w:t>
      </w:r>
    </w:p>
    <w:p w:rsidR="007A0A6C" w:rsidRDefault="00660E26">
      <w:pPr>
        <w:pStyle w:val="ListParagraph"/>
        <w:numPr>
          <w:ilvl w:val="0"/>
          <w:numId w:val="4"/>
        </w:numPr>
        <w:tabs>
          <w:tab w:val="left" w:pos="745"/>
        </w:tabs>
        <w:ind w:left="744" w:hanging="404"/>
        <w:rPr>
          <w:sz w:val="16"/>
        </w:rPr>
      </w:pPr>
      <w:r>
        <w:rPr>
          <w:sz w:val="16"/>
        </w:rPr>
        <w:t>Worthington,</w:t>
      </w:r>
      <w:r>
        <w:rPr>
          <w:spacing w:val="-5"/>
          <w:sz w:val="16"/>
        </w:rPr>
        <w:t xml:space="preserve"> </w:t>
      </w:r>
      <w:r>
        <w:rPr>
          <w:sz w:val="16"/>
        </w:rPr>
        <w:t>E.</w:t>
      </w:r>
      <w:r>
        <w:rPr>
          <w:spacing w:val="-4"/>
          <w:sz w:val="16"/>
        </w:rPr>
        <w:t xml:space="preserve"> </w:t>
      </w:r>
      <w:r>
        <w:rPr>
          <w:sz w:val="16"/>
        </w:rPr>
        <w:t>(2017)</w:t>
      </w:r>
      <w:r>
        <w:rPr>
          <w:color w:val="215E9E"/>
          <w:spacing w:val="-4"/>
          <w:sz w:val="16"/>
        </w:rPr>
        <w:t xml:space="preserve"> </w:t>
      </w:r>
      <w:r>
        <w:rPr>
          <w:color w:val="215E9E"/>
          <w:sz w:val="16"/>
          <w:u w:val="single" w:color="215E9E"/>
        </w:rPr>
        <w:t>People</w:t>
      </w:r>
      <w:r>
        <w:rPr>
          <w:color w:val="215E9E"/>
          <w:spacing w:val="-4"/>
          <w:sz w:val="16"/>
          <w:u w:val="single" w:color="215E9E"/>
        </w:rPr>
        <w:t xml:space="preserve"> </w:t>
      </w:r>
      <w:r>
        <w:rPr>
          <w:color w:val="215E9E"/>
          <w:sz w:val="16"/>
          <w:u w:val="single" w:color="215E9E"/>
        </w:rPr>
        <w:t>with</w:t>
      </w:r>
      <w:r>
        <w:rPr>
          <w:color w:val="215E9E"/>
          <w:spacing w:val="-5"/>
          <w:sz w:val="16"/>
          <w:u w:val="single" w:color="215E9E"/>
        </w:rPr>
        <w:t xml:space="preserve"> </w:t>
      </w:r>
      <w:r>
        <w:rPr>
          <w:color w:val="215E9E"/>
          <w:sz w:val="16"/>
          <w:u w:val="single" w:color="215E9E"/>
        </w:rPr>
        <w:t>intellectual</w:t>
      </w:r>
      <w:r>
        <w:rPr>
          <w:color w:val="215E9E"/>
          <w:spacing w:val="-5"/>
          <w:sz w:val="16"/>
          <w:u w:val="single" w:color="215E9E"/>
        </w:rPr>
        <w:t xml:space="preserve"> </w:t>
      </w:r>
      <w:r>
        <w:rPr>
          <w:color w:val="215E9E"/>
          <w:sz w:val="16"/>
          <w:u w:val="single" w:color="215E9E"/>
        </w:rPr>
        <w:t>disabilities</w:t>
      </w:r>
      <w:r>
        <w:rPr>
          <w:color w:val="215E9E"/>
          <w:spacing w:val="-5"/>
          <w:sz w:val="16"/>
          <w:u w:val="single" w:color="215E9E"/>
        </w:rPr>
        <w:t xml:space="preserve"> </w:t>
      </w:r>
      <w:r>
        <w:rPr>
          <w:color w:val="215E9E"/>
          <w:sz w:val="16"/>
          <w:u w:val="single" w:color="215E9E"/>
        </w:rPr>
        <w:t>twice</w:t>
      </w:r>
      <w:r>
        <w:rPr>
          <w:color w:val="215E9E"/>
          <w:spacing w:val="-4"/>
          <w:sz w:val="16"/>
          <w:u w:val="single" w:color="215E9E"/>
        </w:rPr>
        <w:t xml:space="preserve"> </w:t>
      </w:r>
      <w:r>
        <w:rPr>
          <w:color w:val="215E9E"/>
          <w:sz w:val="16"/>
          <w:u w:val="single" w:color="215E9E"/>
        </w:rPr>
        <w:t>as</w:t>
      </w:r>
      <w:r>
        <w:rPr>
          <w:color w:val="215E9E"/>
          <w:spacing w:val="-5"/>
          <w:sz w:val="16"/>
          <w:u w:val="single" w:color="215E9E"/>
        </w:rPr>
        <w:t xml:space="preserve"> </w:t>
      </w:r>
      <w:r>
        <w:rPr>
          <w:color w:val="215E9E"/>
          <w:sz w:val="16"/>
          <w:u w:val="single" w:color="215E9E"/>
        </w:rPr>
        <w:t>likely</w:t>
      </w:r>
      <w:r>
        <w:rPr>
          <w:color w:val="215E9E"/>
          <w:spacing w:val="-5"/>
          <w:sz w:val="16"/>
          <w:u w:val="single" w:color="215E9E"/>
        </w:rPr>
        <w:t xml:space="preserve"> </w:t>
      </w:r>
      <w:r>
        <w:rPr>
          <w:color w:val="215E9E"/>
          <w:sz w:val="16"/>
          <w:u w:val="single" w:color="215E9E"/>
        </w:rPr>
        <w:t>to</w:t>
      </w:r>
      <w:r>
        <w:rPr>
          <w:color w:val="215E9E"/>
          <w:spacing w:val="-4"/>
          <w:sz w:val="16"/>
          <w:u w:val="single" w:color="215E9E"/>
        </w:rPr>
        <w:t xml:space="preserve"> </w:t>
      </w:r>
      <w:r>
        <w:rPr>
          <w:color w:val="215E9E"/>
          <w:sz w:val="16"/>
          <w:u w:val="single" w:color="215E9E"/>
        </w:rPr>
        <w:t>suffer</w:t>
      </w:r>
      <w:r>
        <w:rPr>
          <w:color w:val="215E9E"/>
          <w:spacing w:val="-4"/>
          <w:sz w:val="16"/>
          <w:u w:val="single" w:color="215E9E"/>
        </w:rPr>
        <w:t xml:space="preserve"> </w:t>
      </w:r>
      <w:r>
        <w:rPr>
          <w:color w:val="215E9E"/>
          <w:sz w:val="16"/>
          <w:u w:val="single" w:color="215E9E"/>
        </w:rPr>
        <w:t>preventable</w:t>
      </w:r>
      <w:r>
        <w:rPr>
          <w:color w:val="215E9E"/>
          <w:spacing w:val="-4"/>
          <w:sz w:val="16"/>
          <w:u w:val="single" w:color="215E9E"/>
        </w:rPr>
        <w:t xml:space="preserve"> </w:t>
      </w:r>
      <w:r>
        <w:rPr>
          <w:color w:val="215E9E"/>
          <w:sz w:val="16"/>
          <w:u w:val="single" w:color="215E9E"/>
        </w:rPr>
        <w:t>death,</w:t>
      </w:r>
      <w:r>
        <w:rPr>
          <w:color w:val="215E9E"/>
          <w:spacing w:val="-5"/>
          <w:sz w:val="16"/>
          <w:u w:val="single" w:color="215E9E"/>
        </w:rPr>
        <w:t xml:space="preserve"> </w:t>
      </w:r>
      <w:r>
        <w:rPr>
          <w:color w:val="215E9E"/>
          <w:sz w:val="16"/>
          <w:u w:val="single" w:color="215E9E"/>
        </w:rPr>
        <w:t>study</w:t>
      </w:r>
      <w:r>
        <w:rPr>
          <w:color w:val="215E9E"/>
          <w:spacing w:val="-4"/>
          <w:sz w:val="16"/>
          <w:u w:val="single" w:color="215E9E"/>
        </w:rPr>
        <w:t xml:space="preserve"> </w:t>
      </w:r>
      <w:r>
        <w:rPr>
          <w:color w:val="215E9E"/>
          <w:sz w:val="16"/>
          <w:u w:val="single" w:color="215E9E"/>
        </w:rPr>
        <w:t>finds</w:t>
      </w:r>
      <w:r>
        <w:rPr>
          <w:sz w:val="16"/>
        </w:rPr>
        <w:t>.</w:t>
      </w:r>
      <w:r>
        <w:rPr>
          <w:spacing w:val="-13"/>
          <w:sz w:val="16"/>
        </w:rPr>
        <w:t xml:space="preserve"> </w:t>
      </w:r>
      <w:r>
        <w:rPr>
          <w:sz w:val="16"/>
        </w:rPr>
        <w:t>ABC</w:t>
      </w:r>
      <w:r>
        <w:rPr>
          <w:spacing w:val="-3"/>
          <w:sz w:val="16"/>
        </w:rPr>
        <w:t xml:space="preserve"> </w:t>
      </w:r>
      <w:r>
        <w:rPr>
          <w:sz w:val="16"/>
        </w:rPr>
        <w:t>News.</w:t>
      </w:r>
    </w:p>
    <w:p w:rsidR="007A0A6C" w:rsidRDefault="00660E26">
      <w:pPr>
        <w:pStyle w:val="ListParagraph"/>
        <w:numPr>
          <w:ilvl w:val="0"/>
          <w:numId w:val="4"/>
        </w:numPr>
        <w:tabs>
          <w:tab w:val="left" w:pos="745"/>
        </w:tabs>
        <w:spacing w:line="261" w:lineRule="auto"/>
        <w:ind w:left="340" w:right="417" w:firstLine="0"/>
        <w:rPr>
          <w:sz w:val="16"/>
        </w:rPr>
      </w:pPr>
      <w:r>
        <w:rPr>
          <w:sz w:val="16"/>
        </w:rPr>
        <w:t>See: Office of the Public Advocate (February 2016)</w:t>
      </w:r>
      <w:r>
        <w:rPr>
          <w:color w:val="215E9E"/>
          <w:sz w:val="16"/>
        </w:rPr>
        <w:t xml:space="preserve"> </w:t>
      </w:r>
      <w:r>
        <w:rPr>
          <w:color w:val="215E9E"/>
          <w:sz w:val="16"/>
          <w:u w:val="single" w:color="215E9E"/>
        </w:rPr>
        <w:t>Upholding the right to life and health: A review of the deaths in care of people with disability in Queensland. See also:</w:t>
      </w:r>
      <w:r>
        <w:rPr>
          <w:color w:val="215E9E"/>
          <w:sz w:val="16"/>
        </w:rPr>
        <w:t xml:space="preserve"> </w:t>
      </w:r>
      <w:r>
        <w:rPr>
          <w:sz w:val="16"/>
        </w:rPr>
        <w:t>NSW Ombudsman (2018)</w:t>
      </w:r>
      <w:r>
        <w:rPr>
          <w:color w:val="215E9E"/>
          <w:sz w:val="16"/>
        </w:rPr>
        <w:t xml:space="preserve"> </w:t>
      </w:r>
      <w:r>
        <w:rPr>
          <w:color w:val="215E9E"/>
          <w:sz w:val="16"/>
          <w:u w:val="single" w:color="215E9E"/>
        </w:rPr>
        <w:t>Report of Reviewable Deaths in: 2014 and 2015, 2016 and 2017, Deaths of people with disability in residential care</w:t>
      </w:r>
      <w:r>
        <w:rPr>
          <w:sz w:val="16"/>
        </w:rPr>
        <w:t>. NSW Ombudsman,</w:t>
      </w:r>
      <w:r>
        <w:rPr>
          <w:spacing w:val="-6"/>
          <w:sz w:val="16"/>
        </w:rPr>
        <w:t xml:space="preserve"> </w:t>
      </w:r>
      <w:r>
        <w:rPr>
          <w:sz w:val="16"/>
        </w:rPr>
        <w:t>Sydney.</w:t>
      </w:r>
    </w:p>
    <w:p w:rsidR="007A0A6C" w:rsidRDefault="00660E26">
      <w:pPr>
        <w:pStyle w:val="ListParagraph"/>
        <w:numPr>
          <w:ilvl w:val="0"/>
          <w:numId w:val="4"/>
        </w:numPr>
        <w:tabs>
          <w:tab w:val="left" w:pos="742"/>
        </w:tabs>
        <w:spacing w:before="98" w:line="261" w:lineRule="auto"/>
        <w:ind w:left="340" w:right="302" w:firstLine="0"/>
        <w:rPr>
          <w:sz w:val="16"/>
        </w:rPr>
      </w:pPr>
      <w:r>
        <w:rPr>
          <w:sz w:val="16"/>
        </w:rPr>
        <w:t>There has been insufficient attention to engaging with people with disability about their functional capabilities and support needs in emergency situations. While the Australian Accessible Emergency Response System ensures any emergency messages issued during an emergency are accompanied by messages in Auslan for people who are deaf or hearing-impaired, they do not include messages with audio description for people who</w:t>
      </w:r>
      <w:r>
        <w:rPr>
          <w:spacing w:val="-4"/>
          <w:sz w:val="16"/>
        </w:rPr>
        <w:t xml:space="preserve"> </w:t>
      </w:r>
      <w:r>
        <w:rPr>
          <w:sz w:val="16"/>
        </w:rPr>
        <w:t>are</w:t>
      </w:r>
      <w:r>
        <w:rPr>
          <w:spacing w:val="-4"/>
          <w:sz w:val="16"/>
        </w:rPr>
        <w:t xml:space="preserve"> </w:t>
      </w:r>
      <w:r>
        <w:rPr>
          <w:sz w:val="16"/>
        </w:rPr>
        <w:t>vision</w:t>
      </w:r>
      <w:r>
        <w:rPr>
          <w:spacing w:val="-2"/>
          <w:sz w:val="16"/>
        </w:rPr>
        <w:t xml:space="preserve"> </w:t>
      </w:r>
      <w:r>
        <w:rPr>
          <w:sz w:val="16"/>
        </w:rPr>
        <w:t>impaired.</w:t>
      </w:r>
      <w:r>
        <w:rPr>
          <w:spacing w:val="-4"/>
          <w:sz w:val="16"/>
        </w:rPr>
        <w:t xml:space="preserve"> </w:t>
      </w:r>
      <w:r>
        <w:rPr>
          <w:sz w:val="16"/>
        </w:rPr>
        <w:t>See:</w:t>
      </w:r>
      <w:r>
        <w:rPr>
          <w:spacing w:val="-11"/>
          <w:sz w:val="16"/>
        </w:rPr>
        <w:t xml:space="preserve"> </w:t>
      </w:r>
      <w:r>
        <w:rPr>
          <w:sz w:val="16"/>
        </w:rPr>
        <w:t>Australian</w:t>
      </w:r>
      <w:r>
        <w:rPr>
          <w:spacing w:val="-2"/>
          <w:sz w:val="16"/>
        </w:rPr>
        <w:t xml:space="preserve"> </w:t>
      </w:r>
      <w:r>
        <w:rPr>
          <w:sz w:val="16"/>
        </w:rPr>
        <w:t>Blindness</w:t>
      </w:r>
      <w:r>
        <w:rPr>
          <w:spacing w:val="-3"/>
          <w:sz w:val="16"/>
        </w:rPr>
        <w:t xml:space="preserve"> </w:t>
      </w:r>
      <w:r>
        <w:rPr>
          <w:sz w:val="16"/>
        </w:rPr>
        <w:t>Forum,</w:t>
      </w:r>
      <w:r>
        <w:rPr>
          <w:spacing w:val="-2"/>
          <w:sz w:val="16"/>
        </w:rPr>
        <w:t xml:space="preserve"> </w:t>
      </w:r>
      <w:r>
        <w:rPr>
          <w:sz w:val="16"/>
        </w:rPr>
        <w:t>cited</w:t>
      </w:r>
      <w:r>
        <w:rPr>
          <w:spacing w:val="-3"/>
          <w:sz w:val="16"/>
        </w:rPr>
        <w:t xml:space="preserve"> </w:t>
      </w:r>
      <w:r>
        <w:rPr>
          <w:sz w:val="16"/>
        </w:rPr>
        <w:t>in</w:t>
      </w:r>
      <w:r>
        <w:rPr>
          <w:spacing w:val="-4"/>
          <w:sz w:val="16"/>
        </w:rPr>
        <w:t xml:space="preserve"> </w:t>
      </w:r>
      <w:r>
        <w:rPr>
          <w:sz w:val="16"/>
        </w:rPr>
        <w:t>Senate</w:t>
      </w:r>
      <w:r>
        <w:rPr>
          <w:spacing w:val="-2"/>
          <w:sz w:val="16"/>
        </w:rPr>
        <w:t xml:space="preserve"> </w:t>
      </w:r>
      <w:r>
        <w:rPr>
          <w:sz w:val="16"/>
        </w:rPr>
        <w:t>Standing</w:t>
      </w:r>
      <w:r>
        <w:rPr>
          <w:spacing w:val="-3"/>
          <w:sz w:val="16"/>
        </w:rPr>
        <w:t xml:space="preserve"> </w:t>
      </w:r>
      <w:r>
        <w:rPr>
          <w:sz w:val="16"/>
        </w:rPr>
        <w:t>Committee</w:t>
      </w:r>
      <w:r>
        <w:rPr>
          <w:spacing w:val="-3"/>
          <w:sz w:val="16"/>
        </w:rPr>
        <w:t xml:space="preserve"> </w:t>
      </w:r>
      <w:r>
        <w:rPr>
          <w:sz w:val="16"/>
        </w:rPr>
        <w:t>on</w:t>
      </w:r>
      <w:r>
        <w:rPr>
          <w:spacing w:val="-4"/>
          <w:sz w:val="16"/>
        </w:rPr>
        <w:t xml:space="preserve"> </w:t>
      </w:r>
      <w:r>
        <w:rPr>
          <w:sz w:val="16"/>
        </w:rPr>
        <w:t>Community</w:t>
      </w:r>
      <w:r>
        <w:rPr>
          <w:spacing w:val="-11"/>
          <w:sz w:val="16"/>
        </w:rPr>
        <w:t xml:space="preserve"> </w:t>
      </w:r>
      <w:r>
        <w:rPr>
          <w:sz w:val="16"/>
        </w:rPr>
        <w:t>Affairs</w:t>
      </w:r>
      <w:r>
        <w:rPr>
          <w:spacing w:val="-2"/>
          <w:sz w:val="16"/>
        </w:rPr>
        <w:t xml:space="preserve"> </w:t>
      </w:r>
      <w:r>
        <w:rPr>
          <w:sz w:val="16"/>
        </w:rPr>
        <w:t>(29</w:t>
      </w:r>
      <w:r>
        <w:rPr>
          <w:spacing w:val="-3"/>
          <w:sz w:val="16"/>
        </w:rPr>
        <w:t xml:space="preserve"> </w:t>
      </w:r>
      <w:r>
        <w:rPr>
          <w:sz w:val="16"/>
        </w:rPr>
        <w:t>November</w:t>
      </w:r>
      <w:r>
        <w:rPr>
          <w:spacing w:val="-4"/>
          <w:sz w:val="16"/>
        </w:rPr>
        <w:t xml:space="preserve"> </w:t>
      </w:r>
      <w:r>
        <w:rPr>
          <w:sz w:val="16"/>
        </w:rPr>
        <w:t>2017)</w:t>
      </w:r>
      <w:r>
        <w:rPr>
          <w:color w:val="215E9E"/>
          <w:spacing w:val="-2"/>
          <w:sz w:val="16"/>
        </w:rPr>
        <w:t xml:space="preserve"> </w:t>
      </w:r>
      <w:r>
        <w:rPr>
          <w:color w:val="215E9E"/>
          <w:sz w:val="16"/>
          <w:u w:val="single" w:color="215E9E"/>
        </w:rPr>
        <w:t>Delivery of</w:t>
      </w:r>
      <w:r>
        <w:rPr>
          <w:color w:val="215E9E"/>
          <w:spacing w:val="-3"/>
          <w:sz w:val="16"/>
          <w:u w:val="single" w:color="215E9E"/>
        </w:rPr>
        <w:t xml:space="preserve"> </w:t>
      </w:r>
      <w:r>
        <w:rPr>
          <w:color w:val="215E9E"/>
          <w:sz w:val="16"/>
          <w:u w:val="single" w:color="215E9E"/>
        </w:rPr>
        <w:t>outcomes</w:t>
      </w:r>
      <w:r>
        <w:rPr>
          <w:color w:val="215E9E"/>
          <w:spacing w:val="-3"/>
          <w:sz w:val="16"/>
          <w:u w:val="single" w:color="215E9E"/>
        </w:rPr>
        <w:t xml:space="preserve"> </w:t>
      </w:r>
      <w:r>
        <w:rPr>
          <w:color w:val="215E9E"/>
          <w:sz w:val="16"/>
          <w:u w:val="single" w:color="215E9E"/>
        </w:rPr>
        <w:t>under</w:t>
      </w:r>
      <w:r>
        <w:rPr>
          <w:color w:val="215E9E"/>
          <w:spacing w:val="-3"/>
          <w:sz w:val="16"/>
          <w:u w:val="single" w:color="215E9E"/>
        </w:rPr>
        <w:t xml:space="preserve"> </w:t>
      </w:r>
      <w:r>
        <w:rPr>
          <w:color w:val="215E9E"/>
          <w:sz w:val="16"/>
          <w:u w:val="single" w:color="215E9E"/>
        </w:rPr>
        <w:t>the</w:t>
      </w:r>
      <w:r>
        <w:rPr>
          <w:color w:val="215E9E"/>
          <w:spacing w:val="-2"/>
          <w:sz w:val="16"/>
          <w:u w:val="single" w:color="215E9E"/>
        </w:rPr>
        <w:t xml:space="preserve"> </w:t>
      </w:r>
      <w:r>
        <w:rPr>
          <w:color w:val="215E9E"/>
          <w:sz w:val="16"/>
          <w:u w:val="single" w:color="215E9E"/>
        </w:rPr>
        <w:t>National</w:t>
      </w:r>
      <w:r>
        <w:rPr>
          <w:color w:val="215E9E"/>
          <w:spacing w:val="-3"/>
          <w:sz w:val="16"/>
          <w:u w:val="single" w:color="215E9E"/>
        </w:rPr>
        <w:t xml:space="preserve"> </w:t>
      </w:r>
      <w:r>
        <w:rPr>
          <w:color w:val="215E9E"/>
          <w:sz w:val="16"/>
          <w:u w:val="single" w:color="215E9E"/>
        </w:rPr>
        <w:t>Disability</w:t>
      </w:r>
      <w:r>
        <w:rPr>
          <w:color w:val="215E9E"/>
          <w:spacing w:val="-3"/>
          <w:sz w:val="16"/>
          <w:u w:val="single" w:color="215E9E"/>
        </w:rPr>
        <w:t xml:space="preserve"> </w:t>
      </w:r>
      <w:r>
        <w:rPr>
          <w:color w:val="215E9E"/>
          <w:sz w:val="16"/>
          <w:u w:val="single" w:color="215E9E"/>
        </w:rPr>
        <w:t>Strategy</w:t>
      </w:r>
      <w:r>
        <w:rPr>
          <w:color w:val="215E9E"/>
          <w:spacing w:val="-2"/>
          <w:sz w:val="16"/>
          <w:u w:val="single" w:color="215E9E"/>
        </w:rPr>
        <w:t xml:space="preserve"> </w:t>
      </w:r>
      <w:r>
        <w:rPr>
          <w:color w:val="215E9E"/>
          <w:sz w:val="16"/>
          <w:u w:val="single" w:color="215E9E"/>
        </w:rPr>
        <w:t>2010-2020</w:t>
      </w:r>
      <w:r>
        <w:rPr>
          <w:color w:val="215E9E"/>
          <w:spacing w:val="-3"/>
          <w:sz w:val="16"/>
          <w:u w:val="single" w:color="215E9E"/>
        </w:rPr>
        <w:t xml:space="preserve"> </w:t>
      </w:r>
      <w:r>
        <w:rPr>
          <w:color w:val="215E9E"/>
          <w:sz w:val="16"/>
          <w:u w:val="single" w:color="215E9E"/>
        </w:rPr>
        <w:t>to</w:t>
      </w:r>
      <w:r>
        <w:rPr>
          <w:color w:val="215E9E"/>
          <w:spacing w:val="-2"/>
          <w:sz w:val="16"/>
          <w:u w:val="single" w:color="215E9E"/>
        </w:rPr>
        <w:t xml:space="preserve"> </w:t>
      </w:r>
      <w:r>
        <w:rPr>
          <w:color w:val="215E9E"/>
          <w:sz w:val="16"/>
          <w:u w:val="single" w:color="215E9E"/>
        </w:rPr>
        <w:t>build</w:t>
      </w:r>
      <w:r>
        <w:rPr>
          <w:color w:val="215E9E"/>
          <w:spacing w:val="-3"/>
          <w:sz w:val="16"/>
          <w:u w:val="single" w:color="215E9E"/>
        </w:rPr>
        <w:t xml:space="preserve"> </w:t>
      </w:r>
      <w:r>
        <w:rPr>
          <w:color w:val="215E9E"/>
          <w:sz w:val="16"/>
          <w:u w:val="single" w:color="215E9E"/>
        </w:rPr>
        <w:t>inclusive</w:t>
      </w:r>
      <w:r>
        <w:rPr>
          <w:color w:val="215E9E"/>
          <w:spacing w:val="-3"/>
          <w:sz w:val="16"/>
          <w:u w:val="single" w:color="215E9E"/>
        </w:rPr>
        <w:t xml:space="preserve"> </w:t>
      </w:r>
      <w:r>
        <w:rPr>
          <w:color w:val="215E9E"/>
          <w:sz w:val="16"/>
          <w:u w:val="single" w:color="215E9E"/>
        </w:rPr>
        <w:t>and</w:t>
      </w:r>
      <w:r>
        <w:rPr>
          <w:color w:val="215E9E"/>
          <w:spacing w:val="-3"/>
          <w:sz w:val="16"/>
          <w:u w:val="single" w:color="215E9E"/>
        </w:rPr>
        <w:t xml:space="preserve"> </w:t>
      </w:r>
      <w:r>
        <w:rPr>
          <w:color w:val="215E9E"/>
          <w:sz w:val="16"/>
          <w:u w:val="single" w:color="215E9E"/>
        </w:rPr>
        <w:t>accessible</w:t>
      </w:r>
      <w:r>
        <w:rPr>
          <w:color w:val="215E9E"/>
          <w:spacing w:val="-3"/>
          <w:sz w:val="16"/>
          <w:u w:val="single" w:color="215E9E"/>
        </w:rPr>
        <w:t xml:space="preserve"> </w:t>
      </w:r>
      <w:r>
        <w:rPr>
          <w:color w:val="215E9E"/>
          <w:sz w:val="16"/>
          <w:u w:val="single" w:color="215E9E"/>
        </w:rPr>
        <w:t>communities</w:t>
      </w:r>
      <w:r>
        <w:rPr>
          <w:sz w:val="16"/>
        </w:rPr>
        <w:t>.</w:t>
      </w:r>
      <w:r>
        <w:rPr>
          <w:spacing w:val="-2"/>
          <w:sz w:val="16"/>
        </w:rPr>
        <w:t xml:space="preserve"> </w:t>
      </w:r>
      <w:r>
        <w:rPr>
          <w:sz w:val="16"/>
        </w:rPr>
        <w:t>Commonwealth</w:t>
      </w:r>
      <w:r>
        <w:rPr>
          <w:spacing w:val="-3"/>
          <w:sz w:val="16"/>
        </w:rPr>
        <w:t xml:space="preserve"> </w:t>
      </w:r>
      <w:r>
        <w:rPr>
          <w:sz w:val="16"/>
        </w:rPr>
        <w:t>of</w:t>
      </w:r>
      <w:r>
        <w:rPr>
          <w:spacing w:val="-11"/>
          <w:sz w:val="16"/>
        </w:rPr>
        <w:t xml:space="preserve"> </w:t>
      </w:r>
      <w:r>
        <w:rPr>
          <w:sz w:val="16"/>
        </w:rPr>
        <w:t>Australia.</w:t>
      </w:r>
    </w:p>
    <w:p w:rsidR="007A0A6C" w:rsidRDefault="00660E26">
      <w:pPr>
        <w:pStyle w:val="ListParagraph"/>
        <w:numPr>
          <w:ilvl w:val="0"/>
          <w:numId w:val="4"/>
        </w:numPr>
        <w:tabs>
          <w:tab w:val="left" w:pos="742"/>
        </w:tabs>
        <w:spacing w:before="97" w:line="261" w:lineRule="auto"/>
        <w:ind w:left="340" w:right="553" w:firstLine="0"/>
        <w:rPr>
          <w:sz w:val="16"/>
        </w:rPr>
      </w:pPr>
      <w:r>
        <w:rPr>
          <w:sz w:val="16"/>
        </w:rPr>
        <w:t>The</w:t>
      </w:r>
      <w:r>
        <w:rPr>
          <w:color w:val="215E9E"/>
          <w:sz w:val="16"/>
        </w:rPr>
        <w:t xml:space="preserve"> </w:t>
      </w:r>
      <w:r>
        <w:rPr>
          <w:color w:val="215E9E"/>
          <w:sz w:val="16"/>
          <w:u w:val="single" w:color="215E9E"/>
        </w:rPr>
        <w:t>Sendai Framework for Disaster Risk Reduction 2015-2030</w:t>
      </w:r>
      <w:r>
        <w:rPr>
          <w:color w:val="215E9E"/>
          <w:sz w:val="16"/>
        </w:rPr>
        <w:t xml:space="preserve"> </w:t>
      </w:r>
      <w:r>
        <w:rPr>
          <w:sz w:val="16"/>
        </w:rPr>
        <w:t>(Sendai Framework) is the first major agreement of the post-2015 development</w:t>
      </w:r>
      <w:r>
        <w:rPr>
          <w:spacing w:val="-4"/>
          <w:sz w:val="16"/>
        </w:rPr>
        <w:t xml:space="preserve"> </w:t>
      </w:r>
      <w:r>
        <w:rPr>
          <w:sz w:val="16"/>
        </w:rPr>
        <w:t>agenda,</w:t>
      </w:r>
      <w:r>
        <w:rPr>
          <w:spacing w:val="-3"/>
          <w:sz w:val="16"/>
        </w:rPr>
        <w:t xml:space="preserve"> </w:t>
      </w:r>
      <w:r>
        <w:rPr>
          <w:sz w:val="16"/>
        </w:rPr>
        <w:t>with</w:t>
      </w:r>
      <w:r>
        <w:rPr>
          <w:spacing w:val="-3"/>
          <w:sz w:val="16"/>
        </w:rPr>
        <w:t xml:space="preserve"> </w:t>
      </w:r>
      <w:r>
        <w:rPr>
          <w:sz w:val="16"/>
        </w:rPr>
        <w:t>seven</w:t>
      </w:r>
      <w:r>
        <w:rPr>
          <w:spacing w:val="-2"/>
          <w:sz w:val="16"/>
        </w:rPr>
        <w:t xml:space="preserve"> </w:t>
      </w:r>
      <w:r>
        <w:rPr>
          <w:sz w:val="16"/>
        </w:rPr>
        <w:t>targets</w:t>
      </w:r>
      <w:r>
        <w:rPr>
          <w:spacing w:val="-3"/>
          <w:sz w:val="16"/>
        </w:rPr>
        <w:t xml:space="preserve"> </w:t>
      </w:r>
      <w:r>
        <w:rPr>
          <w:sz w:val="16"/>
        </w:rPr>
        <w:t>and</w:t>
      </w:r>
      <w:r>
        <w:rPr>
          <w:spacing w:val="-3"/>
          <w:sz w:val="16"/>
        </w:rPr>
        <w:t xml:space="preserve"> </w:t>
      </w:r>
      <w:r>
        <w:rPr>
          <w:sz w:val="16"/>
        </w:rPr>
        <w:t>four</w:t>
      </w:r>
      <w:r>
        <w:rPr>
          <w:spacing w:val="-2"/>
          <w:sz w:val="16"/>
        </w:rPr>
        <w:t xml:space="preserve"> </w:t>
      </w:r>
      <w:r>
        <w:rPr>
          <w:sz w:val="16"/>
        </w:rPr>
        <w:t>priorities</w:t>
      </w:r>
      <w:r>
        <w:rPr>
          <w:spacing w:val="-3"/>
          <w:sz w:val="16"/>
        </w:rPr>
        <w:t xml:space="preserve"> </w:t>
      </w:r>
      <w:r>
        <w:rPr>
          <w:sz w:val="16"/>
        </w:rPr>
        <w:t>for</w:t>
      </w:r>
      <w:r>
        <w:rPr>
          <w:spacing w:val="-3"/>
          <w:sz w:val="16"/>
        </w:rPr>
        <w:t xml:space="preserve"> </w:t>
      </w:r>
      <w:r>
        <w:rPr>
          <w:sz w:val="16"/>
        </w:rPr>
        <w:t>action.</w:t>
      </w:r>
      <w:r>
        <w:rPr>
          <w:spacing w:val="-3"/>
          <w:sz w:val="16"/>
        </w:rPr>
        <w:t xml:space="preserve"> </w:t>
      </w:r>
      <w:r>
        <w:rPr>
          <w:sz w:val="16"/>
        </w:rPr>
        <w:t>It</w:t>
      </w:r>
      <w:r>
        <w:rPr>
          <w:spacing w:val="-2"/>
          <w:sz w:val="16"/>
        </w:rPr>
        <w:t xml:space="preserve"> </w:t>
      </w:r>
      <w:r>
        <w:rPr>
          <w:sz w:val="16"/>
        </w:rPr>
        <w:t>was</w:t>
      </w:r>
      <w:r>
        <w:rPr>
          <w:spacing w:val="-3"/>
          <w:sz w:val="16"/>
        </w:rPr>
        <w:t xml:space="preserve"> </w:t>
      </w:r>
      <w:r>
        <w:rPr>
          <w:sz w:val="16"/>
        </w:rPr>
        <w:t>endorsed</w:t>
      </w:r>
      <w:r>
        <w:rPr>
          <w:spacing w:val="-3"/>
          <w:sz w:val="16"/>
        </w:rPr>
        <w:t xml:space="preserve"> </w:t>
      </w:r>
      <w:r>
        <w:rPr>
          <w:sz w:val="16"/>
        </w:rPr>
        <w:t>by</w:t>
      </w:r>
      <w:r>
        <w:rPr>
          <w:spacing w:val="-4"/>
          <w:sz w:val="16"/>
        </w:rPr>
        <w:t xml:space="preserve"> </w:t>
      </w:r>
      <w:r>
        <w:rPr>
          <w:sz w:val="16"/>
        </w:rPr>
        <w:t>the</w:t>
      </w:r>
      <w:r>
        <w:rPr>
          <w:spacing w:val="-2"/>
          <w:sz w:val="16"/>
        </w:rPr>
        <w:t xml:space="preserve"> </w:t>
      </w:r>
      <w:r>
        <w:rPr>
          <w:sz w:val="16"/>
        </w:rPr>
        <w:t>UN</w:t>
      </w:r>
      <w:r>
        <w:rPr>
          <w:spacing w:val="-3"/>
          <w:sz w:val="16"/>
        </w:rPr>
        <w:t xml:space="preserve"> </w:t>
      </w:r>
      <w:r>
        <w:rPr>
          <w:sz w:val="16"/>
        </w:rPr>
        <w:t>General</w:t>
      </w:r>
      <w:r>
        <w:rPr>
          <w:spacing w:val="-11"/>
          <w:sz w:val="16"/>
        </w:rPr>
        <w:t xml:space="preserve"> </w:t>
      </w:r>
      <w:r>
        <w:rPr>
          <w:sz w:val="16"/>
        </w:rPr>
        <w:t>Assembly</w:t>
      </w:r>
      <w:r>
        <w:rPr>
          <w:spacing w:val="-2"/>
          <w:sz w:val="16"/>
        </w:rPr>
        <w:t xml:space="preserve"> </w:t>
      </w:r>
      <w:r>
        <w:rPr>
          <w:sz w:val="16"/>
        </w:rPr>
        <w:t>following</w:t>
      </w:r>
      <w:r>
        <w:rPr>
          <w:spacing w:val="-2"/>
          <w:sz w:val="16"/>
        </w:rPr>
        <w:t xml:space="preserve"> </w:t>
      </w:r>
      <w:r>
        <w:rPr>
          <w:sz w:val="16"/>
        </w:rPr>
        <w:t>the</w:t>
      </w:r>
      <w:r>
        <w:rPr>
          <w:spacing w:val="-3"/>
          <w:sz w:val="16"/>
        </w:rPr>
        <w:t xml:space="preserve"> </w:t>
      </w:r>
      <w:r>
        <w:rPr>
          <w:sz w:val="16"/>
        </w:rPr>
        <w:t>2015</w:t>
      </w:r>
      <w:r>
        <w:rPr>
          <w:spacing w:val="-5"/>
          <w:sz w:val="16"/>
        </w:rPr>
        <w:t xml:space="preserve"> </w:t>
      </w:r>
      <w:r>
        <w:rPr>
          <w:sz w:val="16"/>
        </w:rPr>
        <w:t>Third</w:t>
      </w:r>
      <w:r>
        <w:rPr>
          <w:spacing w:val="-2"/>
          <w:sz w:val="16"/>
        </w:rPr>
        <w:t xml:space="preserve"> </w:t>
      </w:r>
      <w:r>
        <w:rPr>
          <w:sz w:val="16"/>
        </w:rPr>
        <w:t>UN World Conference on Disaster Risk Reduction</w:t>
      </w:r>
      <w:r>
        <w:rPr>
          <w:spacing w:val="-8"/>
          <w:sz w:val="16"/>
        </w:rPr>
        <w:t xml:space="preserve"> </w:t>
      </w:r>
      <w:r>
        <w:rPr>
          <w:sz w:val="16"/>
        </w:rPr>
        <w:t>(WCDRR).</w:t>
      </w:r>
    </w:p>
    <w:p w:rsidR="007A0A6C" w:rsidRDefault="007A0A6C">
      <w:pPr>
        <w:spacing w:line="261" w:lineRule="auto"/>
        <w:rPr>
          <w:sz w:val="16"/>
        </w:rPr>
        <w:sectPr w:rsidR="007A0A6C">
          <w:pgSz w:w="11910" w:h="16840"/>
          <w:pgMar w:top="600" w:right="440" w:bottom="540" w:left="380" w:header="0" w:footer="343" w:gutter="0"/>
          <w:cols w:space="720"/>
        </w:sectPr>
      </w:pPr>
    </w:p>
    <w:p w:rsidR="007A0A6C" w:rsidRDefault="00660E26">
      <w:pPr>
        <w:pStyle w:val="ListParagraph"/>
        <w:numPr>
          <w:ilvl w:val="0"/>
          <w:numId w:val="4"/>
        </w:numPr>
        <w:tabs>
          <w:tab w:val="left" w:pos="745"/>
        </w:tabs>
        <w:spacing w:before="68"/>
        <w:ind w:left="744" w:hanging="404"/>
        <w:rPr>
          <w:sz w:val="16"/>
        </w:rPr>
      </w:pPr>
      <w:r>
        <w:rPr>
          <w:sz w:val="16"/>
        </w:rPr>
        <w:lastRenderedPageBreak/>
        <w:t>See: Commonwealth of Australia 2018,</w:t>
      </w:r>
      <w:r>
        <w:rPr>
          <w:color w:val="215E9E"/>
          <w:sz w:val="16"/>
        </w:rPr>
        <w:t xml:space="preserve"> </w:t>
      </w:r>
      <w:r>
        <w:rPr>
          <w:color w:val="215E9E"/>
          <w:sz w:val="16"/>
          <w:u w:val="single" w:color="215E9E"/>
        </w:rPr>
        <w:t>National Disaster Risk Reduction</w:t>
      </w:r>
      <w:r>
        <w:rPr>
          <w:color w:val="215E9E"/>
          <w:spacing w:val="-18"/>
          <w:sz w:val="16"/>
          <w:u w:val="single" w:color="215E9E"/>
        </w:rPr>
        <w:t xml:space="preserve"> </w:t>
      </w:r>
      <w:r>
        <w:rPr>
          <w:color w:val="215E9E"/>
          <w:sz w:val="16"/>
          <w:u w:val="single" w:color="215E9E"/>
        </w:rPr>
        <w:t>Framework</w:t>
      </w:r>
      <w:r>
        <w:rPr>
          <w:sz w:val="16"/>
        </w:rPr>
        <w:t>.</w:t>
      </w:r>
    </w:p>
    <w:p w:rsidR="007A0A6C" w:rsidRDefault="00660E26">
      <w:pPr>
        <w:pStyle w:val="ListParagraph"/>
        <w:numPr>
          <w:ilvl w:val="0"/>
          <w:numId w:val="4"/>
        </w:numPr>
        <w:tabs>
          <w:tab w:val="left" w:pos="745"/>
        </w:tabs>
        <w:ind w:left="744" w:hanging="404"/>
        <w:rPr>
          <w:sz w:val="16"/>
        </w:rPr>
      </w:pPr>
      <w:r>
        <w:rPr>
          <w:sz w:val="16"/>
        </w:rPr>
        <w:t>Sweet, M. (14 May 2019)</w:t>
      </w:r>
      <w:r>
        <w:rPr>
          <w:color w:val="215E9E"/>
          <w:sz w:val="16"/>
        </w:rPr>
        <w:t xml:space="preserve"> </w:t>
      </w:r>
      <w:r>
        <w:rPr>
          <w:color w:val="215E9E"/>
          <w:sz w:val="16"/>
          <w:u w:val="single" w:color="215E9E"/>
        </w:rPr>
        <w:t>Inequality and climate change: the perfect storm threatening the health of Australia’s poorest.</w:t>
      </w:r>
      <w:r>
        <w:rPr>
          <w:color w:val="215E9E"/>
          <w:sz w:val="16"/>
        </w:rPr>
        <w:t xml:space="preserve"> </w:t>
      </w:r>
      <w:r>
        <w:rPr>
          <w:sz w:val="16"/>
        </w:rPr>
        <w:t>The</w:t>
      </w:r>
      <w:r>
        <w:rPr>
          <w:spacing w:val="-31"/>
          <w:sz w:val="16"/>
        </w:rPr>
        <w:t xml:space="preserve"> </w:t>
      </w:r>
      <w:r>
        <w:rPr>
          <w:sz w:val="16"/>
        </w:rPr>
        <w:t>Guardian.</w:t>
      </w:r>
    </w:p>
    <w:p w:rsidR="007A0A6C" w:rsidRDefault="00660E26">
      <w:pPr>
        <w:pStyle w:val="ListParagraph"/>
        <w:numPr>
          <w:ilvl w:val="0"/>
          <w:numId w:val="4"/>
        </w:numPr>
        <w:tabs>
          <w:tab w:val="left" w:pos="736"/>
        </w:tabs>
        <w:spacing w:after="22"/>
        <w:ind w:left="735" w:hanging="395"/>
        <w:rPr>
          <w:sz w:val="16"/>
        </w:rPr>
      </w:pPr>
      <w:r>
        <w:rPr>
          <w:sz w:val="16"/>
        </w:rPr>
        <w:t>Australian</w:t>
      </w:r>
      <w:r>
        <w:rPr>
          <w:spacing w:val="-3"/>
          <w:sz w:val="16"/>
        </w:rPr>
        <w:t xml:space="preserve"> </w:t>
      </w:r>
      <w:r>
        <w:rPr>
          <w:sz w:val="16"/>
        </w:rPr>
        <w:t>Law</w:t>
      </w:r>
      <w:r>
        <w:rPr>
          <w:spacing w:val="-4"/>
          <w:sz w:val="16"/>
        </w:rPr>
        <w:t xml:space="preserve"> </w:t>
      </w:r>
      <w:r>
        <w:rPr>
          <w:sz w:val="16"/>
        </w:rPr>
        <w:t>Reform</w:t>
      </w:r>
      <w:r>
        <w:rPr>
          <w:spacing w:val="-3"/>
          <w:sz w:val="16"/>
        </w:rPr>
        <w:t xml:space="preserve"> </w:t>
      </w:r>
      <w:r>
        <w:rPr>
          <w:sz w:val="16"/>
        </w:rPr>
        <w:t>Commission,</w:t>
      </w:r>
      <w:r>
        <w:rPr>
          <w:color w:val="215E9E"/>
          <w:spacing w:val="-3"/>
          <w:sz w:val="16"/>
        </w:rPr>
        <w:t xml:space="preserve"> </w:t>
      </w:r>
      <w:r>
        <w:rPr>
          <w:color w:val="215E9E"/>
          <w:sz w:val="16"/>
          <w:u w:val="single" w:color="215E9E"/>
        </w:rPr>
        <w:t>Equality,</w:t>
      </w:r>
      <w:r>
        <w:rPr>
          <w:color w:val="215E9E"/>
          <w:spacing w:val="-2"/>
          <w:sz w:val="16"/>
          <w:u w:val="single" w:color="215E9E"/>
        </w:rPr>
        <w:t xml:space="preserve"> </w:t>
      </w:r>
      <w:r>
        <w:rPr>
          <w:color w:val="215E9E"/>
          <w:sz w:val="16"/>
          <w:u w:val="single" w:color="215E9E"/>
        </w:rPr>
        <w:t>Capacity</w:t>
      </w:r>
      <w:r>
        <w:rPr>
          <w:color w:val="215E9E"/>
          <w:spacing w:val="-4"/>
          <w:sz w:val="16"/>
          <w:u w:val="single" w:color="215E9E"/>
        </w:rPr>
        <w:t xml:space="preserve"> </w:t>
      </w:r>
      <w:r>
        <w:rPr>
          <w:color w:val="215E9E"/>
          <w:sz w:val="16"/>
          <w:u w:val="single" w:color="215E9E"/>
        </w:rPr>
        <w:t>and</w:t>
      </w:r>
      <w:r>
        <w:rPr>
          <w:color w:val="215E9E"/>
          <w:spacing w:val="-4"/>
          <w:sz w:val="16"/>
          <w:u w:val="single" w:color="215E9E"/>
        </w:rPr>
        <w:t xml:space="preserve"> </w:t>
      </w:r>
      <w:r>
        <w:rPr>
          <w:color w:val="215E9E"/>
          <w:sz w:val="16"/>
          <w:u w:val="single" w:color="215E9E"/>
        </w:rPr>
        <w:t>Disability</w:t>
      </w:r>
      <w:r>
        <w:rPr>
          <w:color w:val="215E9E"/>
          <w:spacing w:val="-3"/>
          <w:sz w:val="16"/>
          <w:u w:val="single" w:color="215E9E"/>
        </w:rPr>
        <w:t xml:space="preserve"> </w:t>
      </w:r>
      <w:r>
        <w:rPr>
          <w:color w:val="215E9E"/>
          <w:sz w:val="16"/>
          <w:u w:val="single" w:color="215E9E"/>
        </w:rPr>
        <w:t>in</w:t>
      </w:r>
      <w:r>
        <w:rPr>
          <w:color w:val="215E9E"/>
          <w:spacing w:val="-4"/>
          <w:sz w:val="16"/>
          <w:u w:val="single" w:color="215E9E"/>
        </w:rPr>
        <w:t xml:space="preserve"> </w:t>
      </w:r>
      <w:r>
        <w:rPr>
          <w:color w:val="215E9E"/>
          <w:sz w:val="16"/>
          <w:u w:val="single" w:color="215E9E"/>
        </w:rPr>
        <w:t>Commonwealth</w:t>
      </w:r>
      <w:r>
        <w:rPr>
          <w:color w:val="215E9E"/>
          <w:spacing w:val="-3"/>
          <w:sz w:val="16"/>
          <w:u w:val="single" w:color="215E9E"/>
        </w:rPr>
        <w:t xml:space="preserve"> </w:t>
      </w:r>
      <w:r>
        <w:rPr>
          <w:color w:val="215E9E"/>
          <w:sz w:val="16"/>
          <w:u w:val="single" w:color="215E9E"/>
        </w:rPr>
        <w:t>Laws</w:t>
      </w:r>
      <w:r>
        <w:rPr>
          <w:color w:val="215E9E"/>
          <w:spacing w:val="-2"/>
          <w:sz w:val="16"/>
        </w:rPr>
        <w:t xml:space="preserve"> </w:t>
      </w:r>
      <w:r>
        <w:rPr>
          <w:sz w:val="16"/>
        </w:rPr>
        <w:t>(ALRC</w:t>
      </w:r>
      <w:r>
        <w:rPr>
          <w:spacing w:val="-3"/>
          <w:sz w:val="16"/>
        </w:rPr>
        <w:t xml:space="preserve"> </w:t>
      </w:r>
      <w:r>
        <w:rPr>
          <w:sz w:val="16"/>
        </w:rPr>
        <w:t>Report</w:t>
      </w:r>
      <w:r>
        <w:rPr>
          <w:spacing w:val="-3"/>
          <w:sz w:val="16"/>
        </w:rPr>
        <w:t xml:space="preserve"> </w:t>
      </w:r>
      <w:r>
        <w:rPr>
          <w:sz w:val="16"/>
        </w:rPr>
        <w:t>124);</w:t>
      </w:r>
      <w:r>
        <w:rPr>
          <w:spacing w:val="-4"/>
          <w:sz w:val="16"/>
        </w:rPr>
        <w:t xml:space="preserve"> </w:t>
      </w:r>
      <w:r>
        <w:rPr>
          <w:sz w:val="16"/>
        </w:rPr>
        <w:t>tabled</w:t>
      </w:r>
      <w:r>
        <w:rPr>
          <w:spacing w:val="-2"/>
          <w:sz w:val="16"/>
        </w:rPr>
        <w:t xml:space="preserve"> </w:t>
      </w:r>
      <w:r>
        <w:rPr>
          <w:sz w:val="16"/>
        </w:rPr>
        <w:t>on</w:t>
      </w:r>
      <w:r>
        <w:rPr>
          <w:spacing w:val="-4"/>
          <w:sz w:val="16"/>
        </w:rPr>
        <w:t xml:space="preserve"> </w:t>
      </w:r>
      <w:r>
        <w:rPr>
          <w:sz w:val="16"/>
        </w:rPr>
        <w:t>24</w:t>
      </w:r>
      <w:r>
        <w:rPr>
          <w:spacing w:val="-3"/>
          <w:sz w:val="16"/>
        </w:rPr>
        <w:t xml:space="preserve"> </w:t>
      </w:r>
      <w:r>
        <w:rPr>
          <w:sz w:val="16"/>
        </w:rPr>
        <w:t>November</w:t>
      </w:r>
    </w:p>
    <w:tbl>
      <w:tblPr>
        <w:tblW w:w="0" w:type="auto"/>
        <w:tblInd w:w="297" w:type="dxa"/>
        <w:tblLayout w:type="fixed"/>
        <w:tblCellMar>
          <w:left w:w="0" w:type="dxa"/>
          <w:right w:w="0" w:type="dxa"/>
        </w:tblCellMar>
        <w:tblLook w:val="01E0" w:firstRow="1" w:lastRow="1" w:firstColumn="1" w:lastColumn="1" w:noHBand="0" w:noVBand="0"/>
      </w:tblPr>
      <w:tblGrid>
        <w:gridCol w:w="452"/>
        <w:gridCol w:w="9847"/>
      </w:tblGrid>
      <w:tr w:rsidR="007A0A6C">
        <w:trPr>
          <w:trHeight w:val="239"/>
        </w:trPr>
        <w:tc>
          <w:tcPr>
            <w:tcW w:w="452" w:type="dxa"/>
          </w:tcPr>
          <w:p w:rsidR="007A0A6C" w:rsidRDefault="00660E26">
            <w:pPr>
              <w:pStyle w:val="TableParagraph"/>
              <w:spacing w:before="0" w:line="179" w:lineRule="exact"/>
              <w:ind w:left="50"/>
              <w:rPr>
                <w:sz w:val="16"/>
              </w:rPr>
            </w:pPr>
            <w:r>
              <w:rPr>
                <w:sz w:val="16"/>
              </w:rPr>
              <w:t>2014.</w:t>
            </w:r>
          </w:p>
        </w:tc>
        <w:tc>
          <w:tcPr>
            <w:tcW w:w="9847" w:type="dxa"/>
          </w:tcPr>
          <w:p w:rsidR="007A0A6C" w:rsidRDefault="007A0A6C">
            <w:pPr>
              <w:pStyle w:val="TableParagraph"/>
              <w:spacing w:before="0"/>
              <w:ind w:left="0"/>
              <w:rPr>
                <w:rFonts w:ascii="Times New Roman"/>
                <w:sz w:val="16"/>
              </w:rPr>
            </w:pPr>
          </w:p>
        </w:tc>
      </w:tr>
      <w:tr w:rsidR="007A0A6C">
        <w:trPr>
          <w:trHeight w:val="300"/>
        </w:trPr>
        <w:tc>
          <w:tcPr>
            <w:tcW w:w="452" w:type="dxa"/>
          </w:tcPr>
          <w:p w:rsidR="007A0A6C" w:rsidRDefault="00660E26">
            <w:pPr>
              <w:pStyle w:val="TableParagraph"/>
              <w:ind w:left="50"/>
              <w:rPr>
                <w:sz w:val="16"/>
              </w:rPr>
            </w:pPr>
            <w:r>
              <w:rPr>
                <w:sz w:val="16"/>
              </w:rPr>
              <w:t>113</w:t>
            </w:r>
          </w:p>
        </w:tc>
        <w:tc>
          <w:tcPr>
            <w:tcW w:w="9847" w:type="dxa"/>
          </w:tcPr>
          <w:p w:rsidR="007A0A6C" w:rsidRDefault="00660E26">
            <w:pPr>
              <w:pStyle w:val="TableParagraph"/>
              <w:ind w:left="2"/>
              <w:rPr>
                <w:sz w:val="16"/>
              </w:rPr>
            </w:pPr>
            <w:r>
              <w:rPr>
                <w:sz w:val="16"/>
              </w:rPr>
              <w:t>Including guardianship and administration laws.</w:t>
            </w:r>
          </w:p>
        </w:tc>
      </w:tr>
      <w:tr w:rsidR="007A0A6C">
        <w:trPr>
          <w:trHeight w:val="300"/>
        </w:trPr>
        <w:tc>
          <w:tcPr>
            <w:tcW w:w="452" w:type="dxa"/>
          </w:tcPr>
          <w:p w:rsidR="007A0A6C" w:rsidRDefault="00660E26">
            <w:pPr>
              <w:pStyle w:val="TableParagraph"/>
              <w:ind w:left="50"/>
              <w:rPr>
                <w:sz w:val="16"/>
              </w:rPr>
            </w:pPr>
            <w:r>
              <w:rPr>
                <w:sz w:val="16"/>
              </w:rPr>
              <w:t>114</w:t>
            </w:r>
          </w:p>
        </w:tc>
        <w:tc>
          <w:tcPr>
            <w:tcW w:w="9847" w:type="dxa"/>
          </w:tcPr>
          <w:p w:rsidR="007A0A6C" w:rsidRDefault="00660E26">
            <w:pPr>
              <w:pStyle w:val="TableParagraph"/>
              <w:ind w:left="2"/>
              <w:rPr>
                <w:sz w:val="16"/>
              </w:rPr>
            </w:pPr>
            <w:r>
              <w:rPr>
                <w:sz w:val="16"/>
              </w:rPr>
              <w:t xml:space="preserve">Disability Rights Now (2012) </w:t>
            </w:r>
            <w:r>
              <w:rPr>
                <w:color w:val="215E9E"/>
                <w:sz w:val="16"/>
                <w:u w:val="single" w:color="215E9E"/>
              </w:rPr>
              <w:t>CRPD Civil Society Report on Australia</w:t>
            </w:r>
            <w:r>
              <w:rPr>
                <w:sz w:val="16"/>
              </w:rPr>
              <w:t>.</w:t>
            </w:r>
          </w:p>
        </w:tc>
      </w:tr>
      <w:tr w:rsidR="007A0A6C">
        <w:trPr>
          <w:trHeight w:val="300"/>
        </w:trPr>
        <w:tc>
          <w:tcPr>
            <w:tcW w:w="452" w:type="dxa"/>
          </w:tcPr>
          <w:p w:rsidR="007A0A6C" w:rsidRDefault="00660E26">
            <w:pPr>
              <w:pStyle w:val="TableParagraph"/>
              <w:ind w:left="50"/>
              <w:rPr>
                <w:sz w:val="16"/>
              </w:rPr>
            </w:pPr>
            <w:r>
              <w:rPr>
                <w:sz w:val="16"/>
              </w:rPr>
              <w:t>115</w:t>
            </w:r>
          </w:p>
        </w:tc>
        <w:tc>
          <w:tcPr>
            <w:tcW w:w="9847" w:type="dxa"/>
          </w:tcPr>
          <w:p w:rsidR="007A0A6C" w:rsidRDefault="00660E26">
            <w:pPr>
              <w:pStyle w:val="TableParagraph"/>
              <w:ind w:left="2"/>
              <w:rPr>
                <w:sz w:val="16"/>
              </w:rPr>
            </w:pPr>
            <w:r>
              <w:rPr>
                <w:sz w:val="16"/>
              </w:rPr>
              <w:t xml:space="preserve">Productivity Commission, </w:t>
            </w:r>
            <w:r>
              <w:rPr>
                <w:color w:val="215E9E"/>
                <w:sz w:val="16"/>
                <w:u w:val="single" w:color="215E9E"/>
              </w:rPr>
              <w:t>Report on Government Services 2019</w:t>
            </w:r>
            <w:r>
              <w:rPr>
                <w:sz w:val="16"/>
              </w:rPr>
              <w:t>, Chapter 17: Youth justice services.</w:t>
            </w:r>
          </w:p>
        </w:tc>
      </w:tr>
      <w:tr w:rsidR="007A0A6C">
        <w:trPr>
          <w:trHeight w:val="239"/>
        </w:trPr>
        <w:tc>
          <w:tcPr>
            <w:tcW w:w="452" w:type="dxa"/>
          </w:tcPr>
          <w:p w:rsidR="007A0A6C" w:rsidRDefault="00660E26">
            <w:pPr>
              <w:pStyle w:val="TableParagraph"/>
              <w:spacing w:line="164" w:lineRule="exact"/>
              <w:ind w:left="50"/>
              <w:rPr>
                <w:sz w:val="16"/>
              </w:rPr>
            </w:pPr>
            <w:r>
              <w:rPr>
                <w:sz w:val="16"/>
              </w:rPr>
              <w:t>116</w:t>
            </w:r>
          </w:p>
        </w:tc>
        <w:tc>
          <w:tcPr>
            <w:tcW w:w="9847" w:type="dxa"/>
          </w:tcPr>
          <w:p w:rsidR="007A0A6C" w:rsidRDefault="00660E26">
            <w:pPr>
              <w:pStyle w:val="TableParagraph"/>
              <w:spacing w:line="164" w:lineRule="exact"/>
              <w:ind w:left="2"/>
              <w:rPr>
                <w:sz w:val="16"/>
              </w:rPr>
            </w:pPr>
            <w:r>
              <w:rPr>
                <w:sz w:val="16"/>
              </w:rPr>
              <w:t>Since 2004 there has been a 95% increase in the number of Aboriginal and Torres Strait Islander people in custody. 27% of the total prison</w:t>
            </w:r>
          </w:p>
        </w:tc>
      </w:tr>
    </w:tbl>
    <w:p w:rsidR="007A0A6C" w:rsidRDefault="00660E26">
      <w:pPr>
        <w:spacing w:before="16" w:line="261" w:lineRule="auto"/>
        <w:ind w:left="340" w:right="217"/>
        <w:rPr>
          <w:sz w:val="16"/>
        </w:rPr>
      </w:pPr>
      <w:r>
        <w:rPr>
          <w:sz w:val="16"/>
        </w:rPr>
        <w:t xml:space="preserve">population are Aboriginal and Torres Strait Islander people. See: Australian Institute of Health and Welfare 2018. </w:t>
      </w:r>
      <w:r>
        <w:rPr>
          <w:color w:val="215E9E"/>
          <w:sz w:val="16"/>
          <w:u w:val="single" w:color="215E9E"/>
        </w:rPr>
        <w:t>Australia’s health 2018</w:t>
      </w:r>
      <w:r>
        <w:rPr>
          <w:sz w:val="16"/>
        </w:rPr>
        <w:t xml:space="preserve">. Australia’s health series no. 16. AUS 221. Canberra: AIHW. See also: Australian Institute of Health and Welfare (2019) </w:t>
      </w:r>
      <w:r>
        <w:rPr>
          <w:color w:val="215E9E"/>
          <w:sz w:val="16"/>
          <w:u w:val="single" w:color="215E9E"/>
        </w:rPr>
        <w:t>The health of Australia’s prisoners 2018</w:t>
      </w:r>
      <w:r>
        <w:rPr>
          <w:sz w:val="16"/>
        </w:rPr>
        <w:t>. Cat. no. PHE 246. Canberra: AIHW. See also: Commonwealth of Australia (2013) Senate Legal and Constitutional Affairs References Committee, Report of the Senate Inquiry into ‘</w:t>
      </w:r>
      <w:r>
        <w:rPr>
          <w:color w:val="215E9E"/>
          <w:sz w:val="16"/>
          <w:u w:val="single" w:color="215E9E"/>
        </w:rPr>
        <w:t>Value of a justice reinvestment approach to criminal justice in Australia</w:t>
      </w:r>
      <w:r>
        <w:rPr>
          <w:color w:val="215E9E"/>
          <w:sz w:val="16"/>
        </w:rPr>
        <w:t>’</w:t>
      </w:r>
      <w:r>
        <w:rPr>
          <w:sz w:val="16"/>
        </w:rPr>
        <w:t xml:space="preserve">; See also: Commonwealth of Australia (2016) Senate Standing Committee on Community Affairs, Report: </w:t>
      </w:r>
      <w:r>
        <w:rPr>
          <w:color w:val="215E9E"/>
          <w:sz w:val="16"/>
          <w:u w:val="single" w:color="215E9E"/>
        </w:rPr>
        <w:t>Indefinite detention of people with cognitive and psychiatric impairment in</w:t>
      </w:r>
      <w:r>
        <w:rPr>
          <w:color w:val="215E9E"/>
          <w:sz w:val="16"/>
        </w:rPr>
        <w:t xml:space="preserve"> </w:t>
      </w:r>
      <w:r>
        <w:rPr>
          <w:color w:val="215E9E"/>
          <w:sz w:val="16"/>
          <w:u w:val="single" w:color="215E9E"/>
        </w:rPr>
        <w:t>Australia</w:t>
      </w:r>
      <w:r>
        <w:rPr>
          <w:sz w:val="16"/>
        </w:rPr>
        <w:t>.</w:t>
      </w:r>
    </w:p>
    <w:p w:rsidR="007A0A6C" w:rsidRDefault="00660E26">
      <w:pPr>
        <w:pStyle w:val="ListParagraph"/>
        <w:numPr>
          <w:ilvl w:val="0"/>
          <w:numId w:val="3"/>
        </w:numPr>
        <w:tabs>
          <w:tab w:val="left" w:pos="736"/>
        </w:tabs>
        <w:spacing w:before="96"/>
        <w:ind w:hanging="395"/>
        <w:rPr>
          <w:sz w:val="16"/>
        </w:rPr>
      </w:pPr>
      <w:r>
        <w:rPr>
          <w:sz w:val="16"/>
        </w:rPr>
        <w:t>Australian</w:t>
      </w:r>
      <w:r>
        <w:rPr>
          <w:spacing w:val="-2"/>
          <w:sz w:val="16"/>
        </w:rPr>
        <w:t xml:space="preserve"> </w:t>
      </w:r>
      <w:r>
        <w:rPr>
          <w:sz w:val="16"/>
        </w:rPr>
        <w:t>Institute</w:t>
      </w:r>
      <w:r>
        <w:rPr>
          <w:spacing w:val="-1"/>
          <w:sz w:val="16"/>
        </w:rPr>
        <w:t xml:space="preserve"> </w:t>
      </w:r>
      <w:r>
        <w:rPr>
          <w:sz w:val="16"/>
        </w:rPr>
        <w:t>of</w:t>
      </w:r>
      <w:r>
        <w:rPr>
          <w:spacing w:val="-3"/>
          <w:sz w:val="16"/>
        </w:rPr>
        <w:t xml:space="preserve"> </w:t>
      </w:r>
      <w:r>
        <w:rPr>
          <w:sz w:val="16"/>
        </w:rPr>
        <w:t>Health</w:t>
      </w:r>
      <w:r>
        <w:rPr>
          <w:spacing w:val="-2"/>
          <w:sz w:val="16"/>
        </w:rPr>
        <w:t xml:space="preserve"> </w:t>
      </w:r>
      <w:r>
        <w:rPr>
          <w:sz w:val="16"/>
        </w:rPr>
        <w:t>and</w:t>
      </w:r>
      <w:r>
        <w:rPr>
          <w:spacing w:val="-3"/>
          <w:sz w:val="16"/>
        </w:rPr>
        <w:t xml:space="preserve"> </w:t>
      </w:r>
      <w:r>
        <w:rPr>
          <w:sz w:val="16"/>
        </w:rPr>
        <w:t>Welfare</w:t>
      </w:r>
      <w:r>
        <w:rPr>
          <w:spacing w:val="-2"/>
          <w:sz w:val="16"/>
        </w:rPr>
        <w:t xml:space="preserve"> </w:t>
      </w:r>
      <w:r>
        <w:rPr>
          <w:sz w:val="16"/>
        </w:rPr>
        <w:t>2018.</w:t>
      </w:r>
      <w:r>
        <w:rPr>
          <w:color w:val="215E9E"/>
          <w:spacing w:val="-10"/>
          <w:sz w:val="16"/>
        </w:rPr>
        <w:t xml:space="preserve"> </w:t>
      </w:r>
      <w:r>
        <w:rPr>
          <w:color w:val="215E9E"/>
          <w:sz w:val="16"/>
          <w:u w:val="single" w:color="215E9E"/>
        </w:rPr>
        <w:t>Australia’s</w:t>
      </w:r>
      <w:r>
        <w:rPr>
          <w:color w:val="215E9E"/>
          <w:spacing w:val="-2"/>
          <w:sz w:val="16"/>
          <w:u w:val="single" w:color="215E9E"/>
        </w:rPr>
        <w:t xml:space="preserve"> </w:t>
      </w:r>
      <w:r>
        <w:rPr>
          <w:color w:val="215E9E"/>
          <w:sz w:val="16"/>
          <w:u w:val="single" w:color="215E9E"/>
        </w:rPr>
        <w:t>health</w:t>
      </w:r>
      <w:r>
        <w:rPr>
          <w:color w:val="215E9E"/>
          <w:spacing w:val="-2"/>
          <w:sz w:val="16"/>
          <w:u w:val="single" w:color="215E9E"/>
        </w:rPr>
        <w:t xml:space="preserve"> </w:t>
      </w:r>
      <w:r>
        <w:rPr>
          <w:color w:val="215E9E"/>
          <w:sz w:val="16"/>
          <w:u w:val="single" w:color="215E9E"/>
        </w:rPr>
        <w:t>2018</w:t>
      </w:r>
      <w:r>
        <w:rPr>
          <w:sz w:val="16"/>
        </w:rPr>
        <w:t>.</w:t>
      </w:r>
      <w:r>
        <w:rPr>
          <w:spacing w:val="-10"/>
          <w:sz w:val="16"/>
        </w:rPr>
        <w:t xml:space="preserve"> </w:t>
      </w:r>
      <w:r>
        <w:rPr>
          <w:sz w:val="16"/>
        </w:rPr>
        <w:t>Australia’s</w:t>
      </w:r>
      <w:r>
        <w:rPr>
          <w:spacing w:val="-2"/>
          <w:sz w:val="16"/>
        </w:rPr>
        <w:t xml:space="preserve"> </w:t>
      </w:r>
      <w:r>
        <w:rPr>
          <w:sz w:val="16"/>
        </w:rPr>
        <w:t>health</w:t>
      </w:r>
      <w:r>
        <w:rPr>
          <w:spacing w:val="-2"/>
          <w:sz w:val="16"/>
        </w:rPr>
        <w:t xml:space="preserve"> </w:t>
      </w:r>
      <w:r>
        <w:rPr>
          <w:sz w:val="16"/>
        </w:rPr>
        <w:t>series</w:t>
      </w:r>
      <w:r>
        <w:rPr>
          <w:spacing w:val="-2"/>
          <w:sz w:val="16"/>
        </w:rPr>
        <w:t xml:space="preserve"> </w:t>
      </w:r>
      <w:r>
        <w:rPr>
          <w:sz w:val="16"/>
        </w:rPr>
        <w:t>no.</w:t>
      </w:r>
      <w:r>
        <w:rPr>
          <w:spacing w:val="-2"/>
          <w:sz w:val="16"/>
        </w:rPr>
        <w:t xml:space="preserve"> </w:t>
      </w:r>
      <w:r>
        <w:rPr>
          <w:sz w:val="16"/>
        </w:rPr>
        <w:t>16.</w:t>
      </w:r>
      <w:r>
        <w:rPr>
          <w:spacing w:val="-10"/>
          <w:sz w:val="16"/>
        </w:rPr>
        <w:t xml:space="preserve"> </w:t>
      </w:r>
      <w:r>
        <w:rPr>
          <w:sz w:val="16"/>
        </w:rPr>
        <w:t>AUS</w:t>
      </w:r>
      <w:r>
        <w:rPr>
          <w:spacing w:val="-2"/>
          <w:sz w:val="16"/>
        </w:rPr>
        <w:t xml:space="preserve"> </w:t>
      </w:r>
      <w:r>
        <w:rPr>
          <w:sz w:val="16"/>
        </w:rPr>
        <w:t>221.</w:t>
      </w:r>
      <w:r>
        <w:rPr>
          <w:spacing w:val="-2"/>
          <w:sz w:val="16"/>
        </w:rPr>
        <w:t xml:space="preserve"> </w:t>
      </w:r>
      <w:r>
        <w:rPr>
          <w:sz w:val="16"/>
        </w:rPr>
        <w:t>Canberra:</w:t>
      </w:r>
      <w:r>
        <w:rPr>
          <w:spacing w:val="-11"/>
          <w:sz w:val="16"/>
        </w:rPr>
        <w:t xml:space="preserve"> </w:t>
      </w:r>
      <w:r>
        <w:rPr>
          <w:sz w:val="16"/>
        </w:rPr>
        <w:t>AIHW.</w:t>
      </w:r>
    </w:p>
    <w:p w:rsidR="007A0A6C" w:rsidRDefault="00660E26">
      <w:pPr>
        <w:pStyle w:val="ListParagraph"/>
        <w:numPr>
          <w:ilvl w:val="0"/>
          <w:numId w:val="3"/>
        </w:numPr>
        <w:tabs>
          <w:tab w:val="left" w:pos="736"/>
        </w:tabs>
        <w:ind w:hanging="395"/>
        <w:rPr>
          <w:sz w:val="16"/>
        </w:rPr>
      </w:pPr>
      <w:r>
        <w:rPr>
          <w:sz w:val="16"/>
        </w:rPr>
        <w:t>Australian</w:t>
      </w:r>
      <w:r>
        <w:rPr>
          <w:spacing w:val="-2"/>
          <w:sz w:val="16"/>
        </w:rPr>
        <w:t xml:space="preserve"> </w:t>
      </w:r>
      <w:r>
        <w:rPr>
          <w:sz w:val="16"/>
        </w:rPr>
        <w:t>Institute</w:t>
      </w:r>
      <w:r>
        <w:rPr>
          <w:spacing w:val="-1"/>
          <w:sz w:val="16"/>
        </w:rPr>
        <w:t xml:space="preserve"> </w:t>
      </w:r>
      <w:r>
        <w:rPr>
          <w:sz w:val="16"/>
        </w:rPr>
        <w:t>of</w:t>
      </w:r>
      <w:r>
        <w:rPr>
          <w:spacing w:val="-2"/>
          <w:sz w:val="16"/>
        </w:rPr>
        <w:t xml:space="preserve"> </w:t>
      </w:r>
      <w:r>
        <w:rPr>
          <w:sz w:val="16"/>
        </w:rPr>
        <w:t>Health</w:t>
      </w:r>
      <w:r>
        <w:rPr>
          <w:spacing w:val="-2"/>
          <w:sz w:val="16"/>
        </w:rPr>
        <w:t xml:space="preserve"> </w:t>
      </w:r>
      <w:r>
        <w:rPr>
          <w:sz w:val="16"/>
        </w:rPr>
        <w:t>and</w:t>
      </w:r>
      <w:r>
        <w:rPr>
          <w:spacing w:val="-2"/>
          <w:sz w:val="16"/>
        </w:rPr>
        <w:t xml:space="preserve"> </w:t>
      </w:r>
      <w:r>
        <w:rPr>
          <w:sz w:val="16"/>
        </w:rPr>
        <w:t>Welfare</w:t>
      </w:r>
      <w:r>
        <w:rPr>
          <w:spacing w:val="-2"/>
          <w:sz w:val="16"/>
        </w:rPr>
        <w:t xml:space="preserve"> </w:t>
      </w:r>
      <w:r>
        <w:rPr>
          <w:sz w:val="16"/>
        </w:rPr>
        <w:t>(2019)</w:t>
      </w:r>
      <w:r>
        <w:rPr>
          <w:color w:val="215E9E"/>
          <w:spacing w:val="-5"/>
          <w:sz w:val="16"/>
        </w:rPr>
        <w:t xml:space="preserve"> </w:t>
      </w:r>
      <w:r>
        <w:rPr>
          <w:color w:val="215E9E"/>
          <w:sz w:val="16"/>
          <w:u w:val="single" w:color="215E9E"/>
        </w:rPr>
        <w:t>The</w:t>
      </w:r>
      <w:r>
        <w:rPr>
          <w:color w:val="215E9E"/>
          <w:spacing w:val="-1"/>
          <w:sz w:val="16"/>
          <w:u w:val="single" w:color="215E9E"/>
        </w:rPr>
        <w:t xml:space="preserve"> </w:t>
      </w:r>
      <w:r>
        <w:rPr>
          <w:color w:val="215E9E"/>
          <w:sz w:val="16"/>
          <w:u w:val="single" w:color="215E9E"/>
        </w:rPr>
        <w:t>health</w:t>
      </w:r>
      <w:r>
        <w:rPr>
          <w:color w:val="215E9E"/>
          <w:spacing w:val="-2"/>
          <w:sz w:val="16"/>
          <w:u w:val="single" w:color="215E9E"/>
        </w:rPr>
        <w:t xml:space="preserve"> </w:t>
      </w:r>
      <w:r>
        <w:rPr>
          <w:color w:val="215E9E"/>
          <w:sz w:val="16"/>
          <w:u w:val="single" w:color="215E9E"/>
        </w:rPr>
        <w:t>of</w:t>
      </w:r>
      <w:r>
        <w:rPr>
          <w:color w:val="215E9E"/>
          <w:spacing w:val="-10"/>
          <w:sz w:val="16"/>
          <w:u w:val="single" w:color="215E9E"/>
        </w:rPr>
        <w:t xml:space="preserve"> </w:t>
      </w:r>
      <w:r>
        <w:rPr>
          <w:color w:val="215E9E"/>
          <w:sz w:val="16"/>
          <w:u w:val="single" w:color="215E9E"/>
        </w:rPr>
        <w:t>Australia’s</w:t>
      </w:r>
      <w:r>
        <w:rPr>
          <w:color w:val="215E9E"/>
          <w:spacing w:val="-1"/>
          <w:sz w:val="16"/>
          <w:u w:val="single" w:color="215E9E"/>
        </w:rPr>
        <w:t xml:space="preserve"> </w:t>
      </w:r>
      <w:r>
        <w:rPr>
          <w:color w:val="215E9E"/>
          <w:sz w:val="16"/>
          <w:u w:val="single" w:color="215E9E"/>
        </w:rPr>
        <w:t>prisoners</w:t>
      </w:r>
      <w:r>
        <w:rPr>
          <w:color w:val="215E9E"/>
          <w:spacing w:val="-2"/>
          <w:sz w:val="16"/>
          <w:u w:val="single" w:color="215E9E"/>
        </w:rPr>
        <w:t xml:space="preserve"> </w:t>
      </w:r>
      <w:r>
        <w:rPr>
          <w:color w:val="215E9E"/>
          <w:sz w:val="16"/>
          <w:u w:val="single" w:color="215E9E"/>
        </w:rPr>
        <w:t>2018</w:t>
      </w:r>
      <w:r>
        <w:rPr>
          <w:sz w:val="16"/>
        </w:rPr>
        <w:t>.</w:t>
      </w:r>
      <w:r>
        <w:rPr>
          <w:spacing w:val="-1"/>
          <w:sz w:val="16"/>
        </w:rPr>
        <w:t xml:space="preserve"> </w:t>
      </w:r>
      <w:r>
        <w:rPr>
          <w:sz w:val="16"/>
        </w:rPr>
        <w:t>Cat.</w:t>
      </w:r>
      <w:r>
        <w:rPr>
          <w:spacing w:val="-3"/>
          <w:sz w:val="16"/>
        </w:rPr>
        <w:t xml:space="preserve"> </w:t>
      </w:r>
      <w:r>
        <w:rPr>
          <w:sz w:val="16"/>
        </w:rPr>
        <w:t>no.</w:t>
      </w:r>
      <w:r>
        <w:rPr>
          <w:spacing w:val="-2"/>
          <w:sz w:val="16"/>
        </w:rPr>
        <w:t xml:space="preserve"> </w:t>
      </w:r>
      <w:r>
        <w:rPr>
          <w:sz w:val="16"/>
        </w:rPr>
        <w:t>PHE</w:t>
      </w:r>
      <w:r>
        <w:rPr>
          <w:spacing w:val="-1"/>
          <w:sz w:val="16"/>
        </w:rPr>
        <w:t xml:space="preserve"> </w:t>
      </w:r>
      <w:r>
        <w:rPr>
          <w:sz w:val="16"/>
        </w:rPr>
        <w:t>246.</w:t>
      </w:r>
      <w:r>
        <w:rPr>
          <w:spacing w:val="-2"/>
          <w:sz w:val="16"/>
        </w:rPr>
        <w:t xml:space="preserve"> </w:t>
      </w:r>
      <w:r>
        <w:rPr>
          <w:sz w:val="16"/>
        </w:rPr>
        <w:t>Canberra:</w:t>
      </w:r>
      <w:r>
        <w:rPr>
          <w:spacing w:val="-10"/>
          <w:sz w:val="16"/>
        </w:rPr>
        <w:t xml:space="preserve"> </w:t>
      </w:r>
      <w:r>
        <w:rPr>
          <w:sz w:val="16"/>
        </w:rPr>
        <w:t>AIHW.</w:t>
      </w:r>
    </w:p>
    <w:p w:rsidR="007A0A6C" w:rsidRDefault="00660E26">
      <w:pPr>
        <w:pStyle w:val="ListParagraph"/>
        <w:numPr>
          <w:ilvl w:val="0"/>
          <w:numId w:val="3"/>
        </w:numPr>
        <w:tabs>
          <w:tab w:val="left" w:pos="736"/>
        </w:tabs>
        <w:spacing w:line="261" w:lineRule="auto"/>
        <w:ind w:left="340" w:right="583" w:firstLine="0"/>
        <w:rPr>
          <w:sz w:val="16"/>
        </w:rPr>
      </w:pPr>
      <w:r>
        <w:rPr>
          <w:sz w:val="16"/>
        </w:rPr>
        <w:t>Australian Institute of Health and Welfare (2019)</w:t>
      </w:r>
      <w:r>
        <w:rPr>
          <w:color w:val="215E9E"/>
          <w:sz w:val="16"/>
        </w:rPr>
        <w:t xml:space="preserve"> </w:t>
      </w:r>
      <w:r>
        <w:rPr>
          <w:color w:val="215E9E"/>
          <w:sz w:val="16"/>
          <w:u w:val="single" w:color="215E9E"/>
        </w:rPr>
        <w:t>The health of Australia’s prisoners 2018</w:t>
      </w:r>
      <w:r>
        <w:rPr>
          <w:sz w:val="16"/>
        </w:rPr>
        <w:t xml:space="preserve">. Cat. no. PHE 246. Canberra: AIHW. See also: Commonwealth of Australia (2013) Senate Legal and Constitutional Affairs References Committee, Report of the Senate Inquiry into </w:t>
      </w:r>
      <w:r>
        <w:rPr>
          <w:spacing w:val="-3"/>
          <w:sz w:val="16"/>
        </w:rPr>
        <w:t>‘</w:t>
      </w:r>
      <w:r>
        <w:rPr>
          <w:color w:val="215E9E"/>
          <w:spacing w:val="-3"/>
          <w:sz w:val="16"/>
          <w:u w:val="single" w:color="215E9E"/>
        </w:rPr>
        <w:t xml:space="preserve">Value </w:t>
      </w:r>
      <w:r>
        <w:rPr>
          <w:color w:val="215E9E"/>
          <w:sz w:val="16"/>
          <w:u w:val="single" w:color="215E9E"/>
        </w:rPr>
        <w:t>of a justice reinvestment approach to criminal justice in</w:t>
      </w:r>
      <w:r>
        <w:rPr>
          <w:color w:val="215E9E"/>
          <w:spacing w:val="-13"/>
          <w:sz w:val="16"/>
          <w:u w:val="single" w:color="215E9E"/>
        </w:rPr>
        <w:t xml:space="preserve"> </w:t>
      </w:r>
      <w:r>
        <w:rPr>
          <w:color w:val="215E9E"/>
          <w:sz w:val="16"/>
          <w:u w:val="single" w:color="215E9E"/>
        </w:rPr>
        <w:t>Australia</w:t>
      </w:r>
      <w:r>
        <w:rPr>
          <w:color w:val="215E9E"/>
          <w:sz w:val="16"/>
        </w:rPr>
        <w:t>’</w:t>
      </w:r>
    </w:p>
    <w:p w:rsidR="007A0A6C" w:rsidRDefault="00660E26">
      <w:pPr>
        <w:pStyle w:val="ListParagraph"/>
        <w:numPr>
          <w:ilvl w:val="0"/>
          <w:numId w:val="3"/>
        </w:numPr>
        <w:tabs>
          <w:tab w:val="left" w:pos="745"/>
        </w:tabs>
        <w:spacing w:before="99" w:line="261" w:lineRule="auto"/>
        <w:ind w:left="340" w:right="503" w:firstLine="0"/>
        <w:rPr>
          <w:sz w:val="16"/>
        </w:rPr>
      </w:pPr>
      <w:r>
        <w:rPr>
          <w:sz w:val="16"/>
        </w:rPr>
        <w:t>Commonwealth of Australia (2017) Joint Standing Committee on the National Disability Insurance Scheme;</w:t>
      </w:r>
      <w:r>
        <w:rPr>
          <w:color w:val="215E9E"/>
          <w:sz w:val="16"/>
        </w:rPr>
        <w:t xml:space="preserve"> </w:t>
      </w:r>
      <w:r>
        <w:rPr>
          <w:color w:val="215E9E"/>
          <w:sz w:val="16"/>
          <w:u w:val="single" w:color="215E9E"/>
        </w:rPr>
        <w:t>Provision of services under the NDIS for people with psychosocial disabilities related to a mental health</w:t>
      </w:r>
      <w:r>
        <w:rPr>
          <w:color w:val="215E9E"/>
          <w:spacing w:val="-11"/>
          <w:sz w:val="16"/>
          <w:u w:val="single" w:color="215E9E"/>
        </w:rPr>
        <w:t xml:space="preserve"> </w:t>
      </w:r>
      <w:r>
        <w:rPr>
          <w:color w:val="215E9E"/>
          <w:sz w:val="16"/>
          <w:u w:val="single" w:color="215E9E"/>
        </w:rPr>
        <w:t>condition</w:t>
      </w:r>
      <w:r>
        <w:rPr>
          <w:sz w:val="16"/>
        </w:rPr>
        <w:t>.</w:t>
      </w:r>
    </w:p>
    <w:p w:rsidR="007A0A6C" w:rsidRDefault="00660E26">
      <w:pPr>
        <w:pStyle w:val="ListParagraph"/>
        <w:numPr>
          <w:ilvl w:val="0"/>
          <w:numId w:val="3"/>
        </w:numPr>
        <w:tabs>
          <w:tab w:val="left" w:pos="745"/>
        </w:tabs>
        <w:spacing w:before="99" w:line="261" w:lineRule="auto"/>
        <w:ind w:left="340" w:right="312" w:firstLine="0"/>
        <w:rPr>
          <w:sz w:val="16"/>
        </w:rPr>
      </w:pPr>
      <w:r>
        <w:rPr>
          <w:sz w:val="16"/>
        </w:rPr>
        <w:t xml:space="preserve">Commonwealth of Australia (2013) Senate Legal and Constitutional Affairs References Committee, Report of the Senate Inquiry into </w:t>
      </w:r>
      <w:r>
        <w:rPr>
          <w:spacing w:val="-3"/>
          <w:sz w:val="16"/>
        </w:rPr>
        <w:t>‘</w:t>
      </w:r>
      <w:r>
        <w:rPr>
          <w:color w:val="215E9E"/>
          <w:spacing w:val="-3"/>
          <w:sz w:val="16"/>
          <w:u w:val="single" w:color="215E9E"/>
        </w:rPr>
        <w:t xml:space="preserve">Value </w:t>
      </w:r>
      <w:r>
        <w:rPr>
          <w:color w:val="215E9E"/>
          <w:sz w:val="16"/>
          <w:u w:val="single" w:color="215E9E"/>
        </w:rPr>
        <w:t>of a justice reinvestment approach to criminal justice in</w:t>
      </w:r>
      <w:r>
        <w:rPr>
          <w:color w:val="215E9E"/>
          <w:spacing w:val="-15"/>
          <w:sz w:val="16"/>
          <w:u w:val="single" w:color="215E9E"/>
        </w:rPr>
        <w:t xml:space="preserve"> </w:t>
      </w:r>
      <w:r>
        <w:rPr>
          <w:color w:val="215E9E"/>
          <w:sz w:val="16"/>
          <w:u w:val="single" w:color="215E9E"/>
        </w:rPr>
        <w:t>Australia</w:t>
      </w:r>
      <w:r>
        <w:rPr>
          <w:color w:val="215E9E"/>
          <w:sz w:val="16"/>
        </w:rPr>
        <w:t>’</w:t>
      </w:r>
    </w:p>
    <w:p w:rsidR="007A0A6C" w:rsidRDefault="00660E26">
      <w:pPr>
        <w:pStyle w:val="ListParagraph"/>
        <w:numPr>
          <w:ilvl w:val="0"/>
          <w:numId w:val="3"/>
        </w:numPr>
        <w:tabs>
          <w:tab w:val="left" w:pos="745"/>
        </w:tabs>
        <w:spacing w:before="99"/>
        <w:ind w:left="744" w:hanging="404"/>
        <w:rPr>
          <w:sz w:val="16"/>
        </w:rPr>
      </w:pPr>
      <w:r>
        <w:rPr>
          <w:sz w:val="16"/>
        </w:rPr>
        <w:t>National CRPD Survey (2019)</w:t>
      </w:r>
      <w:r>
        <w:rPr>
          <w:spacing w:val="-3"/>
          <w:sz w:val="16"/>
        </w:rPr>
        <w:t xml:space="preserve"> </w:t>
      </w:r>
      <w:r>
        <w:rPr>
          <w:sz w:val="16"/>
        </w:rPr>
        <w:t>Findings.</w:t>
      </w:r>
    </w:p>
    <w:p w:rsidR="007A0A6C" w:rsidRDefault="00660E26">
      <w:pPr>
        <w:pStyle w:val="ListParagraph"/>
        <w:numPr>
          <w:ilvl w:val="0"/>
          <w:numId w:val="3"/>
        </w:numPr>
        <w:tabs>
          <w:tab w:val="left" w:pos="745"/>
        </w:tabs>
        <w:spacing w:line="261" w:lineRule="auto"/>
        <w:ind w:left="340" w:right="650" w:firstLine="0"/>
        <w:rPr>
          <w:sz w:val="16"/>
        </w:rPr>
      </w:pPr>
      <w:r>
        <w:rPr>
          <w:color w:val="215E9E"/>
          <w:sz w:val="16"/>
          <w:u w:val="single" w:color="215E9E"/>
        </w:rPr>
        <w:t>Lyons v State of Queensland [2016] HCA 38</w:t>
      </w:r>
      <w:r>
        <w:rPr>
          <w:sz w:val="16"/>
        </w:rPr>
        <w:t>; See also: Guest, A. (5 Oct 2016)</w:t>
      </w:r>
      <w:r>
        <w:rPr>
          <w:color w:val="215E9E"/>
          <w:sz w:val="16"/>
        </w:rPr>
        <w:t xml:space="preserve"> </w:t>
      </w:r>
      <w:r>
        <w:rPr>
          <w:color w:val="215E9E"/>
          <w:sz w:val="16"/>
          <w:u w:val="single" w:color="215E9E"/>
        </w:rPr>
        <w:t>Deaf jurors serve in US and New Zealand, but High Court blocks Australian Gale Lyons’ bid</w:t>
      </w:r>
      <w:r>
        <w:rPr>
          <w:sz w:val="16"/>
        </w:rPr>
        <w:t>. ABC</w:t>
      </w:r>
      <w:r>
        <w:rPr>
          <w:spacing w:val="-25"/>
          <w:sz w:val="16"/>
        </w:rPr>
        <w:t xml:space="preserve"> </w:t>
      </w:r>
      <w:r>
        <w:rPr>
          <w:sz w:val="16"/>
        </w:rPr>
        <w:t>News.</w:t>
      </w:r>
    </w:p>
    <w:p w:rsidR="007A0A6C" w:rsidRDefault="00660E26">
      <w:pPr>
        <w:pStyle w:val="ListParagraph"/>
        <w:numPr>
          <w:ilvl w:val="0"/>
          <w:numId w:val="3"/>
        </w:numPr>
        <w:tabs>
          <w:tab w:val="left" w:pos="745"/>
        </w:tabs>
        <w:spacing w:before="99" w:line="261" w:lineRule="auto"/>
        <w:ind w:left="340" w:right="285" w:firstLine="0"/>
        <w:rPr>
          <w:sz w:val="16"/>
        </w:rPr>
      </w:pPr>
      <w:r>
        <w:rPr>
          <w:sz w:val="16"/>
        </w:rPr>
        <w:t>Disabled People’s Organisations Australia (DPOA)(2017) Submission to the Committee on the Rights of Persons with Disabilities;</w:t>
      </w:r>
      <w:r>
        <w:rPr>
          <w:color w:val="215E9E"/>
          <w:sz w:val="16"/>
        </w:rPr>
        <w:t xml:space="preserve"> </w:t>
      </w:r>
      <w:r>
        <w:rPr>
          <w:color w:val="215E9E"/>
          <w:sz w:val="16"/>
          <w:u w:val="single" w:color="215E9E"/>
        </w:rPr>
        <w:t>List of issues [Australia] to be adopted during the 18th Session of the Committee on the Rights of Persons with Disabilities</w:t>
      </w:r>
      <w:r>
        <w:rPr>
          <w:sz w:val="16"/>
        </w:rPr>
        <w:t>. See also: Disability Rights Now (2012)</w:t>
      </w:r>
      <w:r>
        <w:rPr>
          <w:color w:val="215E9E"/>
          <w:sz w:val="16"/>
        </w:rPr>
        <w:t xml:space="preserve"> </w:t>
      </w:r>
      <w:r>
        <w:rPr>
          <w:color w:val="215E9E"/>
          <w:sz w:val="16"/>
          <w:u w:val="single" w:color="215E9E"/>
        </w:rPr>
        <w:t>CRPD Civil Society Report on</w:t>
      </w:r>
      <w:r>
        <w:rPr>
          <w:color w:val="215E9E"/>
          <w:spacing w:val="-13"/>
          <w:sz w:val="16"/>
          <w:u w:val="single" w:color="215E9E"/>
        </w:rPr>
        <w:t xml:space="preserve"> </w:t>
      </w:r>
      <w:r>
        <w:rPr>
          <w:color w:val="215E9E"/>
          <w:sz w:val="16"/>
          <w:u w:val="single" w:color="215E9E"/>
        </w:rPr>
        <w:t>Australia</w:t>
      </w:r>
      <w:r>
        <w:rPr>
          <w:sz w:val="16"/>
        </w:rPr>
        <w:t>.</w:t>
      </w:r>
    </w:p>
    <w:p w:rsidR="007A0A6C" w:rsidRDefault="00660E26">
      <w:pPr>
        <w:pStyle w:val="ListParagraph"/>
        <w:numPr>
          <w:ilvl w:val="0"/>
          <w:numId w:val="3"/>
        </w:numPr>
        <w:tabs>
          <w:tab w:val="left" w:pos="736"/>
        </w:tabs>
        <w:spacing w:before="98" w:line="261" w:lineRule="auto"/>
        <w:ind w:left="340" w:right="515" w:firstLine="0"/>
        <w:rPr>
          <w:sz w:val="16"/>
        </w:rPr>
      </w:pPr>
      <w:r>
        <w:rPr>
          <w:sz w:val="16"/>
        </w:rPr>
        <w:t>Australian Law Reform Commission (December 2017)</w:t>
      </w:r>
      <w:r>
        <w:rPr>
          <w:color w:val="215E9E"/>
          <w:sz w:val="16"/>
        </w:rPr>
        <w:t xml:space="preserve"> </w:t>
      </w:r>
      <w:r>
        <w:rPr>
          <w:color w:val="215E9E"/>
          <w:sz w:val="16"/>
          <w:u w:val="single" w:color="215E9E"/>
        </w:rPr>
        <w:t xml:space="preserve">Pathways to Justice - An Inquiry into the Incarceration Rate of Aboriginal and </w:t>
      </w:r>
      <w:r>
        <w:rPr>
          <w:color w:val="215E9E"/>
          <w:spacing w:val="-4"/>
          <w:sz w:val="16"/>
          <w:u w:val="single" w:color="215E9E"/>
        </w:rPr>
        <w:t xml:space="preserve">Torres </w:t>
      </w:r>
      <w:r>
        <w:rPr>
          <w:color w:val="215E9E"/>
          <w:sz w:val="16"/>
          <w:u w:val="single" w:color="215E9E"/>
        </w:rPr>
        <w:t>Strait Islander Peoples, Final Report</w:t>
      </w:r>
      <w:r>
        <w:rPr>
          <w:sz w:val="16"/>
        </w:rPr>
        <w:t>. ALRC Report</w:t>
      </w:r>
      <w:r>
        <w:rPr>
          <w:spacing w:val="-11"/>
          <w:sz w:val="16"/>
        </w:rPr>
        <w:t xml:space="preserve"> </w:t>
      </w:r>
      <w:r>
        <w:rPr>
          <w:sz w:val="16"/>
        </w:rPr>
        <w:t>133.</w:t>
      </w:r>
    </w:p>
    <w:p w:rsidR="007A0A6C" w:rsidRDefault="00660E26">
      <w:pPr>
        <w:pStyle w:val="ListParagraph"/>
        <w:numPr>
          <w:ilvl w:val="0"/>
          <w:numId w:val="3"/>
        </w:numPr>
        <w:tabs>
          <w:tab w:val="left" w:pos="736"/>
        </w:tabs>
        <w:spacing w:before="99" w:line="261" w:lineRule="auto"/>
        <w:ind w:left="340" w:right="764" w:firstLine="0"/>
        <w:rPr>
          <w:sz w:val="16"/>
        </w:rPr>
      </w:pPr>
      <w:r>
        <w:rPr>
          <w:sz w:val="16"/>
        </w:rPr>
        <w:t>Australia has not withdrawn nor repealed legislation, policies and practices that allow for arbitrary and indefinite detention of people with disability, including those deemed unfit to</w:t>
      </w:r>
      <w:r>
        <w:rPr>
          <w:spacing w:val="-5"/>
          <w:sz w:val="16"/>
        </w:rPr>
        <w:t xml:space="preserve"> </w:t>
      </w:r>
      <w:r>
        <w:rPr>
          <w:sz w:val="16"/>
        </w:rPr>
        <w:t>plead.</w:t>
      </w:r>
    </w:p>
    <w:p w:rsidR="007A0A6C" w:rsidRDefault="00660E26">
      <w:pPr>
        <w:pStyle w:val="ListParagraph"/>
        <w:numPr>
          <w:ilvl w:val="0"/>
          <w:numId w:val="3"/>
        </w:numPr>
        <w:tabs>
          <w:tab w:val="left" w:pos="745"/>
        </w:tabs>
        <w:spacing w:before="99" w:line="261" w:lineRule="auto"/>
        <w:ind w:left="340" w:right="559" w:firstLine="0"/>
        <w:rPr>
          <w:sz w:val="16"/>
        </w:rPr>
      </w:pPr>
      <w:r>
        <w:rPr>
          <w:sz w:val="16"/>
        </w:rPr>
        <w:t>Commonwealth</w:t>
      </w:r>
      <w:r>
        <w:rPr>
          <w:spacing w:val="-5"/>
          <w:sz w:val="16"/>
        </w:rPr>
        <w:t xml:space="preserve"> </w:t>
      </w:r>
      <w:r>
        <w:rPr>
          <w:sz w:val="16"/>
        </w:rPr>
        <w:t>of</w:t>
      </w:r>
      <w:r>
        <w:rPr>
          <w:spacing w:val="-11"/>
          <w:sz w:val="16"/>
        </w:rPr>
        <w:t xml:space="preserve"> </w:t>
      </w:r>
      <w:r>
        <w:rPr>
          <w:sz w:val="16"/>
        </w:rPr>
        <w:t>Australia</w:t>
      </w:r>
      <w:r>
        <w:rPr>
          <w:spacing w:val="-4"/>
          <w:sz w:val="16"/>
        </w:rPr>
        <w:t xml:space="preserve"> </w:t>
      </w:r>
      <w:r>
        <w:rPr>
          <w:sz w:val="16"/>
        </w:rPr>
        <w:t>(2016)</w:t>
      </w:r>
      <w:r>
        <w:rPr>
          <w:spacing w:val="-3"/>
          <w:sz w:val="16"/>
        </w:rPr>
        <w:t xml:space="preserve"> </w:t>
      </w:r>
      <w:r>
        <w:rPr>
          <w:sz w:val="16"/>
        </w:rPr>
        <w:t>Senate</w:t>
      </w:r>
      <w:r>
        <w:rPr>
          <w:spacing w:val="-3"/>
          <w:sz w:val="16"/>
        </w:rPr>
        <w:t xml:space="preserve"> </w:t>
      </w:r>
      <w:r>
        <w:rPr>
          <w:sz w:val="16"/>
        </w:rPr>
        <w:t>Standing</w:t>
      </w:r>
      <w:r>
        <w:rPr>
          <w:spacing w:val="-3"/>
          <w:sz w:val="16"/>
        </w:rPr>
        <w:t xml:space="preserve"> </w:t>
      </w:r>
      <w:r>
        <w:rPr>
          <w:sz w:val="16"/>
        </w:rPr>
        <w:t>Committee</w:t>
      </w:r>
      <w:r>
        <w:rPr>
          <w:spacing w:val="-4"/>
          <w:sz w:val="16"/>
        </w:rPr>
        <w:t xml:space="preserve"> </w:t>
      </w:r>
      <w:r>
        <w:rPr>
          <w:sz w:val="16"/>
        </w:rPr>
        <w:t>on</w:t>
      </w:r>
      <w:r>
        <w:rPr>
          <w:spacing w:val="-5"/>
          <w:sz w:val="16"/>
        </w:rPr>
        <w:t xml:space="preserve"> </w:t>
      </w:r>
      <w:r>
        <w:rPr>
          <w:sz w:val="16"/>
        </w:rPr>
        <w:t>Community</w:t>
      </w:r>
      <w:r>
        <w:rPr>
          <w:spacing w:val="-11"/>
          <w:sz w:val="16"/>
        </w:rPr>
        <w:t xml:space="preserve"> </w:t>
      </w:r>
      <w:r>
        <w:rPr>
          <w:sz w:val="16"/>
        </w:rPr>
        <w:t>Affairs,</w:t>
      </w:r>
      <w:r>
        <w:rPr>
          <w:spacing w:val="-3"/>
          <w:sz w:val="16"/>
        </w:rPr>
        <w:t xml:space="preserve"> </w:t>
      </w:r>
      <w:r>
        <w:rPr>
          <w:sz w:val="16"/>
        </w:rPr>
        <w:t>Report:</w:t>
      </w:r>
      <w:r>
        <w:rPr>
          <w:color w:val="215E9E"/>
          <w:spacing w:val="-4"/>
          <w:sz w:val="16"/>
        </w:rPr>
        <w:t xml:space="preserve"> </w:t>
      </w:r>
      <w:r>
        <w:rPr>
          <w:color w:val="215E9E"/>
          <w:sz w:val="16"/>
          <w:u w:val="single" w:color="215E9E"/>
        </w:rPr>
        <w:t>Indefinite</w:t>
      </w:r>
      <w:r>
        <w:rPr>
          <w:color w:val="215E9E"/>
          <w:spacing w:val="-3"/>
          <w:sz w:val="16"/>
          <w:u w:val="single" w:color="215E9E"/>
        </w:rPr>
        <w:t xml:space="preserve"> </w:t>
      </w:r>
      <w:r>
        <w:rPr>
          <w:color w:val="215E9E"/>
          <w:sz w:val="16"/>
          <w:u w:val="single" w:color="215E9E"/>
        </w:rPr>
        <w:t>detention</w:t>
      </w:r>
      <w:r>
        <w:rPr>
          <w:color w:val="215E9E"/>
          <w:spacing w:val="-4"/>
          <w:sz w:val="16"/>
          <w:u w:val="single" w:color="215E9E"/>
        </w:rPr>
        <w:t xml:space="preserve"> </w:t>
      </w:r>
      <w:r>
        <w:rPr>
          <w:color w:val="215E9E"/>
          <w:sz w:val="16"/>
          <w:u w:val="single" w:color="215E9E"/>
        </w:rPr>
        <w:t>of</w:t>
      </w:r>
      <w:r>
        <w:rPr>
          <w:color w:val="215E9E"/>
          <w:spacing w:val="-4"/>
          <w:sz w:val="16"/>
          <w:u w:val="single" w:color="215E9E"/>
        </w:rPr>
        <w:t xml:space="preserve"> </w:t>
      </w:r>
      <w:r>
        <w:rPr>
          <w:color w:val="215E9E"/>
          <w:sz w:val="16"/>
          <w:u w:val="single" w:color="215E9E"/>
        </w:rPr>
        <w:t>people</w:t>
      </w:r>
      <w:r>
        <w:rPr>
          <w:color w:val="215E9E"/>
          <w:spacing w:val="-4"/>
          <w:sz w:val="16"/>
          <w:u w:val="single" w:color="215E9E"/>
        </w:rPr>
        <w:t xml:space="preserve"> </w:t>
      </w:r>
      <w:r>
        <w:rPr>
          <w:color w:val="215E9E"/>
          <w:sz w:val="16"/>
          <w:u w:val="single" w:color="215E9E"/>
        </w:rPr>
        <w:t>with</w:t>
      </w:r>
      <w:r>
        <w:rPr>
          <w:color w:val="215E9E"/>
          <w:spacing w:val="-5"/>
          <w:sz w:val="16"/>
          <w:u w:val="single" w:color="215E9E"/>
        </w:rPr>
        <w:t xml:space="preserve"> </w:t>
      </w:r>
      <w:r>
        <w:rPr>
          <w:color w:val="215E9E"/>
          <w:sz w:val="16"/>
          <w:u w:val="single" w:color="215E9E"/>
        </w:rPr>
        <w:t>cognitive and psychiatric impairment in</w:t>
      </w:r>
      <w:r>
        <w:rPr>
          <w:color w:val="215E9E"/>
          <w:spacing w:val="-13"/>
          <w:sz w:val="16"/>
          <w:u w:val="single" w:color="215E9E"/>
        </w:rPr>
        <w:t xml:space="preserve"> </w:t>
      </w:r>
      <w:r>
        <w:rPr>
          <w:color w:val="215E9E"/>
          <w:sz w:val="16"/>
          <w:u w:val="single" w:color="215E9E"/>
        </w:rPr>
        <w:t>Australia</w:t>
      </w:r>
      <w:r>
        <w:rPr>
          <w:sz w:val="16"/>
        </w:rPr>
        <w:t>.</w:t>
      </w:r>
    </w:p>
    <w:p w:rsidR="007A0A6C" w:rsidRDefault="00660E26">
      <w:pPr>
        <w:pStyle w:val="ListParagraph"/>
        <w:numPr>
          <w:ilvl w:val="0"/>
          <w:numId w:val="3"/>
        </w:numPr>
        <w:tabs>
          <w:tab w:val="left" w:pos="745"/>
        </w:tabs>
        <w:spacing w:before="99" w:line="261" w:lineRule="auto"/>
        <w:ind w:left="340" w:right="559" w:firstLine="0"/>
        <w:rPr>
          <w:sz w:val="16"/>
        </w:rPr>
      </w:pPr>
      <w:r>
        <w:rPr>
          <w:sz w:val="16"/>
        </w:rPr>
        <w:t>Commonwealth</w:t>
      </w:r>
      <w:r>
        <w:rPr>
          <w:spacing w:val="-5"/>
          <w:sz w:val="16"/>
        </w:rPr>
        <w:t xml:space="preserve"> </w:t>
      </w:r>
      <w:r>
        <w:rPr>
          <w:sz w:val="16"/>
        </w:rPr>
        <w:t>of</w:t>
      </w:r>
      <w:r>
        <w:rPr>
          <w:spacing w:val="-11"/>
          <w:sz w:val="16"/>
        </w:rPr>
        <w:t xml:space="preserve"> </w:t>
      </w:r>
      <w:r>
        <w:rPr>
          <w:sz w:val="16"/>
        </w:rPr>
        <w:t>Australia</w:t>
      </w:r>
      <w:r>
        <w:rPr>
          <w:spacing w:val="-4"/>
          <w:sz w:val="16"/>
        </w:rPr>
        <w:t xml:space="preserve"> </w:t>
      </w:r>
      <w:r>
        <w:rPr>
          <w:sz w:val="16"/>
        </w:rPr>
        <w:t>(2016)</w:t>
      </w:r>
      <w:r>
        <w:rPr>
          <w:spacing w:val="-3"/>
          <w:sz w:val="16"/>
        </w:rPr>
        <w:t xml:space="preserve"> </w:t>
      </w:r>
      <w:r>
        <w:rPr>
          <w:sz w:val="16"/>
        </w:rPr>
        <w:t>Senate</w:t>
      </w:r>
      <w:r>
        <w:rPr>
          <w:spacing w:val="-3"/>
          <w:sz w:val="16"/>
        </w:rPr>
        <w:t xml:space="preserve"> </w:t>
      </w:r>
      <w:r>
        <w:rPr>
          <w:sz w:val="16"/>
        </w:rPr>
        <w:t>Standing</w:t>
      </w:r>
      <w:r>
        <w:rPr>
          <w:spacing w:val="-3"/>
          <w:sz w:val="16"/>
        </w:rPr>
        <w:t xml:space="preserve"> </w:t>
      </w:r>
      <w:r>
        <w:rPr>
          <w:sz w:val="16"/>
        </w:rPr>
        <w:t>Committee</w:t>
      </w:r>
      <w:r>
        <w:rPr>
          <w:spacing w:val="-4"/>
          <w:sz w:val="16"/>
        </w:rPr>
        <w:t xml:space="preserve"> </w:t>
      </w:r>
      <w:r>
        <w:rPr>
          <w:sz w:val="16"/>
        </w:rPr>
        <w:t>on</w:t>
      </w:r>
      <w:r>
        <w:rPr>
          <w:spacing w:val="-5"/>
          <w:sz w:val="16"/>
        </w:rPr>
        <w:t xml:space="preserve"> </w:t>
      </w:r>
      <w:r>
        <w:rPr>
          <w:sz w:val="16"/>
        </w:rPr>
        <w:t>Community</w:t>
      </w:r>
      <w:r>
        <w:rPr>
          <w:spacing w:val="-11"/>
          <w:sz w:val="16"/>
        </w:rPr>
        <w:t xml:space="preserve"> </w:t>
      </w:r>
      <w:r>
        <w:rPr>
          <w:sz w:val="16"/>
        </w:rPr>
        <w:t>Affairs,</w:t>
      </w:r>
      <w:r>
        <w:rPr>
          <w:spacing w:val="-3"/>
          <w:sz w:val="16"/>
        </w:rPr>
        <w:t xml:space="preserve"> </w:t>
      </w:r>
      <w:r>
        <w:rPr>
          <w:sz w:val="16"/>
        </w:rPr>
        <w:t>Report:</w:t>
      </w:r>
      <w:r>
        <w:rPr>
          <w:color w:val="215E9E"/>
          <w:spacing w:val="-4"/>
          <w:sz w:val="16"/>
        </w:rPr>
        <w:t xml:space="preserve"> </w:t>
      </w:r>
      <w:r>
        <w:rPr>
          <w:color w:val="215E9E"/>
          <w:sz w:val="16"/>
          <w:u w:val="single" w:color="215E9E"/>
        </w:rPr>
        <w:t>Indefinite</w:t>
      </w:r>
      <w:r>
        <w:rPr>
          <w:color w:val="215E9E"/>
          <w:spacing w:val="-3"/>
          <w:sz w:val="16"/>
          <w:u w:val="single" w:color="215E9E"/>
        </w:rPr>
        <w:t xml:space="preserve"> </w:t>
      </w:r>
      <w:r>
        <w:rPr>
          <w:color w:val="215E9E"/>
          <w:sz w:val="16"/>
          <w:u w:val="single" w:color="215E9E"/>
        </w:rPr>
        <w:t>detention</w:t>
      </w:r>
      <w:r>
        <w:rPr>
          <w:color w:val="215E9E"/>
          <w:spacing w:val="-4"/>
          <w:sz w:val="16"/>
          <w:u w:val="single" w:color="215E9E"/>
        </w:rPr>
        <w:t xml:space="preserve"> </w:t>
      </w:r>
      <w:r>
        <w:rPr>
          <w:color w:val="215E9E"/>
          <w:sz w:val="16"/>
          <w:u w:val="single" w:color="215E9E"/>
        </w:rPr>
        <w:t>of</w:t>
      </w:r>
      <w:r>
        <w:rPr>
          <w:color w:val="215E9E"/>
          <w:spacing w:val="-4"/>
          <w:sz w:val="16"/>
          <w:u w:val="single" w:color="215E9E"/>
        </w:rPr>
        <w:t xml:space="preserve"> </w:t>
      </w:r>
      <w:r>
        <w:rPr>
          <w:color w:val="215E9E"/>
          <w:sz w:val="16"/>
          <w:u w:val="single" w:color="215E9E"/>
        </w:rPr>
        <w:t>people</w:t>
      </w:r>
      <w:r>
        <w:rPr>
          <w:color w:val="215E9E"/>
          <w:spacing w:val="-4"/>
          <w:sz w:val="16"/>
          <w:u w:val="single" w:color="215E9E"/>
        </w:rPr>
        <w:t xml:space="preserve"> </w:t>
      </w:r>
      <w:r>
        <w:rPr>
          <w:color w:val="215E9E"/>
          <w:sz w:val="16"/>
          <w:u w:val="single" w:color="215E9E"/>
        </w:rPr>
        <w:t>with</w:t>
      </w:r>
      <w:r>
        <w:rPr>
          <w:color w:val="215E9E"/>
          <w:spacing w:val="-5"/>
          <w:sz w:val="16"/>
          <w:u w:val="single" w:color="215E9E"/>
        </w:rPr>
        <w:t xml:space="preserve"> </w:t>
      </w:r>
      <w:r>
        <w:rPr>
          <w:color w:val="215E9E"/>
          <w:sz w:val="16"/>
          <w:u w:val="single" w:color="215E9E"/>
        </w:rPr>
        <w:t>cognitive and psychiatric impairment in</w:t>
      </w:r>
      <w:r>
        <w:rPr>
          <w:color w:val="215E9E"/>
          <w:spacing w:val="-13"/>
          <w:sz w:val="16"/>
          <w:u w:val="single" w:color="215E9E"/>
        </w:rPr>
        <w:t xml:space="preserve"> </w:t>
      </w:r>
      <w:r>
        <w:rPr>
          <w:color w:val="215E9E"/>
          <w:sz w:val="16"/>
          <w:u w:val="single" w:color="215E9E"/>
        </w:rPr>
        <w:t>Australia</w:t>
      </w:r>
      <w:r>
        <w:rPr>
          <w:sz w:val="16"/>
        </w:rPr>
        <w:t>.</w:t>
      </w:r>
    </w:p>
    <w:p w:rsidR="007A0A6C" w:rsidRDefault="00660E26">
      <w:pPr>
        <w:pStyle w:val="ListParagraph"/>
        <w:numPr>
          <w:ilvl w:val="0"/>
          <w:numId w:val="3"/>
        </w:numPr>
        <w:tabs>
          <w:tab w:val="left" w:pos="745"/>
        </w:tabs>
        <w:spacing w:before="99"/>
        <w:ind w:left="744" w:hanging="404"/>
        <w:rPr>
          <w:sz w:val="16"/>
        </w:rPr>
      </w:pPr>
      <w:r>
        <w:rPr>
          <w:sz w:val="16"/>
        </w:rPr>
        <w:t>See:</w:t>
      </w:r>
      <w:r>
        <w:rPr>
          <w:color w:val="215E9E"/>
          <w:sz w:val="16"/>
        </w:rPr>
        <w:t xml:space="preserve"> </w:t>
      </w:r>
      <w:r>
        <w:rPr>
          <w:color w:val="215E9E"/>
          <w:sz w:val="16"/>
          <w:u w:val="single" w:color="215E9E"/>
        </w:rPr>
        <w:t>Australia’s Universal Periodic Review</w:t>
      </w:r>
      <w:r>
        <w:rPr>
          <w:sz w:val="16"/>
        </w:rPr>
        <w:t>; Attorney-General’s</w:t>
      </w:r>
      <w:r>
        <w:rPr>
          <w:spacing w:val="-21"/>
          <w:sz w:val="16"/>
        </w:rPr>
        <w:t xml:space="preserve"> </w:t>
      </w:r>
      <w:r>
        <w:rPr>
          <w:sz w:val="16"/>
        </w:rPr>
        <w:t>Department.</w:t>
      </w:r>
    </w:p>
    <w:p w:rsidR="007A0A6C" w:rsidRDefault="00660E26">
      <w:pPr>
        <w:pStyle w:val="ListParagraph"/>
        <w:numPr>
          <w:ilvl w:val="0"/>
          <w:numId w:val="3"/>
        </w:numPr>
        <w:tabs>
          <w:tab w:val="left" w:pos="745"/>
        </w:tabs>
        <w:spacing w:line="261" w:lineRule="auto"/>
        <w:ind w:left="340" w:right="720" w:firstLine="0"/>
        <w:rPr>
          <w:sz w:val="16"/>
        </w:rPr>
      </w:pPr>
      <w:r>
        <w:rPr>
          <w:sz w:val="16"/>
        </w:rPr>
        <w:t>See:</w:t>
      </w:r>
      <w:r>
        <w:rPr>
          <w:spacing w:val="-5"/>
          <w:sz w:val="16"/>
        </w:rPr>
        <w:t xml:space="preserve"> </w:t>
      </w:r>
      <w:r>
        <w:rPr>
          <w:sz w:val="16"/>
        </w:rPr>
        <w:t>Human</w:t>
      </w:r>
      <w:r>
        <w:rPr>
          <w:spacing w:val="-5"/>
          <w:sz w:val="16"/>
        </w:rPr>
        <w:t xml:space="preserve"> </w:t>
      </w:r>
      <w:r>
        <w:rPr>
          <w:sz w:val="16"/>
        </w:rPr>
        <w:t>Rights</w:t>
      </w:r>
      <w:r>
        <w:rPr>
          <w:spacing w:val="-5"/>
          <w:sz w:val="16"/>
        </w:rPr>
        <w:t xml:space="preserve"> </w:t>
      </w:r>
      <w:r>
        <w:rPr>
          <w:sz w:val="16"/>
        </w:rPr>
        <w:t>Law</w:t>
      </w:r>
      <w:r>
        <w:rPr>
          <w:spacing w:val="-5"/>
          <w:sz w:val="16"/>
        </w:rPr>
        <w:t xml:space="preserve"> </w:t>
      </w:r>
      <w:r>
        <w:rPr>
          <w:sz w:val="16"/>
        </w:rPr>
        <w:t>Centre,</w:t>
      </w:r>
      <w:r>
        <w:rPr>
          <w:spacing w:val="-12"/>
          <w:sz w:val="16"/>
        </w:rPr>
        <w:t xml:space="preserve"> </w:t>
      </w:r>
      <w:r>
        <w:rPr>
          <w:sz w:val="16"/>
        </w:rPr>
        <w:t>Australia’s</w:t>
      </w:r>
      <w:r>
        <w:rPr>
          <w:spacing w:val="-4"/>
          <w:sz w:val="16"/>
        </w:rPr>
        <w:t xml:space="preserve"> </w:t>
      </w:r>
      <w:r>
        <w:rPr>
          <w:sz w:val="16"/>
        </w:rPr>
        <w:t>2nd</w:t>
      </w:r>
      <w:r>
        <w:rPr>
          <w:spacing w:val="-5"/>
          <w:sz w:val="16"/>
        </w:rPr>
        <w:t xml:space="preserve"> </w:t>
      </w:r>
      <w:r>
        <w:rPr>
          <w:sz w:val="16"/>
        </w:rPr>
        <w:t>Universal</w:t>
      </w:r>
      <w:r>
        <w:rPr>
          <w:spacing w:val="-5"/>
          <w:sz w:val="16"/>
        </w:rPr>
        <w:t xml:space="preserve"> </w:t>
      </w:r>
      <w:r>
        <w:rPr>
          <w:sz w:val="16"/>
        </w:rPr>
        <w:t>Periodic</w:t>
      </w:r>
      <w:r>
        <w:rPr>
          <w:spacing w:val="-4"/>
          <w:sz w:val="16"/>
        </w:rPr>
        <w:t xml:space="preserve"> </w:t>
      </w:r>
      <w:r>
        <w:rPr>
          <w:sz w:val="16"/>
        </w:rPr>
        <w:t>Review:</w:t>
      </w:r>
      <w:r>
        <w:rPr>
          <w:color w:val="215E9E"/>
          <w:spacing w:val="-4"/>
          <w:sz w:val="16"/>
        </w:rPr>
        <w:t xml:space="preserve"> </w:t>
      </w:r>
      <w:r>
        <w:rPr>
          <w:color w:val="215E9E"/>
          <w:sz w:val="16"/>
          <w:u w:val="single" w:color="215E9E"/>
        </w:rPr>
        <w:t>Voluntary</w:t>
      </w:r>
      <w:r>
        <w:rPr>
          <w:color w:val="215E9E"/>
          <w:spacing w:val="-5"/>
          <w:sz w:val="16"/>
          <w:u w:val="single" w:color="215E9E"/>
        </w:rPr>
        <w:t xml:space="preserve"> </w:t>
      </w:r>
      <w:r>
        <w:rPr>
          <w:color w:val="215E9E"/>
          <w:sz w:val="16"/>
          <w:u w:val="single" w:color="215E9E"/>
        </w:rPr>
        <w:t>Commitments</w:t>
      </w:r>
      <w:r>
        <w:rPr>
          <w:sz w:val="16"/>
        </w:rPr>
        <w:t>.</w:t>
      </w:r>
      <w:r>
        <w:rPr>
          <w:spacing w:val="-4"/>
          <w:sz w:val="16"/>
        </w:rPr>
        <w:t xml:space="preserve"> </w:t>
      </w:r>
      <w:r>
        <w:rPr>
          <w:sz w:val="16"/>
        </w:rPr>
        <w:t>See</w:t>
      </w:r>
      <w:r>
        <w:rPr>
          <w:spacing w:val="-4"/>
          <w:sz w:val="16"/>
        </w:rPr>
        <w:t xml:space="preserve"> </w:t>
      </w:r>
      <w:r>
        <w:rPr>
          <w:sz w:val="16"/>
        </w:rPr>
        <w:t>also:</w:t>
      </w:r>
      <w:r>
        <w:rPr>
          <w:spacing w:val="-5"/>
          <w:sz w:val="16"/>
        </w:rPr>
        <w:t xml:space="preserve"> </w:t>
      </w:r>
      <w:r>
        <w:rPr>
          <w:sz w:val="16"/>
        </w:rPr>
        <w:t>Law</w:t>
      </w:r>
      <w:r>
        <w:rPr>
          <w:spacing w:val="-5"/>
          <w:sz w:val="16"/>
        </w:rPr>
        <w:t xml:space="preserve"> </w:t>
      </w:r>
      <w:r>
        <w:rPr>
          <w:sz w:val="16"/>
        </w:rPr>
        <w:t>Council</w:t>
      </w:r>
      <w:r>
        <w:rPr>
          <w:spacing w:val="-5"/>
          <w:sz w:val="16"/>
        </w:rPr>
        <w:t xml:space="preserve"> </w:t>
      </w:r>
      <w:r>
        <w:rPr>
          <w:sz w:val="16"/>
        </w:rPr>
        <w:t>of</w:t>
      </w:r>
      <w:r>
        <w:rPr>
          <w:spacing w:val="-12"/>
          <w:sz w:val="16"/>
        </w:rPr>
        <w:t xml:space="preserve"> </w:t>
      </w:r>
      <w:r>
        <w:rPr>
          <w:sz w:val="16"/>
        </w:rPr>
        <w:t>Australia,</w:t>
      </w:r>
      <w:r>
        <w:rPr>
          <w:color w:val="215E9E"/>
          <w:sz w:val="16"/>
          <w:u w:val="single" w:color="215E9E"/>
        </w:rPr>
        <w:t xml:space="preserve"> Australia’s International Human Rights</w:t>
      </w:r>
      <w:r>
        <w:rPr>
          <w:color w:val="215E9E"/>
          <w:spacing w:val="-3"/>
          <w:sz w:val="16"/>
          <w:u w:val="single" w:color="215E9E"/>
        </w:rPr>
        <w:t xml:space="preserve"> </w:t>
      </w:r>
      <w:r>
        <w:rPr>
          <w:color w:val="215E9E"/>
          <w:sz w:val="16"/>
          <w:u w:val="single" w:color="215E9E"/>
        </w:rPr>
        <w:t>Obligations</w:t>
      </w:r>
      <w:r>
        <w:rPr>
          <w:sz w:val="16"/>
        </w:rPr>
        <w:t>.</w:t>
      </w:r>
    </w:p>
    <w:p w:rsidR="007A0A6C" w:rsidRDefault="00660E26">
      <w:pPr>
        <w:pStyle w:val="ListParagraph"/>
        <w:numPr>
          <w:ilvl w:val="0"/>
          <w:numId w:val="3"/>
        </w:numPr>
        <w:tabs>
          <w:tab w:val="left" w:pos="742"/>
        </w:tabs>
        <w:spacing w:before="99" w:line="261" w:lineRule="auto"/>
        <w:ind w:left="340" w:right="427" w:firstLine="0"/>
        <w:rPr>
          <w:sz w:val="16"/>
        </w:rPr>
      </w:pPr>
      <w:r>
        <w:rPr>
          <w:sz w:val="16"/>
        </w:rPr>
        <w:t xml:space="preserve">The former </w:t>
      </w:r>
      <w:r>
        <w:rPr>
          <w:spacing w:val="-3"/>
          <w:sz w:val="16"/>
        </w:rPr>
        <w:t xml:space="preserve">Law, </w:t>
      </w:r>
      <w:r>
        <w:rPr>
          <w:sz w:val="16"/>
        </w:rPr>
        <w:t>Crime and Community Safety Council (LCCSC) consisted of ministers with responsibilities for law and justice, police and emergency</w:t>
      </w:r>
      <w:r>
        <w:rPr>
          <w:spacing w:val="-3"/>
          <w:sz w:val="16"/>
        </w:rPr>
        <w:t xml:space="preserve"> </w:t>
      </w:r>
      <w:r>
        <w:rPr>
          <w:sz w:val="16"/>
        </w:rPr>
        <w:t>management.</w:t>
      </w:r>
      <w:r>
        <w:rPr>
          <w:spacing w:val="-10"/>
          <w:sz w:val="16"/>
        </w:rPr>
        <w:t xml:space="preserve"> </w:t>
      </w:r>
      <w:r>
        <w:rPr>
          <w:sz w:val="16"/>
        </w:rPr>
        <w:t>As</w:t>
      </w:r>
      <w:r>
        <w:rPr>
          <w:spacing w:val="-2"/>
          <w:sz w:val="16"/>
        </w:rPr>
        <w:t xml:space="preserve"> </w:t>
      </w:r>
      <w:r>
        <w:rPr>
          <w:sz w:val="16"/>
        </w:rPr>
        <w:t>a</w:t>
      </w:r>
      <w:r>
        <w:rPr>
          <w:spacing w:val="-3"/>
          <w:sz w:val="16"/>
        </w:rPr>
        <w:t xml:space="preserve"> </w:t>
      </w:r>
      <w:r>
        <w:rPr>
          <w:sz w:val="16"/>
        </w:rPr>
        <w:t>result</w:t>
      </w:r>
      <w:r>
        <w:rPr>
          <w:spacing w:val="-1"/>
          <w:sz w:val="16"/>
        </w:rPr>
        <w:t xml:space="preserve"> </w:t>
      </w:r>
      <w:r>
        <w:rPr>
          <w:sz w:val="16"/>
        </w:rPr>
        <w:t>of</w:t>
      </w:r>
      <w:r>
        <w:rPr>
          <w:spacing w:val="-3"/>
          <w:sz w:val="16"/>
        </w:rPr>
        <w:t xml:space="preserve"> </w:t>
      </w:r>
      <w:r>
        <w:rPr>
          <w:sz w:val="16"/>
        </w:rPr>
        <w:t>a</w:t>
      </w:r>
      <w:r>
        <w:rPr>
          <w:spacing w:val="-2"/>
          <w:sz w:val="16"/>
        </w:rPr>
        <w:t xml:space="preserve"> </w:t>
      </w:r>
      <w:r>
        <w:rPr>
          <w:sz w:val="16"/>
        </w:rPr>
        <w:t>Council</w:t>
      </w:r>
      <w:r>
        <w:rPr>
          <w:spacing w:val="-3"/>
          <w:sz w:val="16"/>
        </w:rPr>
        <w:t xml:space="preserve"> </w:t>
      </w:r>
      <w:r>
        <w:rPr>
          <w:sz w:val="16"/>
        </w:rPr>
        <w:t>of</w:t>
      </w:r>
      <w:r>
        <w:rPr>
          <w:spacing w:val="-10"/>
          <w:sz w:val="16"/>
        </w:rPr>
        <w:t xml:space="preserve"> </w:t>
      </w:r>
      <w:r>
        <w:rPr>
          <w:sz w:val="16"/>
        </w:rPr>
        <w:t>Australian</w:t>
      </w:r>
      <w:r>
        <w:rPr>
          <w:spacing w:val="-2"/>
          <w:sz w:val="16"/>
        </w:rPr>
        <w:t xml:space="preserve"> </w:t>
      </w:r>
      <w:r>
        <w:rPr>
          <w:sz w:val="16"/>
        </w:rPr>
        <w:t>Governments</w:t>
      </w:r>
      <w:r>
        <w:rPr>
          <w:spacing w:val="-1"/>
          <w:sz w:val="16"/>
        </w:rPr>
        <w:t xml:space="preserve"> </w:t>
      </w:r>
      <w:r>
        <w:rPr>
          <w:sz w:val="16"/>
        </w:rPr>
        <w:t>(COAG)</w:t>
      </w:r>
      <w:r>
        <w:rPr>
          <w:spacing w:val="-2"/>
          <w:sz w:val="16"/>
        </w:rPr>
        <w:t xml:space="preserve"> </w:t>
      </w:r>
      <w:r>
        <w:rPr>
          <w:sz w:val="16"/>
        </w:rPr>
        <w:t>review</w:t>
      </w:r>
      <w:r>
        <w:rPr>
          <w:spacing w:val="-2"/>
          <w:sz w:val="16"/>
        </w:rPr>
        <w:t xml:space="preserve"> </w:t>
      </w:r>
      <w:r>
        <w:rPr>
          <w:sz w:val="16"/>
        </w:rPr>
        <w:t>conducted</w:t>
      </w:r>
      <w:r>
        <w:rPr>
          <w:spacing w:val="-1"/>
          <w:sz w:val="16"/>
        </w:rPr>
        <w:t xml:space="preserve"> </w:t>
      </w:r>
      <w:r>
        <w:rPr>
          <w:sz w:val="16"/>
        </w:rPr>
        <w:t>in</w:t>
      </w:r>
      <w:r>
        <w:rPr>
          <w:spacing w:val="-3"/>
          <w:sz w:val="16"/>
        </w:rPr>
        <w:t xml:space="preserve"> </w:t>
      </w:r>
      <w:r>
        <w:rPr>
          <w:sz w:val="16"/>
        </w:rPr>
        <w:t>2016-17,</w:t>
      </w:r>
      <w:r>
        <w:rPr>
          <w:spacing w:val="-2"/>
          <w:sz w:val="16"/>
        </w:rPr>
        <w:t xml:space="preserve"> </w:t>
      </w:r>
      <w:r>
        <w:rPr>
          <w:sz w:val="16"/>
        </w:rPr>
        <w:t>COAG</w:t>
      </w:r>
      <w:r>
        <w:rPr>
          <w:spacing w:val="-3"/>
          <w:sz w:val="16"/>
        </w:rPr>
        <w:t xml:space="preserve"> </w:t>
      </w:r>
      <w:r>
        <w:rPr>
          <w:sz w:val="16"/>
        </w:rPr>
        <w:t>decided</w:t>
      </w:r>
      <w:r>
        <w:rPr>
          <w:spacing w:val="-2"/>
          <w:sz w:val="16"/>
        </w:rPr>
        <w:t xml:space="preserve"> </w:t>
      </w:r>
      <w:r>
        <w:rPr>
          <w:sz w:val="16"/>
        </w:rPr>
        <w:t>to</w:t>
      </w:r>
      <w:r>
        <w:rPr>
          <w:spacing w:val="-2"/>
          <w:sz w:val="16"/>
        </w:rPr>
        <w:t xml:space="preserve"> </w:t>
      </w:r>
      <w:r>
        <w:rPr>
          <w:sz w:val="16"/>
        </w:rPr>
        <w:t>replace</w:t>
      </w:r>
      <w:r>
        <w:rPr>
          <w:spacing w:val="-2"/>
          <w:sz w:val="16"/>
        </w:rPr>
        <w:t xml:space="preserve"> </w:t>
      </w:r>
      <w:r>
        <w:rPr>
          <w:sz w:val="16"/>
        </w:rPr>
        <w:t>the LCCSC with a separate Councils for</w:t>
      </w:r>
      <w:r>
        <w:rPr>
          <w:color w:val="215E9E"/>
          <w:sz w:val="16"/>
        </w:rPr>
        <w:t xml:space="preserve"> </w:t>
      </w:r>
      <w:r>
        <w:rPr>
          <w:color w:val="215E9E"/>
          <w:sz w:val="16"/>
          <w:u w:val="single" w:color="215E9E"/>
        </w:rPr>
        <w:t>Attorneys-Genera</w:t>
      </w:r>
      <w:r>
        <w:rPr>
          <w:color w:val="215E9E"/>
          <w:sz w:val="16"/>
        </w:rPr>
        <w:t>l</w:t>
      </w:r>
      <w:r>
        <w:rPr>
          <w:sz w:val="16"/>
        </w:rPr>
        <w:t>, and a separate Council for</w:t>
      </w:r>
      <w:r>
        <w:rPr>
          <w:color w:val="215E9E"/>
          <w:sz w:val="16"/>
        </w:rPr>
        <w:t xml:space="preserve"> </w:t>
      </w:r>
      <w:r>
        <w:rPr>
          <w:color w:val="215E9E"/>
          <w:sz w:val="16"/>
          <w:u w:val="single" w:color="215E9E"/>
        </w:rPr>
        <w:t>Police and Emergency</w:t>
      </w:r>
      <w:r>
        <w:rPr>
          <w:color w:val="215E9E"/>
          <w:spacing w:val="-24"/>
          <w:sz w:val="16"/>
          <w:u w:val="single" w:color="215E9E"/>
        </w:rPr>
        <w:t xml:space="preserve"> </w:t>
      </w:r>
      <w:r>
        <w:rPr>
          <w:color w:val="215E9E"/>
          <w:sz w:val="16"/>
          <w:u w:val="single" w:color="215E9E"/>
        </w:rPr>
        <w:t>Management</w:t>
      </w:r>
      <w:r>
        <w:rPr>
          <w:sz w:val="16"/>
        </w:rPr>
        <w:t>.</w:t>
      </w:r>
    </w:p>
    <w:p w:rsidR="007A0A6C" w:rsidRDefault="00660E26">
      <w:pPr>
        <w:pStyle w:val="ListParagraph"/>
        <w:numPr>
          <w:ilvl w:val="0"/>
          <w:numId w:val="3"/>
        </w:numPr>
        <w:tabs>
          <w:tab w:val="left" w:pos="745"/>
        </w:tabs>
        <w:spacing w:before="98"/>
        <w:ind w:left="744" w:hanging="404"/>
        <w:rPr>
          <w:sz w:val="16"/>
        </w:rPr>
      </w:pPr>
      <w:r>
        <w:rPr>
          <w:sz w:val="16"/>
        </w:rPr>
        <w:t>Disability Rights Now (2012)</w:t>
      </w:r>
      <w:r>
        <w:rPr>
          <w:color w:val="215E9E"/>
          <w:sz w:val="16"/>
        </w:rPr>
        <w:t xml:space="preserve"> </w:t>
      </w:r>
      <w:r>
        <w:rPr>
          <w:color w:val="215E9E"/>
          <w:sz w:val="16"/>
          <w:u w:val="single" w:color="215E9E"/>
        </w:rPr>
        <w:t>CRPD Civil Society Report on</w:t>
      </w:r>
      <w:r>
        <w:rPr>
          <w:color w:val="215E9E"/>
          <w:spacing w:val="-17"/>
          <w:sz w:val="16"/>
          <w:u w:val="single" w:color="215E9E"/>
        </w:rPr>
        <w:t xml:space="preserve"> </w:t>
      </w:r>
      <w:r>
        <w:rPr>
          <w:color w:val="215E9E"/>
          <w:sz w:val="16"/>
          <w:u w:val="single" w:color="215E9E"/>
        </w:rPr>
        <w:t>Australia</w:t>
      </w:r>
      <w:r>
        <w:rPr>
          <w:sz w:val="16"/>
        </w:rPr>
        <w:t>.</w:t>
      </w:r>
    </w:p>
    <w:p w:rsidR="007A0A6C" w:rsidRDefault="00660E26">
      <w:pPr>
        <w:pStyle w:val="ListParagraph"/>
        <w:numPr>
          <w:ilvl w:val="0"/>
          <w:numId w:val="3"/>
        </w:numPr>
        <w:tabs>
          <w:tab w:val="left" w:pos="745"/>
        </w:tabs>
        <w:spacing w:line="261" w:lineRule="auto"/>
        <w:ind w:left="340" w:right="559" w:firstLine="0"/>
        <w:rPr>
          <w:sz w:val="16"/>
        </w:rPr>
      </w:pPr>
      <w:r>
        <w:rPr>
          <w:sz w:val="16"/>
        </w:rPr>
        <w:t>Commonwealth</w:t>
      </w:r>
      <w:r>
        <w:rPr>
          <w:spacing w:val="-5"/>
          <w:sz w:val="16"/>
        </w:rPr>
        <w:t xml:space="preserve"> </w:t>
      </w:r>
      <w:r>
        <w:rPr>
          <w:sz w:val="16"/>
        </w:rPr>
        <w:t>of</w:t>
      </w:r>
      <w:r>
        <w:rPr>
          <w:spacing w:val="-11"/>
          <w:sz w:val="16"/>
        </w:rPr>
        <w:t xml:space="preserve"> </w:t>
      </w:r>
      <w:r>
        <w:rPr>
          <w:sz w:val="16"/>
        </w:rPr>
        <w:t>Australia</w:t>
      </w:r>
      <w:r>
        <w:rPr>
          <w:spacing w:val="-4"/>
          <w:sz w:val="16"/>
        </w:rPr>
        <w:t xml:space="preserve"> </w:t>
      </w:r>
      <w:r>
        <w:rPr>
          <w:sz w:val="16"/>
        </w:rPr>
        <w:t>(2016)</w:t>
      </w:r>
      <w:r>
        <w:rPr>
          <w:spacing w:val="-3"/>
          <w:sz w:val="16"/>
        </w:rPr>
        <w:t xml:space="preserve"> </w:t>
      </w:r>
      <w:r>
        <w:rPr>
          <w:sz w:val="16"/>
        </w:rPr>
        <w:t>Senate</w:t>
      </w:r>
      <w:r>
        <w:rPr>
          <w:spacing w:val="-3"/>
          <w:sz w:val="16"/>
        </w:rPr>
        <w:t xml:space="preserve"> </w:t>
      </w:r>
      <w:r>
        <w:rPr>
          <w:sz w:val="16"/>
        </w:rPr>
        <w:t>Standing</w:t>
      </w:r>
      <w:r>
        <w:rPr>
          <w:spacing w:val="-3"/>
          <w:sz w:val="16"/>
        </w:rPr>
        <w:t xml:space="preserve"> </w:t>
      </w:r>
      <w:r>
        <w:rPr>
          <w:sz w:val="16"/>
        </w:rPr>
        <w:t>Committee</w:t>
      </w:r>
      <w:r>
        <w:rPr>
          <w:spacing w:val="-4"/>
          <w:sz w:val="16"/>
        </w:rPr>
        <w:t xml:space="preserve"> </w:t>
      </w:r>
      <w:r>
        <w:rPr>
          <w:sz w:val="16"/>
        </w:rPr>
        <w:t>on</w:t>
      </w:r>
      <w:r>
        <w:rPr>
          <w:spacing w:val="-5"/>
          <w:sz w:val="16"/>
        </w:rPr>
        <w:t xml:space="preserve"> </w:t>
      </w:r>
      <w:r>
        <w:rPr>
          <w:sz w:val="16"/>
        </w:rPr>
        <w:t>Community</w:t>
      </w:r>
      <w:r>
        <w:rPr>
          <w:spacing w:val="-11"/>
          <w:sz w:val="16"/>
        </w:rPr>
        <w:t xml:space="preserve"> </w:t>
      </w:r>
      <w:r>
        <w:rPr>
          <w:sz w:val="16"/>
        </w:rPr>
        <w:t>Affairs,</w:t>
      </w:r>
      <w:r>
        <w:rPr>
          <w:spacing w:val="-3"/>
          <w:sz w:val="16"/>
        </w:rPr>
        <w:t xml:space="preserve"> </w:t>
      </w:r>
      <w:r>
        <w:rPr>
          <w:sz w:val="16"/>
        </w:rPr>
        <w:t>Report:</w:t>
      </w:r>
      <w:r>
        <w:rPr>
          <w:color w:val="215E9E"/>
          <w:spacing w:val="-4"/>
          <w:sz w:val="16"/>
        </w:rPr>
        <w:t xml:space="preserve"> </w:t>
      </w:r>
      <w:r>
        <w:rPr>
          <w:color w:val="215E9E"/>
          <w:sz w:val="16"/>
          <w:u w:val="single" w:color="215E9E"/>
        </w:rPr>
        <w:t>Indefinite</w:t>
      </w:r>
      <w:r>
        <w:rPr>
          <w:color w:val="215E9E"/>
          <w:spacing w:val="-3"/>
          <w:sz w:val="16"/>
          <w:u w:val="single" w:color="215E9E"/>
        </w:rPr>
        <w:t xml:space="preserve"> </w:t>
      </w:r>
      <w:r>
        <w:rPr>
          <w:color w:val="215E9E"/>
          <w:sz w:val="16"/>
          <w:u w:val="single" w:color="215E9E"/>
        </w:rPr>
        <w:t>detention</w:t>
      </w:r>
      <w:r>
        <w:rPr>
          <w:color w:val="215E9E"/>
          <w:spacing w:val="-4"/>
          <w:sz w:val="16"/>
          <w:u w:val="single" w:color="215E9E"/>
        </w:rPr>
        <w:t xml:space="preserve"> </w:t>
      </w:r>
      <w:r>
        <w:rPr>
          <w:color w:val="215E9E"/>
          <w:sz w:val="16"/>
          <w:u w:val="single" w:color="215E9E"/>
        </w:rPr>
        <w:t>of</w:t>
      </w:r>
      <w:r>
        <w:rPr>
          <w:color w:val="215E9E"/>
          <w:spacing w:val="-4"/>
          <w:sz w:val="16"/>
          <w:u w:val="single" w:color="215E9E"/>
        </w:rPr>
        <w:t xml:space="preserve"> </w:t>
      </w:r>
      <w:r>
        <w:rPr>
          <w:color w:val="215E9E"/>
          <w:sz w:val="16"/>
          <w:u w:val="single" w:color="215E9E"/>
        </w:rPr>
        <w:t>people</w:t>
      </w:r>
      <w:r>
        <w:rPr>
          <w:color w:val="215E9E"/>
          <w:spacing w:val="-4"/>
          <w:sz w:val="16"/>
          <w:u w:val="single" w:color="215E9E"/>
        </w:rPr>
        <w:t xml:space="preserve"> </w:t>
      </w:r>
      <w:r>
        <w:rPr>
          <w:color w:val="215E9E"/>
          <w:sz w:val="16"/>
          <w:u w:val="single" w:color="215E9E"/>
        </w:rPr>
        <w:t>with</w:t>
      </w:r>
      <w:r>
        <w:rPr>
          <w:color w:val="215E9E"/>
          <w:spacing w:val="-5"/>
          <w:sz w:val="16"/>
          <w:u w:val="single" w:color="215E9E"/>
        </w:rPr>
        <w:t xml:space="preserve"> </w:t>
      </w:r>
      <w:r>
        <w:rPr>
          <w:color w:val="215E9E"/>
          <w:sz w:val="16"/>
          <w:u w:val="single" w:color="215E9E"/>
        </w:rPr>
        <w:t>cognitive and psychiatric impairment in</w:t>
      </w:r>
      <w:r>
        <w:rPr>
          <w:color w:val="215E9E"/>
          <w:spacing w:val="-13"/>
          <w:sz w:val="16"/>
          <w:u w:val="single" w:color="215E9E"/>
        </w:rPr>
        <w:t xml:space="preserve"> </w:t>
      </w:r>
      <w:r>
        <w:rPr>
          <w:color w:val="215E9E"/>
          <w:sz w:val="16"/>
          <w:u w:val="single" w:color="215E9E"/>
        </w:rPr>
        <w:t>Australia</w:t>
      </w:r>
      <w:r>
        <w:rPr>
          <w:sz w:val="16"/>
        </w:rPr>
        <w:t>.</w:t>
      </w:r>
    </w:p>
    <w:p w:rsidR="007A0A6C" w:rsidRDefault="00660E26">
      <w:pPr>
        <w:pStyle w:val="ListParagraph"/>
        <w:numPr>
          <w:ilvl w:val="0"/>
          <w:numId w:val="3"/>
        </w:numPr>
        <w:tabs>
          <w:tab w:val="left" w:pos="745"/>
        </w:tabs>
        <w:spacing w:before="99" w:line="261" w:lineRule="auto"/>
        <w:ind w:left="340" w:right="385" w:firstLine="0"/>
        <w:rPr>
          <w:sz w:val="16"/>
        </w:rPr>
      </w:pPr>
      <w:r>
        <w:rPr>
          <w:sz w:val="16"/>
        </w:rPr>
        <w:t>For a discussion on Psychotropic polypharmacy in people with disability, see: Victorian Department of Human Services (2010)</w:t>
      </w:r>
      <w:r>
        <w:rPr>
          <w:color w:val="215E9E"/>
          <w:sz w:val="16"/>
        </w:rPr>
        <w:t xml:space="preserve"> </w:t>
      </w:r>
      <w:r>
        <w:rPr>
          <w:color w:val="215E9E"/>
          <w:sz w:val="16"/>
          <w:u w:val="single" w:color="215E9E"/>
        </w:rPr>
        <w:t xml:space="preserve">Disability, mental health and medication: Implications for practice and </w:t>
      </w:r>
      <w:r>
        <w:rPr>
          <w:color w:val="215E9E"/>
          <w:spacing w:val="-3"/>
          <w:sz w:val="16"/>
          <w:u w:val="single" w:color="215E9E"/>
        </w:rPr>
        <w:t>policy</w:t>
      </w:r>
      <w:r>
        <w:rPr>
          <w:spacing w:val="-3"/>
          <w:sz w:val="16"/>
        </w:rPr>
        <w:t xml:space="preserve">. </w:t>
      </w:r>
      <w:r>
        <w:rPr>
          <w:sz w:val="16"/>
        </w:rPr>
        <w:t>A report prepared for the Office of the Senior Practitioner by: Dr Stuart Thomas, Kaisha Corkery-Lavender, Dr Michael Daffern, Dr Danny Sullivan; Centre for Forensic Behavioural Science, School of Psychology &amp; Psychiatry, Monash University, Australia. See also: Dillon, M. (22 Feb 2019)</w:t>
      </w:r>
      <w:r>
        <w:rPr>
          <w:color w:val="215E9E"/>
          <w:sz w:val="16"/>
        </w:rPr>
        <w:t xml:space="preserve"> </w:t>
      </w:r>
      <w:r>
        <w:rPr>
          <w:color w:val="215E9E"/>
          <w:sz w:val="16"/>
          <w:u w:val="single" w:color="215E9E"/>
        </w:rPr>
        <w:t>What have we heard at the Royal Commission into Aged Care Quality and Safety so far?</w:t>
      </w:r>
      <w:r>
        <w:rPr>
          <w:color w:val="215E9E"/>
          <w:sz w:val="16"/>
        </w:rPr>
        <w:t xml:space="preserve"> </w:t>
      </w:r>
      <w:r>
        <w:rPr>
          <w:sz w:val="16"/>
        </w:rPr>
        <w:t>ABC</w:t>
      </w:r>
      <w:r>
        <w:rPr>
          <w:spacing w:val="-10"/>
          <w:sz w:val="16"/>
        </w:rPr>
        <w:t xml:space="preserve"> </w:t>
      </w:r>
      <w:r>
        <w:rPr>
          <w:sz w:val="16"/>
        </w:rPr>
        <w:t>News.</w:t>
      </w:r>
    </w:p>
    <w:p w:rsidR="007A0A6C" w:rsidRDefault="00660E26">
      <w:pPr>
        <w:pStyle w:val="ListParagraph"/>
        <w:numPr>
          <w:ilvl w:val="0"/>
          <w:numId w:val="3"/>
        </w:numPr>
        <w:tabs>
          <w:tab w:val="left" w:pos="745"/>
        </w:tabs>
        <w:spacing w:before="97"/>
        <w:ind w:left="744" w:hanging="404"/>
        <w:rPr>
          <w:sz w:val="16"/>
        </w:rPr>
      </w:pPr>
      <w:r>
        <w:rPr>
          <w:sz w:val="16"/>
        </w:rPr>
        <w:t>Willacy,</w:t>
      </w:r>
      <w:r>
        <w:rPr>
          <w:spacing w:val="-3"/>
          <w:sz w:val="16"/>
        </w:rPr>
        <w:t xml:space="preserve"> </w:t>
      </w:r>
      <w:r>
        <w:rPr>
          <w:sz w:val="16"/>
        </w:rPr>
        <w:t>M.</w:t>
      </w:r>
      <w:r>
        <w:rPr>
          <w:spacing w:val="-3"/>
          <w:sz w:val="16"/>
        </w:rPr>
        <w:t xml:space="preserve"> </w:t>
      </w:r>
      <w:r>
        <w:rPr>
          <w:sz w:val="16"/>
        </w:rPr>
        <w:t>&amp;</w:t>
      </w:r>
      <w:r>
        <w:rPr>
          <w:spacing w:val="-3"/>
          <w:sz w:val="16"/>
        </w:rPr>
        <w:t xml:space="preserve"> </w:t>
      </w:r>
      <w:r>
        <w:rPr>
          <w:sz w:val="16"/>
        </w:rPr>
        <w:t>and</w:t>
      </w:r>
      <w:r>
        <w:rPr>
          <w:spacing w:val="-4"/>
          <w:sz w:val="16"/>
        </w:rPr>
        <w:t xml:space="preserve"> </w:t>
      </w:r>
      <w:r>
        <w:rPr>
          <w:sz w:val="16"/>
        </w:rPr>
        <w:t>Blucher,</w:t>
      </w:r>
      <w:r>
        <w:rPr>
          <w:spacing w:val="-11"/>
          <w:sz w:val="16"/>
        </w:rPr>
        <w:t xml:space="preserve"> </w:t>
      </w:r>
      <w:r>
        <w:rPr>
          <w:sz w:val="16"/>
        </w:rPr>
        <w:t>A.</w:t>
      </w:r>
      <w:r>
        <w:rPr>
          <w:spacing w:val="-3"/>
          <w:sz w:val="16"/>
        </w:rPr>
        <w:t xml:space="preserve"> </w:t>
      </w:r>
      <w:r>
        <w:rPr>
          <w:sz w:val="16"/>
        </w:rPr>
        <w:t>(18</w:t>
      </w:r>
      <w:r>
        <w:rPr>
          <w:spacing w:val="-2"/>
          <w:sz w:val="16"/>
        </w:rPr>
        <w:t xml:space="preserve"> </w:t>
      </w:r>
      <w:r>
        <w:rPr>
          <w:sz w:val="16"/>
        </w:rPr>
        <w:t>Jun</w:t>
      </w:r>
      <w:r>
        <w:rPr>
          <w:spacing w:val="-3"/>
          <w:sz w:val="16"/>
        </w:rPr>
        <w:t xml:space="preserve"> </w:t>
      </w:r>
      <w:r>
        <w:rPr>
          <w:sz w:val="16"/>
        </w:rPr>
        <w:t>2019)</w:t>
      </w:r>
      <w:r>
        <w:rPr>
          <w:color w:val="215E9E"/>
          <w:spacing w:val="-4"/>
          <w:sz w:val="16"/>
        </w:rPr>
        <w:t xml:space="preserve"> </w:t>
      </w:r>
      <w:r>
        <w:rPr>
          <w:color w:val="215E9E"/>
          <w:sz w:val="16"/>
          <w:u w:val="single" w:color="215E9E"/>
        </w:rPr>
        <w:t>Boy</w:t>
      </w:r>
      <w:r>
        <w:rPr>
          <w:color w:val="215E9E"/>
          <w:spacing w:val="-3"/>
          <w:sz w:val="16"/>
          <w:u w:val="single" w:color="215E9E"/>
        </w:rPr>
        <w:t xml:space="preserve"> </w:t>
      </w:r>
      <w:r>
        <w:rPr>
          <w:color w:val="215E9E"/>
          <w:sz w:val="16"/>
          <w:u w:val="single" w:color="215E9E"/>
        </w:rPr>
        <w:t>kept</w:t>
      </w:r>
      <w:r>
        <w:rPr>
          <w:color w:val="215E9E"/>
          <w:spacing w:val="-3"/>
          <w:sz w:val="16"/>
          <w:u w:val="single" w:color="215E9E"/>
        </w:rPr>
        <w:t xml:space="preserve"> </w:t>
      </w:r>
      <w:r>
        <w:rPr>
          <w:color w:val="215E9E"/>
          <w:sz w:val="16"/>
          <w:u w:val="single" w:color="215E9E"/>
        </w:rPr>
        <w:t>‘completely</w:t>
      </w:r>
      <w:r>
        <w:rPr>
          <w:color w:val="215E9E"/>
          <w:spacing w:val="-3"/>
          <w:sz w:val="16"/>
          <w:u w:val="single" w:color="215E9E"/>
        </w:rPr>
        <w:t xml:space="preserve"> </w:t>
      </w:r>
      <w:r>
        <w:rPr>
          <w:color w:val="215E9E"/>
          <w:sz w:val="16"/>
          <w:u w:val="single" w:color="215E9E"/>
        </w:rPr>
        <w:t>naked’</w:t>
      </w:r>
      <w:r>
        <w:rPr>
          <w:color w:val="215E9E"/>
          <w:spacing w:val="-9"/>
          <w:sz w:val="16"/>
          <w:u w:val="single" w:color="215E9E"/>
        </w:rPr>
        <w:t xml:space="preserve"> </w:t>
      </w:r>
      <w:r>
        <w:rPr>
          <w:color w:val="215E9E"/>
          <w:sz w:val="16"/>
          <w:u w:val="single" w:color="215E9E"/>
        </w:rPr>
        <w:t>in</w:t>
      </w:r>
      <w:r>
        <w:rPr>
          <w:color w:val="215E9E"/>
          <w:spacing w:val="-3"/>
          <w:sz w:val="16"/>
          <w:u w:val="single" w:color="215E9E"/>
        </w:rPr>
        <w:t xml:space="preserve"> </w:t>
      </w:r>
      <w:r>
        <w:rPr>
          <w:color w:val="215E9E"/>
          <w:sz w:val="16"/>
          <w:u w:val="single" w:color="215E9E"/>
        </w:rPr>
        <w:t>Brisbane</w:t>
      </w:r>
      <w:r>
        <w:rPr>
          <w:color w:val="215E9E"/>
          <w:spacing w:val="-3"/>
          <w:sz w:val="16"/>
          <w:u w:val="single" w:color="215E9E"/>
        </w:rPr>
        <w:t xml:space="preserve"> </w:t>
      </w:r>
      <w:r>
        <w:rPr>
          <w:color w:val="215E9E"/>
          <w:sz w:val="16"/>
          <w:u w:val="single" w:color="215E9E"/>
        </w:rPr>
        <w:t>watch</w:t>
      </w:r>
      <w:r>
        <w:rPr>
          <w:color w:val="215E9E"/>
          <w:spacing w:val="-4"/>
          <w:sz w:val="16"/>
          <w:u w:val="single" w:color="215E9E"/>
        </w:rPr>
        <w:t xml:space="preserve"> </w:t>
      </w:r>
      <w:r>
        <w:rPr>
          <w:color w:val="215E9E"/>
          <w:sz w:val="16"/>
          <w:u w:val="single" w:color="215E9E"/>
        </w:rPr>
        <w:t>house</w:t>
      </w:r>
      <w:r>
        <w:rPr>
          <w:color w:val="215E9E"/>
          <w:spacing w:val="-4"/>
          <w:sz w:val="16"/>
          <w:u w:val="single" w:color="215E9E"/>
        </w:rPr>
        <w:t xml:space="preserve"> </w:t>
      </w:r>
      <w:r>
        <w:rPr>
          <w:color w:val="215E9E"/>
          <w:sz w:val="16"/>
          <w:u w:val="single" w:color="215E9E"/>
        </w:rPr>
        <w:t>for</w:t>
      </w:r>
      <w:r>
        <w:rPr>
          <w:color w:val="215E9E"/>
          <w:spacing w:val="-2"/>
          <w:sz w:val="16"/>
          <w:u w:val="single" w:color="215E9E"/>
        </w:rPr>
        <w:t xml:space="preserve"> </w:t>
      </w:r>
      <w:r>
        <w:rPr>
          <w:color w:val="215E9E"/>
          <w:sz w:val="16"/>
          <w:u w:val="single" w:color="215E9E"/>
        </w:rPr>
        <w:t>days</w:t>
      </w:r>
      <w:r>
        <w:rPr>
          <w:sz w:val="16"/>
        </w:rPr>
        <w:t>.</w:t>
      </w:r>
      <w:r>
        <w:rPr>
          <w:spacing w:val="-12"/>
          <w:sz w:val="16"/>
        </w:rPr>
        <w:t xml:space="preserve"> </w:t>
      </w:r>
      <w:r>
        <w:rPr>
          <w:sz w:val="16"/>
        </w:rPr>
        <w:t>ABC</w:t>
      </w:r>
      <w:r>
        <w:rPr>
          <w:spacing w:val="-2"/>
          <w:sz w:val="16"/>
        </w:rPr>
        <w:t xml:space="preserve"> </w:t>
      </w:r>
      <w:r>
        <w:rPr>
          <w:sz w:val="16"/>
        </w:rPr>
        <w:t>Investigations.</w:t>
      </w:r>
    </w:p>
    <w:p w:rsidR="007A0A6C" w:rsidRDefault="00660E26">
      <w:pPr>
        <w:pStyle w:val="ListParagraph"/>
        <w:numPr>
          <w:ilvl w:val="0"/>
          <w:numId w:val="3"/>
        </w:numPr>
        <w:tabs>
          <w:tab w:val="left" w:pos="745"/>
        </w:tabs>
        <w:spacing w:line="261" w:lineRule="auto"/>
        <w:ind w:left="340" w:right="526" w:firstLine="0"/>
        <w:rPr>
          <w:sz w:val="16"/>
        </w:rPr>
      </w:pPr>
      <w:r>
        <w:rPr>
          <w:sz w:val="16"/>
        </w:rPr>
        <w:t xml:space="preserve">See: Frohmader, C., &amp; Sands, </w:t>
      </w:r>
      <w:r>
        <w:rPr>
          <w:spacing w:val="-9"/>
          <w:sz w:val="16"/>
        </w:rPr>
        <w:t xml:space="preserve">T. </w:t>
      </w:r>
      <w:r>
        <w:rPr>
          <w:sz w:val="16"/>
        </w:rPr>
        <w:t>(2015) Australian Cross Disability Alliance (ACDA)</w:t>
      </w:r>
      <w:r>
        <w:rPr>
          <w:color w:val="215E9E"/>
          <w:sz w:val="16"/>
        </w:rPr>
        <w:t xml:space="preserve"> </w:t>
      </w:r>
      <w:r>
        <w:rPr>
          <w:color w:val="215E9E"/>
          <w:sz w:val="16"/>
          <w:u w:val="single" w:color="215E9E"/>
        </w:rPr>
        <w:t>Submission to the Senate Inquiry into Violence, abuse and</w:t>
      </w:r>
      <w:r>
        <w:rPr>
          <w:color w:val="215E9E"/>
          <w:spacing w:val="-5"/>
          <w:sz w:val="16"/>
          <w:u w:val="single" w:color="215E9E"/>
        </w:rPr>
        <w:t xml:space="preserve"> </w:t>
      </w:r>
      <w:r>
        <w:rPr>
          <w:color w:val="215E9E"/>
          <w:sz w:val="16"/>
          <w:u w:val="single" w:color="215E9E"/>
        </w:rPr>
        <w:t>neglect</w:t>
      </w:r>
      <w:r>
        <w:rPr>
          <w:color w:val="215E9E"/>
          <w:spacing w:val="-4"/>
          <w:sz w:val="16"/>
          <w:u w:val="single" w:color="215E9E"/>
        </w:rPr>
        <w:t xml:space="preserve"> </w:t>
      </w:r>
      <w:r>
        <w:rPr>
          <w:color w:val="215E9E"/>
          <w:sz w:val="16"/>
          <w:u w:val="single" w:color="215E9E"/>
        </w:rPr>
        <w:t>against</w:t>
      </w:r>
      <w:r>
        <w:rPr>
          <w:color w:val="215E9E"/>
          <w:spacing w:val="-5"/>
          <w:sz w:val="16"/>
          <w:u w:val="single" w:color="215E9E"/>
        </w:rPr>
        <w:t xml:space="preserve"> </w:t>
      </w:r>
      <w:r>
        <w:rPr>
          <w:color w:val="215E9E"/>
          <w:sz w:val="16"/>
          <w:u w:val="single" w:color="215E9E"/>
        </w:rPr>
        <w:t>people</w:t>
      </w:r>
      <w:r>
        <w:rPr>
          <w:color w:val="215E9E"/>
          <w:spacing w:val="-4"/>
          <w:sz w:val="16"/>
          <w:u w:val="single" w:color="215E9E"/>
        </w:rPr>
        <w:t xml:space="preserve"> </w:t>
      </w:r>
      <w:r>
        <w:rPr>
          <w:color w:val="215E9E"/>
          <w:sz w:val="16"/>
          <w:u w:val="single" w:color="215E9E"/>
        </w:rPr>
        <w:t>with</w:t>
      </w:r>
      <w:r>
        <w:rPr>
          <w:color w:val="215E9E"/>
          <w:spacing w:val="-4"/>
          <w:sz w:val="16"/>
          <w:u w:val="single" w:color="215E9E"/>
        </w:rPr>
        <w:t xml:space="preserve"> </w:t>
      </w:r>
      <w:r>
        <w:rPr>
          <w:color w:val="215E9E"/>
          <w:sz w:val="16"/>
          <w:u w:val="single" w:color="215E9E"/>
        </w:rPr>
        <w:t>disability</w:t>
      </w:r>
      <w:r>
        <w:rPr>
          <w:color w:val="215E9E"/>
          <w:spacing w:val="-5"/>
          <w:sz w:val="16"/>
          <w:u w:val="single" w:color="215E9E"/>
        </w:rPr>
        <w:t xml:space="preserve"> </w:t>
      </w:r>
      <w:r>
        <w:rPr>
          <w:color w:val="215E9E"/>
          <w:sz w:val="16"/>
          <w:u w:val="single" w:color="215E9E"/>
        </w:rPr>
        <w:t>in</w:t>
      </w:r>
      <w:r>
        <w:rPr>
          <w:color w:val="215E9E"/>
          <w:spacing w:val="-4"/>
          <w:sz w:val="16"/>
          <w:u w:val="single" w:color="215E9E"/>
        </w:rPr>
        <w:t xml:space="preserve"> </w:t>
      </w:r>
      <w:r>
        <w:rPr>
          <w:color w:val="215E9E"/>
          <w:sz w:val="16"/>
          <w:u w:val="single" w:color="215E9E"/>
        </w:rPr>
        <w:t>institutional</w:t>
      </w:r>
      <w:r>
        <w:rPr>
          <w:color w:val="215E9E"/>
          <w:spacing w:val="-4"/>
          <w:sz w:val="16"/>
          <w:u w:val="single" w:color="215E9E"/>
        </w:rPr>
        <w:t xml:space="preserve"> </w:t>
      </w:r>
      <w:r>
        <w:rPr>
          <w:color w:val="215E9E"/>
          <w:sz w:val="16"/>
          <w:u w:val="single" w:color="215E9E"/>
        </w:rPr>
        <w:t>and</w:t>
      </w:r>
      <w:r>
        <w:rPr>
          <w:color w:val="215E9E"/>
          <w:spacing w:val="-5"/>
          <w:sz w:val="16"/>
          <w:u w:val="single" w:color="215E9E"/>
        </w:rPr>
        <w:t xml:space="preserve"> </w:t>
      </w:r>
      <w:r>
        <w:rPr>
          <w:color w:val="215E9E"/>
          <w:sz w:val="16"/>
          <w:u w:val="single" w:color="215E9E"/>
        </w:rPr>
        <w:t>residential</w:t>
      </w:r>
      <w:r>
        <w:rPr>
          <w:color w:val="215E9E"/>
          <w:spacing w:val="-3"/>
          <w:sz w:val="16"/>
          <w:u w:val="single" w:color="215E9E"/>
        </w:rPr>
        <w:t xml:space="preserve"> </w:t>
      </w:r>
      <w:r>
        <w:rPr>
          <w:color w:val="215E9E"/>
          <w:sz w:val="16"/>
          <w:u w:val="single" w:color="215E9E"/>
        </w:rPr>
        <w:t>settings</w:t>
      </w:r>
      <w:r>
        <w:rPr>
          <w:color w:val="215E9E"/>
          <w:sz w:val="16"/>
        </w:rPr>
        <w:t>’</w:t>
      </w:r>
      <w:r>
        <w:rPr>
          <w:sz w:val="16"/>
        </w:rPr>
        <w:t>.</w:t>
      </w:r>
      <w:r>
        <w:rPr>
          <w:spacing w:val="-12"/>
          <w:sz w:val="16"/>
        </w:rPr>
        <w:t xml:space="preserve"> </w:t>
      </w:r>
      <w:r>
        <w:rPr>
          <w:sz w:val="16"/>
        </w:rPr>
        <w:t>Australian</w:t>
      </w:r>
      <w:r>
        <w:rPr>
          <w:spacing w:val="-3"/>
          <w:sz w:val="16"/>
        </w:rPr>
        <w:t xml:space="preserve"> </w:t>
      </w:r>
      <w:r>
        <w:rPr>
          <w:sz w:val="16"/>
        </w:rPr>
        <w:t>Cross</w:t>
      </w:r>
      <w:r>
        <w:rPr>
          <w:spacing w:val="-5"/>
          <w:sz w:val="16"/>
        </w:rPr>
        <w:t xml:space="preserve"> </w:t>
      </w:r>
      <w:r>
        <w:rPr>
          <w:sz w:val="16"/>
        </w:rPr>
        <w:t>Disability</w:t>
      </w:r>
      <w:r>
        <w:rPr>
          <w:spacing w:val="-11"/>
          <w:sz w:val="16"/>
        </w:rPr>
        <w:t xml:space="preserve"> </w:t>
      </w:r>
      <w:r>
        <w:rPr>
          <w:sz w:val="16"/>
        </w:rPr>
        <w:t>Alliance</w:t>
      </w:r>
      <w:r>
        <w:rPr>
          <w:spacing w:val="-4"/>
          <w:sz w:val="16"/>
        </w:rPr>
        <w:t xml:space="preserve"> </w:t>
      </w:r>
      <w:r>
        <w:rPr>
          <w:sz w:val="16"/>
        </w:rPr>
        <w:t>(ACDA);</w:t>
      </w:r>
      <w:r>
        <w:rPr>
          <w:spacing w:val="-3"/>
          <w:sz w:val="16"/>
        </w:rPr>
        <w:t xml:space="preserve"> </w:t>
      </w:r>
      <w:r>
        <w:rPr>
          <w:sz w:val="16"/>
        </w:rPr>
        <w:t>Sydney,</w:t>
      </w:r>
      <w:r>
        <w:rPr>
          <w:spacing w:val="-12"/>
          <w:sz w:val="16"/>
        </w:rPr>
        <w:t xml:space="preserve"> </w:t>
      </w:r>
      <w:r>
        <w:rPr>
          <w:sz w:val="16"/>
        </w:rPr>
        <w:t>Australia.</w:t>
      </w:r>
    </w:p>
    <w:p w:rsidR="007A0A6C" w:rsidRDefault="00660E26">
      <w:pPr>
        <w:pStyle w:val="ListParagraph"/>
        <w:numPr>
          <w:ilvl w:val="0"/>
          <w:numId w:val="3"/>
        </w:numPr>
        <w:tabs>
          <w:tab w:val="left" w:pos="736"/>
        </w:tabs>
        <w:spacing w:before="99" w:line="261" w:lineRule="auto"/>
        <w:ind w:left="340" w:right="592" w:firstLine="0"/>
        <w:rPr>
          <w:sz w:val="16"/>
        </w:rPr>
      </w:pPr>
      <w:r>
        <w:rPr>
          <w:sz w:val="16"/>
        </w:rPr>
        <w:t>Australian</w:t>
      </w:r>
      <w:r>
        <w:rPr>
          <w:spacing w:val="-3"/>
          <w:sz w:val="16"/>
        </w:rPr>
        <w:t xml:space="preserve"> </w:t>
      </w:r>
      <w:r>
        <w:rPr>
          <w:sz w:val="16"/>
        </w:rPr>
        <w:t>Government,</w:t>
      </w:r>
      <w:r>
        <w:rPr>
          <w:color w:val="215E9E"/>
          <w:spacing w:val="-4"/>
          <w:sz w:val="16"/>
        </w:rPr>
        <w:t xml:space="preserve"> </w:t>
      </w:r>
      <w:r>
        <w:rPr>
          <w:color w:val="215E9E"/>
          <w:sz w:val="16"/>
          <w:u w:val="single" w:color="215E9E"/>
        </w:rPr>
        <w:t>National</w:t>
      </w:r>
      <w:r>
        <w:rPr>
          <w:color w:val="215E9E"/>
          <w:spacing w:val="-3"/>
          <w:sz w:val="16"/>
          <w:u w:val="single" w:color="215E9E"/>
        </w:rPr>
        <w:t xml:space="preserve"> </w:t>
      </w:r>
      <w:r>
        <w:rPr>
          <w:color w:val="215E9E"/>
          <w:sz w:val="16"/>
          <w:u w:val="single" w:color="215E9E"/>
        </w:rPr>
        <w:t>Framework</w:t>
      </w:r>
      <w:r>
        <w:rPr>
          <w:color w:val="215E9E"/>
          <w:spacing w:val="-3"/>
          <w:sz w:val="16"/>
          <w:u w:val="single" w:color="215E9E"/>
        </w:rPr>
        <w:t xml:space="preserve"> </w:t>
      </w:r>
      <w:r>
        <w:rPr>
          <w:color w:val="215E9E"/>
          <w:sz w:val="16"/>
          <w:u w:val="single" w:color="215E9E"/>
        </w:rPr>
        <w:t>for</w:t>
      </w:r>
      <w:r>
        <w:rPr>
          <w:color w:val="215E9E"/>
          <w:spacing w:val="-2"/>
          <w:sz w:val="16"/>
          <w:u w:val="single" w:color="215E9E"/>
        </w:rPr>
        <w:t xml:space="preserve"> </w:t>
      </w:r>
      <w:r>
        <w:rPr>
          <w:color w:val="215E9E"/>
          <w:sz w:val="16"/>
          <w:u w:val="single" w:color="215E9E"/>
        </w:rPr>
        <w:t>Reducing</w:t>
      </w:r>
      <w:r>
        <w:rPr>
          <w:color w:val="215E9E"/>
          <w:spacing w:val="-4"/>
          <w:sz w:val="16"/>
          <w:u w:val="single" w:color="215E9E"/>
        </w:rPr>
        <w:t xml:space="preserve"> </w:t>
      </w:r>
      <w:r>
        <w:rPr>
          <w:color w:val="215E9E"/>
          <w:sz w:val="16"/>
          <w:u w:val="single" w:color="215E9E"/>
        </w:rPr>
        <w:t>and</w:t>
      </w:r>
      <w:r>
        <w:rPr>
          <w:color w:val="215E9E"/>
          <w:spacing w:val="-3"/>
          <w:sz w:val="16"/>
          <w:u w:val="single" w:color="215E9E"/>
        </w:rPr>
        <w:t xml:space="preserve"> </w:t>
      </w:r>
      <w:r>
        <w:rPr>
          <w:color w:val="215E9E"/>
          <w:sz w:val="16"/>
          <w:u w:val="single" w:color="215E9E"/>
        </w:rPr>
        <w:t>Eliminating</w:t>
      </w:r>
      <w:r>
        <w:rPr>
          <w:color w:val="215E9E"/>
          <w:spacing w:val="-3"/>
          <w:sz w:val="16"/>
          <w:u w:val="single" w:color="215E9E"/>
        </w:rPr>
        <w:t xml:space="preserve"> </w:t>
      </w:r>
      <w:r>
        <w:rPr>
          <w:color w:val="215E9E"/>
          <w:sz w:val="16"/>
          <w:u w:val="single" w:color="215E9E"/>
        </w:rPr>
        <w:t>the</w:t>
      </w:r>
      <w:r>
        <w:rPr>
          <w:color w:val="215E9E"/>
          <w:spacing w:val="-3"/>
          <w:sz w:val="16"/>
          <w:u w:val="single" w:color="215E9E"/>
        </w:rPr>
        <w:t xml:space="preserve"> </w:t>
      </w:r>
      <w:r>
        <w:rPr>
          <w:color w:val="215E9E"/>
          <w:sz w:val="16"/>
          <w:u w:val="single" w:color="215E9E"/>
        </w:rPr>
        <w:t>Use</w:t>
      </w:r>
      <w:r>
        <w:rPr>
          <w:color w:val="215E9E"/>
          <w:spacing w:val="-3"/>
          <w:sz w:val="16"/>
          <w:u w:val="single" w:color="215E9E"/>
        </w:rPr>
        <w:t xml:space="preserve"> </w:t>
      </w:r>
      <w:r>
        <w:rPr>
          <w:color w:val="215E9E"/>
          <w:sz w:val="16"/>
          <w:u w:val="single" w:color="215E9E"/>
        </w:rPr>
        <w:t>of</w:t>
      </w:r>
      <w:r>
        <w:rPr>
          <w:color w:val="215E9E"/>
          <w:spacing w:val="-4"/>
          <w:sz w:val="16"/>
          <w:u w:val="single" w:color="215E9E"/>
        </w:rPr>
        <w:t xml:space="preserve"> </w:t>
      </w:r>
      <w:r>
        <w:rPr>
          <w:color w:val="215E9E"/>
          <w:sz w:val="16"/>
          <w:u w:val="single" w:color="215E9E"/>
        </w:rPr>
        <w:t>Restrictive</w:t>
      </w:r>
      <w:r>
        <w:rPr>
          <w:color w:val="215E9E"/>
          <w:spacing w:val="-3"/>
          <w:sz w:val="16"/>
          <w:u w:val="single" w:color="215E9E"/>
        </w:rPr>
        <w:t xml:space="preserve"> </w:t>
      </w:r>
      <w:r>
        <w:rPr>
          <w:color w:val="215E9E"/>
          <w:sz w:val="16"/>
          <w:u w:val="single" w:color="215E9E"/>
        </w:rPr>
        <w:t>Practices</w:t>
      </w:r>
      <w:r>
        <w:rPr>
          <w:color w:val="215E9E"/>
          <w:spacing w:val="-3"/>
          <w:sz w:val="16"/>
          <w:u w:val="single" w:color="215E9E"/>
        </w:rPr>
        <w:t xml:space="preserve"> </w:t>
      </w:r>
      <w:r>
        <w:rPr>
          <w:color w:val="215E9E"/>
          <w:sz w:val="16"/>
          <w:u w:val="single" w:color="215E9E"/>
        </w:rPr>
        <w:t>in</w:t>
      </w:r>
      <w:r>
        <w:rPr>
          <w:color w:val="215E9E"/>
          <w:spacing w:val="-4"/>
          <w:sz w:val="16"/>
          <w:u w:val="single" w:color="215E9E"/>
        </w:rPr>
        <w:t xml:space="preserve"> </w:t>
      </w:r>
      <w:r>
        <w:rPr>
          <w:color w:val="215E9E"/>
          <w:sz w:val="16"/>
          <w:u w:val="single" w:color="215E9E"/>
        </w:rPr>
        <w:t>the</w:t>
      </w:r>
      <w:r>
        <w:rPr>
          <w:color w:val="215E9E"/>
          <w:spacing w:val="-2"/>
          <w:sz w:val="16"/>
          <w:u w:val="single" w:color="215E9E"/>
        </w:rPr>
        <w:t xml:space="preserve"> </w:t>
      </w:r>
      <w:r>
        <w:rPr>
          <w:color w:val="215E9E"/>
          <w:sz w:val="16"/>
          <w:u w:val="single" w:color="215E9E"/>
        </w:rPr>
        <w:t>Disability</w:t>
      </w:r>
      <w:r>
        <w:rPr>
          <w:color w:val="215E9E"/>
          <w:spacing w:val="-4"/>
          <w:sz w:val="16"/>
          <w:u w:val="single" w:color="215E9E"/>
        </w:rPr>
        <w:t xml:space="preserve"> </w:t>
      </w:r>
      <w:r>
        <w:rPr>
          <w:color w:val="215E9E"/>
          <w:sz w:val="16"/>
          <w:u w:val="single" w:color="215E9E"/>
        </w:rPr>
        <w:t>Service</w:t>
      </w:r>
      <w:r>
        <w:rPr>
          <w:color w:val="215E9E"/>
          <w:spacing w:val="-2"/>
          <w:sz w:val="16"/>
          <w:u w:val="single" w:color="215E9E"/>
        </w:rPr>
        <w:t xml:space="preserve"> </w:t>
      </w:r>
      <w:r>
        <w:rPr>
          <w:color w:val="215E9E"/>
          <w:sz w:val="16"/>
          <w:u w:val="single" w:color="215E9E"/>
        </w:rPr>
        <w:t>Sector</w:t>
      </w:r>
      <w:r>
        <w:rPr>
          <w:sz w:val="16"/>
        </w:rPr>
        <w:t>. Department of Social</w:t>
      </w:r>
      <w:r>
        <w:rPr>
          <w:spacing w:val="-3"/>
          <w:sz w:val="16"/>
        </w:rPr>
        <w:t xml:space="preserve"> </w:t>
      </w:r>
      <w:r>
        <w:rPr>
          <w:sz w:val="16"/>
        </w:rPr>
        <w:t>Services.</w:t>
      </w:r>
    </w:p>
    <w:p w:rsidR="007A0A6C" w:rsidRDefault="00660E26">
      <w:pPr>
        <w:pStyle w:val="ListParagraph"/>
        <w:numPr>
          <w:ilvl w:val="0"/>
          <w:numId w:val="3"/>
        </w:numPr>
        <w:tabs>
          <w:tab w:val="left" w:pos="745"/>
        </w:tabs>
        <w:spacing w:before="99"/>
        <w:ind w:left="744" w:hanging="404"/>
        <w:rPr>
          <w:sz w:val="16"/>
        </w:rPr>
      </w:pPr>
      <w:r>
        <w:rPr>
          <w:sz w:val="16"/>
        </w:rPr>
        <w:t>National Disability Insurance Scheme</w:t>
      </w:r>
      <w:r>
        <w:rPr>
          <w:color w:val="215E9E"/>
          <w:sz w:val="16"/>
        </w:rPr>
        <w:t xml:space="preserve"> </w:t>
      </w:r>
      <w:r>
        <w:rPr>
          <w:color w:val="215E9E"/>
          <w:sz w:val="16"/>
          <w:u w:val="single" w:color="215E9E"/>
        </w:rPr>
        <w:t>(Restrictive Practices and Behaviour Support) Rules</w:t>
      </w:r>
      <w:r>
        <w:rPr>
          <w:color w:val="215E9E"/>
          <w:spacing w:val="-7"/>
          <w:sz w:val="16"/>
          <w:u w:val="single" w:color="215E9E"/>
        </w:rPr>
        <w:t xml:space="preserve"> </w:t>
      </w:r>
      <w:r>
        <w:rPr>
          <w:color w:val="215E9E"/>
          <w:sz w:val="16"/>
          <w:u w:val="single" w:color="215E9E"/>
        </w:rPr>
        <w:t>2018</w:t>
      </w:r>
    </w:p>
    <w:p w:rsidR="007A0A6C" w:rsidRDefault="00660E26">
      <w:pPr>
        <w:pStyle w:val="ListParagraph"/>
        <w:numPr>
          <w:ilvl w:val="0"/>
          <w:numId w:val="3"/>
        </w:numPr>
        <w:tabs>
          <w:tab w:val="left" w:pos="742"/>
        </w:tabs>
        <w:spacing w:line="261" w:lineRule="auto"/>
        <w:ind w:left="340" w:right="436" w:firstLine="0"/>
        <w:rPr>
          <w:sz w:val="16"/>
        </w:rPr>
      </w:pPr>
      <w:r>
        <w:rPr>
          <w:sz w:val="16"/>
        </w:rPr>
        <w:t>The Framework only applies to disability services and the NDIS (Restrictive Practice and Behaviour Support) Rules 2018 only apply to NDIS participants.</w:t>
      </w:r>
    </w:p>
    <w:p w:rsidR="007A0A6C" w:rsidRDefault="00660E26">
      <w:pPr>
        <w:pStyle w:val="ListParagraph"/>
        <w:numPr>
          <w:ilvl w:val="0"/>
          <w:numId w:val="3"/>
        </w:numPr>
        <w:tabs>
          <w:tab w:val="left" w:pos="745"/>
        </w:tabs>
        <w:spacing w:before="99"/>
        <w:ind w:left="744" w:hanging="404"/>
        <w:rPr>
          <w:sz w:val="16"/>
        </w:rPr>
      </w:pPr>
      <w:r>
        <w:rPr>
          <w:sz w:val="16"/>
        </w:rPr>
        <w:t xml:space="preserve">States and </w:t>
      </w:r>
      <w:r>
        <w:rPr>
          <w:spacing w:val="-3"/>
          <w:sz w:val="16"/>
        </w:rPr>
        <w:t xml:space="preserve">Territories </w:t>
      </w:r>
      <w:r>
        <w:rPr>
          <w:sz w:val="16"/>
        </w:rPr>
        <w:t>will have NPM bodies for their respective</w:t>
      </w:r>
      <w:r>
        <w:rPr>
          <w:spacing w:val="-7"/>
          <w:sz w:val="16"/>
        </w:rPr>
        <w:t xml:space="preserve"> </w:t>
      </w:r>
      <w:r>
        <w:rPr>
          <w:sz w:val="16"/>
        </w:rPr>
        <w:t>jurisdictions.</w:t>
      </w:r>
    </w:p>
    <w:p w:rsidR="007A0A6C" w:rsidRDefault="00660E26">
      <w:pPr>
        <w:pStyle w:val="ListParagraph"/>
        <w:numPr>
          <w:ilvl w:val="0"/>
          <w:numId w:val="3"/>
        </w:numPr>
        <w:tabs>
          <w:tab w:val="left" w:pos="745"/>
        </w:tabs>
        <w:ind w:left="744" w:hanging="404"/>
        <w:rPr>
          <w:sz w:val="16"/>
        </w:rPr>
      </w:pPr>
      <w:r>
        <w:rPr>
          <w:sz w:val="16"/>
        </w:rPr>
        <w:t>Such as prisons, juvenile detention, police cells, closed psychiatric institutions and immigration</w:t>
      </w:r>
      <w:r>
        <w:rPr>
          <w:spacing w:val="-19"/>
          <w:sz w:val="16"/>
        </w:rPr>
        <w:t xml:space="preserve"> </w:t>
      </w:r>
      <w:r>
        <w:rPr>
          <w:sz w:val="16"/>
        </w:rPr>
        <w:t>facilities.</w:t>
      </w:r>
    </w:p>
    <w:p w:rsidR="007A0A6C" w:rsidRDefault="007A0A6C">
      <w:pPr>
        <w:rPr>
          <w:sz w:val="16"/>
        </w:rPr>
        <w:sectPr w:rsidR="007A0A6C">
          <w:pgSz w:w="11910" w:h="16840"/>
          <w:pgMar w:top="600" w:right="440" w:bottom="540" w:left="380" w:header="0" w:footer="343" w:gutter="0"/>
          <w:cols w:space="720"/>
        </w:sectPr>
      </w:pPr>
    </w:p>
    <w:p w:rsidR="007A0A6C" w:rsidRDefault="00660E26">
      <w:pPr>
        <w:pStyle w:val="ListParagraph"/>
        <w:numPr>
          <w:ilvl w:val="0"/>
          <w:numId w:val="3"/>
        </w:numPr>
        <w:tabs>
          <w:tab w:val="left" w:pos="745"/>
        </w:tabs>
        <w:spacing w:before="68" w:line="261" w:lineRule="auto"/>
        <w:ind w:left="340" w:right="853" w:firstLine="0"/>
        <w:rPr>
          <w:sz w:val="16"/>
        </w:rPr>
      </w:pPr>
      <w:r>
        <w:rPr>
          <w:sz w:val="16"/>
        </w:rPr>
        <w:lastRenderedPageBreak/>
        <w:t>Disabled</w:t>
      </w:r>
      <w:r>
        <w:rPr>
          <w:spacing w:val="-4"/>
          <w:sz w:val="16"/>
        </w:rPr>
        <w:t xml:space="preserve"> </w:t>
      </w:r>
      <w:r>
        <w:rPr>
          <w:sz w:val="16"/>
        </w:rPr>
        <w:t>People’s</w:t>
      </w:r>
      <w:r>
        <w:rPr>
          <w:spacing w:val="-2"/>
          <w:sz w:val="16"/>
        </w:rPr>
        <w:t xml:space="preserve"> </w:t>
      </w:r>
      <w:r>
        <w:rPr>
          <w:sz w:val="16"/>
        </w:rPr>
        <w:t>Organisations</w:t>
      </w:r>
      <w:r>
        <w:rPr>
          <w:spacing w:val="-11"/>
          <w:sz w:val="16"/>
        </w:rPr>
        <w:t xml:space="preserve"> </w:t>
      </w:r>
      <w:r>
        <w:rPr>
          <w:sz w:val="16"/>
        </w:rPr>
        <w:t>Australia</w:t>
      </w:r>
      <w:r>
        <w:rPr>
          <w:spacing w:val="-2"/>
          <w:sz w:val="16"/>
        </w:rPr>
        <w:t xml:space="preserve"> </w:t>
      </w:r>
      <w:r>
        <w:rPr>
          <w:sz w:val="16"/>
        </w:rPr>
        <w:t>(DPOA),</w:t>
      </w:r>
      <w:r>
        <w:rPr>
          <w:color w:val="215E9E"/>
          <w:spacing w:val="-3"/>
          <w:sz w:val="16"/>
        </w:rPr>
        <w:t xml:space="preserve"> </w:t>
      </w:r>
      <w:r>
        <w:rPr>
          <w:color w:val="215E9E"/>
          <w:sz w:val="16"/>
          <w:u w:val="single" w:color="215E9E"/>
        </w:rPr>
        <w:t>Position</w:t>
      </w:r>
      <w:r>
        <w:rPr>
          <w:color w:val="215E9E"/>
          <w:spacing w:val="-3"/>
          <w:sz w:val="16"/>
          <w:u w:val="single" w:color="215E9E"/>
        </w:rPr>
        <w:t xml:space="preserve"> </w:t>
      </w:r>
      <w:r>
        <w:rPr>
          <w:color w:val="215E9E"/>
          <w:sz w:val="16"/>
          <w:u w:val="single" w:color="215E9E"/>
        </w:rPr>
        <w:t>Paper:</w:t>
      </w:r>
      <w:r>
        <w:rPr>
          <w:color w:val="215E9E"/>
          <w:spacing w:val="-2"/>
          <w:sz w:val="16"/>
          <w:u w:val="single" w:color="215E9E"/>
        </w:rPr>
        <w:t xml:space="preserve"> </w:t>
      </w:r>
      <w:r>
        <w:rPr>
          <w:color w:val="215E9E"/>
          <w:sz w:val="16"/>
          <w:u w:val="single" w:color="215E9E"/>
        </w:rPr>
        <w:t>Disability</w:t>
      </w:r>
      <w:r>
        <w:rPr>
          <w:color w:val="215E9E"/>
          <w:spacing w:val="-3"/>
          <w:sz w:val="16"/>
          <w:u w:val="single" w:color="215E9E"/>
        </w:rPr>
        <w:t xml:space="preserve"> </w:t>
      </w:r>
      <w:r>
        <w:rPr>
          <w:color w:val="215E9E"/>
          <w:sz w:val="16"/>
          <w:u w:val="single" w:color="215E9E"/>
        </w:rPr>
        <w:t>Inclusive</w:t>
      </w:r>
      <w:r>
        <w:rPr>
          <w:color w:val="215E9E"/>
          <w:spacing w:val="-2"/>
          <w:sz w:val="16"/>
          <w:u w:val="single" w:color="215E9E"/>
        </w:rPr>
        <w:t xml:space="preserve"> </w:t>
      </w:r>
      <w:r>
        <w:rPr>
          <w:color w:val="215E9E"/>
          <w:sz w:val="16"/>
          <w:u w:val="single" w:color="215E9E"/>
        </w:rPr>
        <w:t>National</w:t>
      </w:r>
      <w:r>
        <w:rPr>
          <w:color w:val="215E9E"/>
          <w:spacing w:val="-4"/>
          <w:sz w:val="16"/>
          <w:u w:val="single" w:color="215E9E"/>
        </w:rPr>
        <w:t xml:space="preserve"> </w:t>
      </w:r>
      <w:r>
        <w:rPr>
          <w:color w:val="215E9E"/>
          <w:sz w:val="16"/>
          <w:u w:val="single" w:color="215E9E"/>
        </w:rPr>
        <w:t>Preventive</w:t>
      </w:r>
      <w:r>
        <w:rPr>
          <w:color w:val="215E9E"/>
          <w:spacing w:val="-2"/>
          <w:sz w:val="16"/>
          <w:u w:val="single" w:color="215E9E"/>
        </w:rPr>
        <w:t xml:space="preserve"> </w:t>
      </w:r>
      <w:r>
        <w:rPr>
          <w:color w:val="215E9E"/>
          <w:sz w:val="16"/>
          <w:u w:val="single" w:color="215E9E"/>
        </w:rPr>
        <w:t>Mechanism</w:t>
      </w:r>
      <w:r>
        <w:rPr>
          <w:color w:val="215E9E"/>
          <w:spacing w:val="-2"/>
          <w:sz w:val="16"/>
          <w:u w:val="single" w:color="215E9E"/>
        </w:rPr>
        <w:t xml:space="preserve"> </w:t>
      </w:r>
      <w:r>
        <w:rPr>
          <w:color w:val="215E9E"/>
          <w:sz w:val="16"/>
          <w:u w:val="single" w:color="215E9E"/>
        </w:rPr>
        <w:t>(NPM)</w:t>
      </w:r>
      <w:r>
        <w:rPr>
          <w:sz w:val="16"/>
        </w:rPr>
        <w:t>.</w:t>
      </w:r>
      <w:r>
        <w:rPr>
          <w:spacing w:val="-2"/>
          <w:sz w:val="16"/>
        </w:rPr>
        <w:t xml:space="preserve"> </w:t>
      </w:r>
      <w:r>
        <w:rPr>
          <w:sz w:val="16"/>
        </w:rPr>
        <w:t>DPOA, Sydney.</w:t>
      </w:r>
    </w:p>
    <w:p w:rsidR="007A0A6C" w:rsidRDefault="00660E26">
      <w:pPr>
        <w:pStyle w:val="ListParagraph"/>
        <w:numPr>
          <w:ilvl w:val="0"/>
          <w:numId w:val="3"/>
        </w:numPr>
        <w:tabs>
          <w:tab w:val="left" w:pos="745"/>
        </w:tabs>
        <w:spacing w:before="99"/>
        <w:ind w:left="744" w:hanging="404"/>
        <w:rPr>
          <w:sz w:val="16"/>
        </w:rPr>
      </w:pPr>
      <w:r>
        <w:rPr>
          <w:sz w:val="16"/>
        </w:rPr>
        <w:t>See:</w:t>
      </w:r>
      <w:r>
        <w:rPr>
          <w:spacing w:val="-1"/>
          <w:sz w:val="16"/>
        </w:rPr>
        <w:t xml:space="preserve"> </w:t>
      </w:r>
      <w:r>
        <w:rPr>
          <w:sz w:val="16"/>
        </w:rPr>
        <w:t>CAT/C/AUS/CO/4-5.</w:t>
      </w:r>
    </w:p>
    <w:p w:rsidR="007A0A6C" w:rsidRDefault="00660E26">
      <w:pPr>
        <w:pStyle w:val="ListParagraph"/>
        <w:numPr>
          <w:ilvl w:val="0"/>
          <w:numId w:val="3"/>
        </w:numPr>
        <w:tabs>
          <w:tab w:val="left" w:pos="745"/>
        </w:tabs>
        <w:ind w:left="744" w:hanging="404"/>
        <w:rPr>
          <w:sz w:val="16"/>
        </w:rPr>
      </w:pPr>
      <w:r>
        <w:rPr>
          <w:color w:val="215E9E"/>
          <w:sz w:val="16"/>
          <w:u w:val="single" w:color="215E9E"/>
        </w:rPr>
        <w:t>Royal Commission into Violence, Abuse, Neglect and Exploitation of People with</w:t>
      </w:r>
      <w:r>
        <w:rPr>
          <w:color w:val="215E9E"/>
          <w:spacing w:val="-23"/>
          <w:sz w:val="16"/>
          <w:u w:val="single" w:color="215E9E"/>
        </w:rPr>
        <w:t xml:space="preserve"> </w:t>
      </w:r>
      <w:r>
        <w:rPr>
          <w:color w:val="215E9E"/>
          <w:sz w:val="16"/>
          <w:u w:val="single" w:color="215E9E"/>
        </w:rPr>
        <w:t>Disability</w:t>
      </w:r>
      <w:r>
        <w:rPr>
          <w:sz w:val="16"/>
        </w:rPr>
        <w:t>.</w:t>
      </w:r>
    </w:p>
    <w:p w:rsidR="007A0A6C" w:rsidRDefault="00660E26">
      <w:pPr>
        <w:pStyle w:val="ListParagraph"/>
        <w:numPr>
          <w:ilvl w:val="0"/>
          <w:numId w:val="3"/>
        </w:numPr>
        <w:tabs>
          <w:tab w:val="left" w:pos="745"/>
        </w:tabs>
        <w:spacing w:line="261" w:lineRule="auto"/>
        <w:ind w:left="340" w:right="326" w:firstLine="0"/>
        <w:rPr>
          <w:sz w:val="16"/>
        </w:rPr>
      </w:pPr>
      <w:r>
        <w:rPr>
          <w:sz w:val="16"/>
        </w:rPr>
        <w:t xml:space="preserve">Reflecting Australia’s obligations under the international human rights treaties to which Australia is a </w:t>
      </w:r>
      <w:r>
        <w:rPr>
          <w:spacing w:val="-3"/>
          <w:sz w:val="16"/>
        </w:rPr>
        <w:t xml:space="preserve">party, </w:t>
      </w:r>
      <w:r>
        <w:rPr>
          <w:sz w:val="16"/>
        </w:rPr>
        <w:t>and the United Nations</w:t>
      </w:r>
      <w:r>
        <w:rPr>
          <w:color w:val="215E9E"/>
          <w:sz w:val="16"/>
        </w:rPr>
        <w:t xml:space="preserve"> </w:t>
      </w:r>
      <w:hyperlink r:id="rId49">
        <w:r>
          <w:rPr>
            <w:color w:val="215E9E"/>
            <w:sz w:val="16"/>
            <w:u w:val="single" w:color="215E9E"/>
          </w:rPr>
          <w:t>‘Basic</w:t>
        </w:r>
      </w:hyperlink>
      <w:hyperlink r:id="rId50">
        <w:r>
          <w:rPr>
            <w:color w:val="215E9E"/>
            <w:sz w:val="16"/>
            <w:u w:val="single" w:color="215E9E"/>
          </w:rPr>
          <w:t xml:space="preserve"> Principles and Guidelines on the Right to a Remedy and Reparation for Victims of Gross Violations of International Human Rights Law and Serious</w:t>
        </w:r>
      </w:hyperlink>
      <w:hyperlink r:id="rId51">
        <w:r>
          <w:rPr>
            <w:color w:val="215E9E"/>
            <w:sz w:val="16"/>
            <w:u w:val="single" w:color="215E9E"/>
          </w:rPr>
          <w:t xml:space="preserve"> Violations of International Humanitarian Law</w:t>
        </w:r>
        <w:r>
          <w:rPr>
            <w:color w:val="215E9E"/>
            <w:sz w:val="16"/>
          </w:rPr>
          <w:t>’</w:t>
        </w:r>
      </w:hyperlink>
      <w:r>
        <w:rPr>
          <w:sz w:val="16"/>
        </w:rPr>
        <w:t>, remedies for gross violations of international human rights law and serious violations of international humanitarian law include the victim’s right to the following as provided for under international law: (a) Equal and effective access to justice; (b) Adequate, effective and prompt reparation for harm suffered; (c) Access to relevant information concerning violations and reparation mechanisms. UN Doc. No</w:t>
      </w:r>
      <w:r>
        <w:rPr>
          <w:spacing w:val="-12"/>
          <w:sz w:val="16"/>
        </w:rPr>
        <w:t xml:space="preserve"> </w:t>
      </w:r>
      <w:r>
        <w:rPr>
          <w:sz w:val="16"/>
        </w:rPr>
        <w:t>A/RES/60/147.</w:t>
      </w:r>
    </w:p>
    <w:p w:rsidR="007A0A6C" w:rsidRDefault="00660E26">
      <w:pPr>
        <w:pStyle w:val="ListParagraph"/>
        <w:numPr>
          <w:ilvl w:val="0"/>
          <w:numId w:val="3"/>
        </w:numPr>
        <w:tabs>
          <w:tab w:val="left" w:pos="745"/>
        </w:tabs>
        <w:spacing w:before="97" w:line="261" w:lineRule="auto"/>
        <w:ind w:left="340" w:right="526" w:firstLine="0"/>
        <w:rPr>
          <w:sz w:val="16"/>
        </w:rPr>
      </w:pPr>
      <w:r>
        <w:rPr>
          <w:sz w:val="16"/>
        </w:rPr>
        <w:t xml:space="preserve">See: Frohmader, C., &amp; Sands, </w:t>
      </w:r>
      <w:r>
        <w:rPr>
          <w:spacing w:val="-9"/>
          <w:sz w:val="16"/>
        </w:rPr>
        <w:t xml:space="preserve">T. </w:t>
      </w:r>
      <w:r>
        <w:rPr>
          <w:sz w:val="16"/>
        </w:rPr>
        <w:t>(2015) Australian Cross Disability Alliance (ACDA)</w:t>
      </w:r>
      <w:r>
        <w:rPr>
          <w:color w:val="215E9E"/>
          <w:sz w:val="16"/>
        </w:rPr>
        <w:t xml:space="preserve"> </w:t>
      </w:r>
      <w:r>
        <w:rPr>
          <w:color w:val="215E9E"/>
          <w:sz w:val="16"/>
          <w:u w:val="single" w:color="215E9E"/>
        </w:rPr>
        <w:t>Submission to the Senate Inquiry into Violence, abuse and</w:t>
      </w:r>
      <w:r>
        <w:rPr>
          <w:color w:val="215E9E"/>
          <w:spacing w:val="-5"/>
          <w:sz w:val="16"/>
          <w:u w:val="single" w:color="215E9E"/>
        </w:rPr>
        <w:t xml:space="preserve"> </w:t>
      </w:r>
      <w:r>
        <w:rPr>
          <w:color w:val="215E9E"/>
          <w:sz w:val="16"/>
          <w:u w:val="single" w:color="215E9E"/>
        </w:rPr>
        <w:t>neglect</w:t>
      </w:r>
      <w:r>
        <w:rPr>
          <w:color w:val="215E9E"/>
          <w:spacing w:val="-4"/>
          <w:sz w:val="16"/>
          <w:u w:val="single" w:color="215E9E"/>
        </w:rPr>
        <w:t xml:space="preserve"> </w:t>
      </w:r>
      <w:r>
        <w:rPr>
          <w:color w:val="215E9E"/>
          <w:sz w:val="16"/>
          <w:u w:val="single" w:color="215E9E"/>
        </w:rPr>
        <w:t>against</w:t>
      </w:r>
      <w:r>
        <w:rPr>
          <w:color w:val="215E9E"/>
          <w:spacing w:val="-5"/>
          <w:sz w:val="16"/>
          <w:u w:val="single" w:color="215E9E"/>
        </w:rPr>
        <w:t xml:space="preserve"> </w:t>
      </w:r>
      <w:r>
        <w:rPr>
          <w:color w:val="215E9E"/>
          <w:sz w:val="16"/>
          <w:u w:val="single" w:color="215E9E"/>
        </w:rPr>
        <w:t>people</w:t>
      </w:r>
      <w:r>
        <w:rPr>
          <w:color w:val="215E9E"/>
          <w:spacing w:val="-4"/>
          <w:sz w:val="16"/>
          <w:u w:val="single" w:color="215E9E"/>
        </w:rPr>
        <w:t xml:space="preserve"> </w:t>
      </w:r>
      <w:r>
        <w:rPr>
          <w:color w:val="215E9E"/>
          <w:sz w:val="16"/>
          <w:u w:val="single" w:color="215E9E"/>
        </w:rPr>
        <w:t>with</w:t>
      </w:r>
      <w:r>
        <w:rPr>
          <w:color w:val="215E9E"/>
          <w:spacing w:val="-4"/>
          <w:sz w:val="16"/>
          <w:u w:val="single" w:color="215E9E"/>
        </w:rPr>
        <w:t xml:space="preserve"> </w:t>
      </w:r>
      <w:r>
        <w:rPr>
          <w:color w:val="215E9E"/>
          <w:sz w:val="16"/>
          <w:u w:val="single" w:color="215E9E"/>
        </w:rPr>
        <w:t>disability</w:t>
      </w:r>
      <w:r>
        <w:rPr>
          <w:color w:val="215E9E"/>
          <w:spacing w:val="-5"/>
          <w:sz w:val="16"/>
          <w:u w:val="single" w:color="215E9E"/>
        </w:rPr>
        <w:t xml:space="preserve"> </w:t>
      </w:r>
      <w:r>
        <w:rPr>
          <w:color w:val="215E9E"/>
          <w:sz w:val="16"/>
          <w:u w:val="single" w:color="215E9E"/>
        </w:rPr>
        <w:t>in</w:t>
      </w:r>
      <w:r>
        <w:rPr>
          <w:color w:val="215E9E"/>
          <w:spacing w:val="-4"/>
          <w:sz w:val="16"/>
          <w:u w:val="single" w:color="215E9E"/>
        </w:rPr>
        <w:t xml:space="preserve"> </w:t>
      </w:r>
      <w:r>
        <w:rPr>
          <w:color w:val="215E9E"/>
          <w:sz w:val="16"/>
          <w:u w:val="single" w:color="215E9E"/>
        </w:rPr>
        <w:t>institutional</w:t>
      </w:r>
      <w:r>
        <w:rPr>
          <w:color w:val="215E9E"/>
          <w:spacing w:val="-4"/>
          <w:sz w:val="16"/>
          <w:u w:val="single" w:color="215E9E"/>
        </w:rPr>
        <w:t xml:space="preserve"> </w:t>
      </w:r>
      <w:r>
        <w:rPr>
          <w:color w:val="215E9E"/>
          <w:sz w:val="16"/>
          <w:u w:val="single" w:color="215E9E"/>
        </w:rPr>
        <w:t>and</w:t>
      </w:r>
      <w:r>
        <w:rPr>
          <w:color w:val="215E9E"/>
          <w:spacing w:val="-5"/>
          <w:sz w:val="16"/>
          <w:u w:val="single" w:color="215E9E"/>
        </w:rPr>
        <w:t xml:space="preserve"> </w:t>
      </w:r>
      <w:r>
        <w:rPr>
          <w:color w:val="215E9E"/>
          <w:sz w:val="16"/>
          <w:u w:val="single" w:color="215E9E"/>
        </w:rPr>
        <w:t>residential</w:t>
      </w:r>
      <w:r>
        <w:rPr>
          <w:color w:val="215E9E"/>
          <w:spacing w:val="-3"/>
          <w:sz w:val="16"/>
          <w:u w:val="single" w:color="215E9E"/>
        </w:rPr>
        <w:t xml:space="preserve"> </w:t>
      </w:r>
      <w:r>
        <w:rPr>
          <w:color w:val="215E9E"/>
          <w:sz w:val="16"/>
          <w:u w:val="single" w:color="215E9E"/>
        </w:rPr>
        <w:t>settings</w:t>
      </w:r>
      <w:r>
        <w:rPr>
          <w:color w:val="215E9E"/>
          <w:sz w:val="16"/>
        </w:rPr>
        <w:t>’</w:t>
      </w:r>
      <w:r>
        <w:rPr>
          <w:sz w:val="16"/>
        </w:rPr>
        <w:t>.</w:t>
      </w:r>
      <w:r>
        <w:rPr>
          <w:spacing w:val="-12"/>
          <w:sz w:val="16"/>
        </w:rPr>
        <w:t xml:space="preserve"> </w:t>
      </w:r>
      <w:r>
        <w:rPr>
          <w:sz w:val="16"/>
        </w:rPr>
        <w:t>Australian</w:t>
      </w:r>
      <w:r>
        <w:rPr>
          <w:spacing w:val="-3"/>
          <w:sz w:val="16"/>
        </w:rPr>
        <w:t xml:space="preserve"> </w:t>
      </w:r>
      <w:r>
        <w:rPr>
          <w:sz w:val="16"/>
        </w:rPr>
        <w:t>Cross</w:t>
      </w:r>
      <w:r>
        <w:rPr>
          <w:spacing w:val="-5"/>
          <w:sz w:val="16"/>
        </w:rPr>
        <w:t xml:space="preserve"> </w:t>
      </w:r>
      <w:r>
        <w:rPr>
          <w:sz w:val="16"/>
        </w:rPr>
        <w:t>Disability</w:t>
      </w:r>
      <w:r>
        <w:rPr>
          <w:spacing w:val="-11"/>
          <w:sz w:val="16"/>
        </w:rPr>
        <w:t xml:space="preserve"> </w:t>
      </w:r>
      <w:r>
        <w:rPr>
          <w:sz w:val="16"/>
        </w:rPr>
        <w:t>Alliance</w:t>
      </w:r>
      <w:r>
        <w:rPr>
          <w:spacing w:val="-4"/>
          <w:sz w:val="16"/>
        </w:rPr>
        <w:t xml:space="preserve"> </w:t>
      </w:r>
      <w:r>
        <w:rPr>
          <w:sz w:val="16"/>
        </w:rPr>
        <w:t>(ACDA);</w:t>
      </w:r>
      <w:r>
        <w:rPr>
          <w:spacing w:val="-3"/>
          <w:sz w:val="16"/>
        </w:rPr>
        <w:t xml:space="preserve"> </w:t>
      </w:r>
      <w:r>
        <w:rPr>
          <w:sz w:val="16"/>
        </w:rPr>
        <w:t>Sydney,</w:t>
      </w:r>
      <w:r>
        <w:rPr>
          <w:spacing w:val="-12"/>
          <w:sz w:val="16"/>
        </w:rPr>
        <w:t xml:space="preserve"> </w:t>
      </w:r>
      <w:r>
        <w:rPr>
          <w:sz w:val="16"/>
        </w:rPr>
        <w:t>Australia.</w:t>
      </w:r>
    </w:p>
    <w:p w:rsidR="007A0A6C" w:rsidRDefault="00660E26">
      <w:pPr>
        <w:pStyle w:val="ListParagraph"/>
        <w:numPr>
          <w:ilvl w:val="0"/>
          <w:numId w:val="3"/>
        </w:numPr>
        <w:tabs>
          <w:tab w:val="left" w:pos="736"/>
        </w:tabs>
        <w:spacing w:before="99"/>
        <w:ind w:hanging="395"/>
        <w:rPr>
          <w:sz w:val="16"/>
        </w:rPr>
      </w:pPr>
      <w:r>
        <w:rPr>
          <w:sz w:val="16"/>
        </w:rPr>
        <w:t>Australian</w:t>
      </w:r>
      <w:r>
        <w:rPr>
          <w:spacing w:val="-2"/>
          <w:sz w:val="16"/>
        </w:rPr>
        <w:t xml:space="preserve"> </w:t>
      </w:r>
      <w:r>
        <w:rPr>
          <w:sz w:val="16"/>
        </w:rPr>
        <w:t>Institute</w:t>
      </w:r>
      <w:r>
        <w:rPr>
          <w:spacing w:val="-2"/>
          <w:sz w:val="16"/>
        </w:rPr>
        <w:t xml:space="preserve"> </w:t>
      </w:r>
      <w:r>
        <w:rPr>
          <w:sz w:val="16"/>
        </w:rPr>
        <w:t>of</w:t>
      </w:r>
      <w:r>
        <w:rPr>
          <w:spacing w:val="-2"/>
          <w:sz w:val="16"/>
        </w:rPr>
        <w:t xml:space="preserve"> </w:t>
      </w:r>
      <w:r>
        <w:rPr>
          <w:sz w:val="16"/>
        </w:rPr>
        <w:t>Health</w:t>
      </w:r>
      <w:r>
        <w:rPr>
          <w:spacing w:val="-3"/>
          <w:sz w:val="16"/>
        </w:rPr>
        <w:t xml:space="preserve"> </w:t>
      </w:r>
      <w:r>
        <w:rPr>
          <w:sz w:val="16"/>
        </w:rPr>
        <w:t>and</w:t>
      </w:r>
      <w:r>
        <w:rPr>
          <w:spacing w:val="-3"/>
          <w:sz w:val="16"/>
        </w:rPr>
        <w:t xml:space="preserve"> </w:t>
      </w:r>
      <w:r>
        <w:rPr>
          <w:sz w:val="16"/>
        </w:rPr>
        <w:t>Welfare</w:t>
      </w:r>
      <w:r>
        <w:rPr>
          <w:spacing w:val="-2"/>
          <w:sz w:val="16"/>
        </w:rPr>
        <w:t xml:space="preserve"> </w:t>
      </w:r>
      <w:r>
        <w:rPr>
          <w:sz w:val="16"/>
        </w:rPr>
        <w:t>2017.</w:t>
      </w:r>
      <w:r>
        <w:rPr>
          <w:color w:val="215E9E"/>
          <w:spacing w:val="-11"/>
          <w:sz w:val="16"/>
        </w:rPr>
        <w:t xml:space="preserve"> </w:t>
      </w:r>
      <w:r>
        <w:rPr>
          <w:color w:val="215E9E"/>
          <w:sz w:val="16"/>
          <w:u w:val="single" w:color="215E9E"/>
        </w:rPr>
        <w:t>Australia’s</w:t>
      </w:r>
      <w:r>
        <w:rPr>
          <w:color w:val="215E9E"/>
          <w:spacing w:val="-1"/>
          <w:sz w:val="16"/>
          <w:u w:val="single" w:color="215E9E"/>
        </w:rPr>
        <w:t xml:space="preserve"> </w:t>
      </w:r>
      <w:r>
        <w:rPr>
          <w:color w:val="215E9E"/>
          <w:sz w:val="16"/>
          <w:u w:val="single" w:color="215E9E"/>
        </w:rPr>
        <w:t>welfare</w:t>
      </w:r>
      <w:r>
        <w:rPr>
          <w:color w:val="215E9E"/>
          <w:spacing w:val="-3"/>
          <w:sz w:val="16"/>
          <w:u w:val="single" w:color="215E9E"/>
        </w:rPr>
        <w:t xml:space="preserve"> </w:t>
      </w:r>
      <w:r>
        <w:rPr>
          <w:color w:val="215E9E"/>
          <w:sz w:val="16"/>
          <w:u w:val="single" w:color="215E9E"/>
        </w:rPr>
        <w:t>2017</w:t>
      </w:r>
      <w:r>
        <w:rPr>
          <w:sz w:val="16"/>
        </w:rPr>
        <w:t>.</w:t>
      </w:r>
      <w:r>
        <w:rPr>
          <w:spacing w:val="-10"/>
          <w:sz w:val="16"/>
        </w:rPr>
        <w:t xml:space="preserve"> </w:t>
      </w:r>
      <w:r>
        <w:rPr>
          <w:sz w:val="16"/>
        </w:rPr>
        <w:t>Australia’s</w:t>
      </w:r>
      <w:r>
        <w:rPr>
          <w:spacing w:val="-2"/>
          <w:sz w:val="16"/>
        </w:rPr>
        <w:t xml:space="preserve"> </w:t>
      </w:r>
      <w:r>
        <w:rPr>
          <w:sz w:val="16"/>
        </w:rPr>
        <w:t>welfare</w:t>
      </w:r>
      <w:r>
        <w:rPr>
          <w:spacing w:val="-3"/>
          <w:sz w:val="16"/>
        </w:rPr>
        <w:t xml:space="preserve"> </w:t>
      </w:r>
      <w:r>
        <w:rPr>
          <w:sz w:val="16"/>
        </w:rPr>
        <w:t>series</w:t>
      </w:r>
      <w:r>
        <w:rPr>
          <w:spacing w:val="-1"/>
          <w:sz w:val="16"/>
        </w:rPr>
        <w:t xml:space="preserve"> </w:t>
      </w:r>
      <w:r>
        <w:rPr>
          <w:sz w:val="16"/>
        </w:rPr>
        <w:t>no.</w:t>
      </w:r>
      <w:r>
        <w:rPr>
          <w:spacing w:val="-3"/>
          <w:sz w:val="16"/>
        </w:rPr>
        <w:t xml:space="preserve"> </w:t>
      </w:r>
      <w:r>
        <w:rPr>
          <w:sz w:val="16"/>
        </w:rPr>
        <w:t>13.</w:t>
      </w:r>
      <w:r>
        <w:rPr>
          <w:spacing w:val="-10"/>
          <w:sz w:val="16"/>
        </w:rPr>
        <w:t xml:space="preserve"> </w:t>
      </w:r>
      <w:r>
        <w:rPr>
          <w:sz w:val="16"/>
        </w:rPr>
        <w:t>AUS</w:t>
      </w:r>
      <w:r>
        <w:rPr>
          <w:spacing w:val="-2"/>
          <w:sz w:val="16"/>
        </w:rPr>
        <w:t xml:space="preserve"> </w:t>
      </w:r>
      <w:r>
        <w:rPr>
          <w:sz w:val="16"/>
        </w:rPr>
        <w:t>214.</w:t>
      </w:r>
      <w:r>
        <w:rPr>
          <w:spacing w:val="-2"/>
          <w:sz w:val="16"/>
        </w:rPr>
        <w:t xml:space="preserve"> </w:t>
      </w:r>
      <w:r>
        <w:rPr>
          <w:sz w:val="16"/>
        </w:rPr>
        <w:t>Canberra:</w:t>
      </w:r>
      <w:r>
        <w:rPr>
          <w:spacing w:val="-11"/>
          <w:sz w:val="16"/>
        </w:rPr>
        <w:t xml:space="preserve"> </w:t>
      </w:r>
      <w:r>
        <w:rPr>
          <w:sz w:val="16"/>
        </w:rPr>
        <w:t>AIHW.</w:t>
      </w:r>
    </w:p>
    <w:p w:rsidR="007A0A6C" w:rsidRDefault="00660E26">
      <w:pPr>
        <w:pStyle w:val="ListParagraph"/>
        <w:numPr>
          <w:ilvl w:val="0"/>
          <w:numId w:val="3"/>
        </w:numPr>
        <w:tabs>
          <w:tab w:val="left" w:pos="745"/>
        </w:tabs>
        <w:ind w:left="744" w:hanging="404"/>
        <w:rPr>
          <w:sz w:val="16"/>
        </w:rPr>
      </w:pPr>
      <w:r>
        <w:rPr>
          <w:sz w:val="16"/>
        </w:rPr>
        <w:t>National CRPD Survey (2019)</w:t>
      </w:r>
      <w:r>
        <w:rPr>
          <w:spacing w:val="-3"/>
          <w:sz w:val="16"/>
        </w:rPr>
        <w:t xml:space="preserve"> </w:t>
      </w:r>
      <w:r>
        <w:rPr>
          <w:sz w:val="16"/>
        </w:rPr>
        <w:t>Findings.</w:t>
      </w:r>
    </w:p>
    <w:p w:rsidR="007A0A6C" w:rsidRDefault="00660E26">
      <w:pPr>
        <w:pStyle w:val="ListParagraph"/>
        <w:numPr>
          <w:ilvl w:val="0"/>
          <w:numId w:val="3"/>
        </w:numPr>
        <w:tabs>
          <w:tab w:val="left" w:pos="745"/>
        </w:tabs>
        <w:ind w:left="744" w:hanging="404"/>
        <w:rPr>
          <w:sz w:val="16"/>
        </w:rPr>
      </w:pPr>
      <w:r>
        <w:rPr>
          <w:sz w:val="16"/>
        </w:rPr>
        <w:t>National Disability Insurance Scheme (NDIS)</w:t>
      </w:r>
      <w:r>
        <w:rPr>
          <w:color w:val="215E9E"/>
          <w:sz w:val="16"/>
        </w:rPr>
        <w:t xml:space="preserve"> </w:t>
      </w:r>
      <w:r>
        <w:rPr>
          <w:color w:val="215E9E"/>
          <w:sz w:val="16"/>
          <w:u w:val="single" w:color="215E9E"/>
        </w:rPr>
        <w:t>Quality and Safeguards</w:t>
      </w:r>
      <w:r>
        <w:rPr>
          <w:color w:val="215E9E"/>
          <w:spacing w:val="-6"/>
          <w:sz w:val="16"/>
          <w:u w:val="single" w:color="215E9E"/>
        </w:rPr>
        <w:t xml:space="preserve"> </w:t>
      </w:r>
      <w:r>
        <w:rPr>
          <w:color w:val="215E9E"/>
          <w:sz w:val="16"/>
          <w:u w:val="single" w:color="215E9E"/>
        </w:rPr>
        <w:t>Commission</w:t>
      </w:r>
    </w:p>
    <w:p w:rsidR="007A0A6C" w:rsidRDefault="00660E26">
      <w:pPr>
        <w:pStyle w:val="ListParagraph"/>
        <w:numPr>
          <w:ilvl w:val="0"/>
          <w:numId w:val="3"/>
        </w:numPr>
        <w:tabs>
          <w:tab w:val="left" w:pos="745"/>
        </w:tabs>
        <w:ind w:left="744" w:hanging="404"/>
        <w:rPr>
          <w:sz w:val="16"/>
        </w:rPr>
      </w:pPr>
      <w:r>
        <w:rPr>
          <w:sz w:val="16"/>
        </w:rPr>
        <w:t>Including</w:t>
      </w:r>
      <w:r>
        <w:rPr>
          <w:spacing w:val="-2"/>
          <w:sz w:val="16"/>
        </w:rPr>
        <w:t xml:space="preserve"> </w:t>
      </w:r>
      <w:r>
        <w:rPr>
          <w:sz w:val="16"/>
        </w:rPr>
        <w:t>for</w:t>
      </w:r>
      <w:r>
        <w:rPr>
          <w:spacing w:val="-2"/>
          <w:sz w:val="16"/>
        </w:rPr>
        <w:t xml:space="preserve"> </w:t>
      </w:r>
      <w:r>
        <w:rPr>
          <w:sz w:val="16"/>
        </w:rPr>
        <w:t>example:</w:t>
      </w:r>
      <w:r>
        <w:rPr>
          <w:spacing w:val="-3"/>
          <w:sz w:val="16"/>
        </w:rPr>
        <w:t xml:space="preserve"> </w:t>
      </w:r>
      <w:r>
        <w:rPr>
          <w:sz w:val="16"/>
        </w:rPr>
        <w:t>e.g.</w:t>
      </w:r>
      <w:r>
        <w:rPr>
          <w:spacing w:val="-3"/>
          <w:sz w:val="16"/>
        </w:rPr>
        <w:t xml:space="preserve"> </w:t>
      </w:r>
      <w:r>
        <w:rPr>
          <w:sz w:val="16"/>
        </w:rPr>
        <w:t>allegations</w:t>
      </w:r>
      <w:r>
        <w:rPr>
          <w:spacing w:val="-3"/>
          <w:sz w:val="16"/>
        </w:rPr>
        <w:t xml:space="preserve"> </w:t>
      </w:r>
      <w:r>
        <w:rPr>
          <w:sz w:val="16"/>
        </w:rPr>
        <w:t>of</w:t>
      </w:r>
      <w:r>
        <w:rPr>
          <w:spacing w:val="-2"/>
          <w:sz w:val="16"/>
        </w:rPr>
        <w:t xml:space="preserve"> </w:t>
      </w:r>
      <w:r>
        <w:rPr>
          <w:sz w:val="16"/>
        </w:rPr>
        <w:t>abuse</w:t>
      </w:r>
      <w:r>
        <w:rPr>
          <w:spacing w:val="-3"/>
          <w:sz w:val="16"/>
        </w:rPr>
        <w:t xml:space="preserve"> </w:t>
      </w:r>
      <w:r>
        <w:rPr>
          <w:sz w:val="16"/>
        </w:rPr>
        <w:t>and</w:t>
      </w:r>
      <w:r>
        <w:rPr>
          <w:spacing w:val="-3"/>
          <w:sz w:val="16"/>
        </w:rPr>
        <w:t xml:space="preserve"> </w:t>
      </w:r>
      <w:r>
        <w:rPr>
          <w:sz w:val="16"/>
        </w:rPr>
        <w:t>neglect,</w:t>
      </w:r>
      <w:r>
        <w:rPr>
          <w:spacing w:val="-3"/>
          <w:sz w:val="16"/>
        </w:rPr>
        <w:t xml:space="preserve"> </w:t>
      </w:r>
      <w:r>
        <w:rPr>
          <w:sz w:val="16"/>
        </w:rPr>
        <w:t>unauthorised</w:t>
      </w:r>
      <w:r>
        <w:rPr>
          <w:spacing w:val="-3"/>
          <w:sz w:val="16"/>
        </w:rPr>
        <w:t xml:space="preserve"> </w:t>
      </w:r>
      <w:r>
        <w:rPr>
          <w:sz w:val="16"/>
        </w:rPr>
        <w:t>use</w:t>
      </w:r>
      <w:r>
        <w:rPr>
          <w:spacing w:val="-2"/>
          <w:sz w:val="16"/>
        </w:rPr>
        <w:t xml:space="preserve"> </w:t>
      </w:r>
      <w:r>
        <w:rPr>
          <w:sz w:val="16"/>
        </w:rPr>
        <w:t>of</w:t>
      </w:r>
      <w:r>
        <w:rPr>
          <w:spacing w:val="-3"/>
          <w:sz w:val="16"/>
        </w:rPr>
        <w:t xml:space="preserve"> </w:t>
      </w:r>
      <w:r>
        <w:rPr>
          <w:sz w:val="16"/>
        </w:rPr>
        <w:t>a</w:t>
      </w:r>
      <w:r>
        <w:rPr>
          <w:spacing w:val="-3"/>
          <w:sz w:val="16"/>
        </w:rPr>
        <w:t xml:space="preserve"> </w:t>
      </w:r>
      <w:r>
        <w:rPr>
          <w:sz w:val="16"/>
        </w:rPr>
        <w:t>restrictive</w:t>
      </w:r>
      <w:r>
        <w:rPr>
          <w:spacing w:val="-2"/>
          <w:sz w:val="16"/>
        </w:rPr>
        <w:t xml:space="preserve"> </w:t>
      </w:r>
      <w:r>
        <w:rPr>
          <w:sz w:val="16"/>
        </w:rPr>
        <w:t>practice,</w:t>
      </w:r>
      <w:r>
        <w:rPr>
          <w:spacing w:val="-3"/>
          <w:sz w:val="16"/>
        </w:rPr>
        <w:t xml:space="preserve"> </w:t>
      </w:r>
      <w:r>
        <w:rPr>
          <w:sz w:val="16"/>
        </w:rPr>
        <w:t>serious</w:t>
      </w:r>
      <w:r>
        <w:rPr>
          <w:spacing w:val="-2"/>
          <w:sz w:val="16"/>
        </w:rPr>
        <w:t xml:space="preserve"> </w:t>
      </w:r>
      <w:r>
        <w:rPr>
          <w:spacing w:val="-3"/>
          <w:sz w:val="16"/>
        </w:rPr>
        <w:t>injury,</w:t>
      </w:r>
      <w:r>
        <w:rPr>
          <w:spacing w:val="-1"/>
          <w:sz w:val="16"/>
        </w:rPr>
        <w:t xml:space="preserve"> </w:t>
      </w:r>
      <w:r>
        <w:rPr>
          <w:sz w:val="16"/>
        </w:rPr>
        <w:t>and</w:t>
      </w:r>
      <w:r>
        <w:rPr>
          <w:spacing w:val="-3"/>
          <w:sz w:val="16"/>
        </w:rPr>
        <w:t xml:space="preserve"> </w:t>
      </w:r>
      <w:r>
        <w:rPr>
          <w:sz w:val="16"/>
        </w:rPr>
        <w:t>sexual</w:t>
      </w:r>
      <w:r>
        <w:rPr>
          <w:spacing w:val="-2"/>
          <w:sz w:val="16"/>
        </w:rPr>
        <w:t xml:space="preserve"> </w:t>
      </w:r>
      <w:r>
        <w:rPr>
          <w:sz w:val="16"/>
        </w:rPr>
        <w:t>misconduct.</w:t>
      </w:r>
    </w:p>
    <w:p w:rsidR="007A0A6C" w:rsidRDefault="00660E26">
      <w:pPr>
        <w:pStyle w:val="ListParagraph"/>
        <w:numPr>
          <w:ilvl w:val="0"/>
          <w:numId w:val="3"/>
        </w:numPr>
        <w:tabs>
          <w:tab w:val="left" w:pos="745"/>
        </w:tabs>
        <w:ind w:left="744" w:hanging="404"/>
        <w:rPr>
          <w:sz w:val="16"/>
        </w:rPr>
      </w:pPr>
      <w:r>
        <w:rPr>
          <w:sz w:val="16"/>
        </w:rPr>
        <w:t>Joint Standing Committee on the National Disability Insurance Scheme (March 2019)</w:t>
      </w:r>
      <w:r>
        <w:rPr>
          <w:color w:val="215E9E"/>
          <w:sz w:val="16"/>
        </w:rPr>
        <w:t xml:space="preserve"> </w:t>
      </w:r>
      <w:r>
        <w:rPr>
          <w:color w:val="215E9E"/>
          <w:sz w:val="16"/>
          <w:u w:val="single" w:color="215E9E"/>
        </w:rPr>
        <w:t>Progress</w:t>
      </w:r>
      <w:r>
        <w:rPr>
          <w:color w:val="215E9E"/>
          <w:spacing w:val="-9"/>
          <w:sz w:val="16"/>
          <w:u w:val="single" w:color="215E9E"/>
        </w:rPr>
        <w:t xml:space="preserve"> </w:t>
      </w:r>
      <w:r>
        <w:rPr>
          <w:color w:val="215E9E"/>
          <w:sz w:val="16"/>
          <w:u w:val="single" w:color="215E9E"/>
        </w:rPr>
        <w:t>Report</w:t>
      </w:r>
      <w:r>
        <w:rPr>
          <w:sz w:val="16"/>
        </w:rPr>
        <w:t>.</w:t>
      </w:r>
    </w:p>
    <w:p w:rsidR="007A0A6C" w:rsidRDefault="00660E26">
      <w:pPr>
        <w:pStyle w:val="ListParagraph"/>
        <w:numPr>
          <w:ilvl w:val="0"/>
          <w:numId w:val="3"/>
        </w:numPr>
        <w:tabs>
          <w:tab w:val="left" w:pos="745"/>
        </w:tabs>
        <w:spacing w:line="261" w:lineRule="auto"/>
        <w:ind w:left="340" w:right="892" w:firstLine="0"/>
        <w:rPr>
          <w:sz w:val="16"/>
        </w:rPr>
      </w:pPr>
      <w:r>
        <w:rPr>
          <w:sz w:val="16"/>
        </w:rPr>
        <w:t>People With Disability Australia, Submission No 50 to Senate Standing Committee on Community Affairs, The Involuntary or Coerced Sterilisation of People with Disabilities in Australia, March 2013; Women With Disabilities Australia, Submission No 49 to Senate Standing Committee</w:t>
      </w:r>
      <w:r>
        <w:rPr>
          <w:spacing w:val="-4"/>
          <w:sz w:val="16"/>
        </w:rPr>
        <w:t xml:space="preserve"> </w:t>
      </w:r>
      <w:r>
        <w:rPr>
          <w:sz w:val="16"/>
        </w:rPr>
        <w:t>on</w:t>
      </w:r>
      <w:r>
        <w:rPr>
          <w:spacing w:val="-4"/>
          <w:sz w:val="16"/>
        </w:rPr>
        <w:t xml:space="preserve"> </w:t>
      </w:r>
      <w:r>
        <w:rPr>
          <w:sz w:val="16"/>
        </w:rPr>
        <w:t>Community</w:t>
      </w:r>
      <w:r>
        <w:rPr>
          <w:spacing w:val="-11"/>
          <w:sz w:val="16"/>
        </w:rPr>
        <w:t xml:space="preserve"> </w:t>
      </w:r>
      <w:r>
        <w:rPr>
          <w:sz w:val="16"/>
        </w:rPr>
        <w:t>Affairs,</w:t>
      </w:r>
      <w:r>
        <w:rPr>
          <w:spacing w:val="-5"/>
          <w:sz w:val="16"/>
        </w:rPr>
        <w:t xml:space="preserve"> </w:t>
      </w:r>
      <w:r>
        <w:rPr>
          <w:sz w:val="16"/>
        </w:rPr>
        <w:t>The</w:t>
      </w:r>
      <w:r>
        <w:rPr>
          <w:spacing w:val="-3"/>
          <w:sz w:val="16"/>
        </w:rPr>
        <w:t xml:space="preserve"> </w:t>
      </w:r>
      <w:r>
        <w:rPr>
          <w:sz w:val="16"/>
        </w:rPr>
        <w:t>Involuntary</w:t>
      </w:r>
      <w:r>
        <w:rPr>
          <w:spacing w:val="-3"/>
          <w:sz w:val="16"/>
        </w:rPr>
        <w:t xml:space="preserve"> </w:t>
      </w:r>
      <w:r>
        <w:rPr>
          <w:sz w:val="16"/>
        </w:rPr>
        <w:t>or</w:t>
      </w:r>
      <w:r>
        <w:rPr>
          <w:spacing w:val="-3"/>
          <w:sz w:val="16"/>
        </w:rPr>
        <w:t xml:space="preserve"> </w:t>
      </w:r>
      <w:r>
        <w:rPr>
          <w:sz w:val="16"/>
        </w:rPr>
        <w:t>Coerced</w:t>
      </w:r>
      <w:r>
        <w:rPr>
          <w:spacing w:val="-4"/>
          <w:sz w:val="16"/>
        </w:rPr>
        <w:t xml:space="preserve"> </w:t>
      </w:r>
      <w:r>
        <w:rPr>
          <w:sz w:val="16"/>
        </w:rPr>
        <w:t>Sterilisation</w:t>
      </w:r>
      <w:r>
        <w:rPr>
          <w:spacing w:val="-2"/>
          <w:sz w:val="16"/>
        </w:rPr>
        <w:t xml:space="preserve"> </w:t>
      </w:r>
      <w:r>
        <w:rPr>
          <w:sz w:val="16"/>
        </w:rPr>
        <w:t>of</w:t>
      </w:r>
      <w:r>
        <w:rPr>
          <w:spacing w:val="-4"/>
          <w:sz w:val="16"/>
        </w:rPr>
        <w:t xml:space="preserve"> </w:t>
      </w:r>
      <w:r>
        <w:rPr>
          <w:sz w:val="16"/>
        </w:rPr>
        <w:t>People</w:t>
      </w:r>
      <w:r>
        <w:rPr>
          <w:spacing w:val="-3"/>
          <w:sz w:val="16"/>
        </w:rPr>
        <w:t xml:space="preserve"> </w:t>
      </w:r>
      <w:r>
        <w:rPr>
          <w:sz w:val="16"/>
        </w:rPr>
        <w:t>with</w:t>
      </w:r>
      <w:r>
        <w:rPr>
          <w:spacing w:val="-3"/>
          <w:sz w:val="16"/>
        </w:rPr>
        <w:t xml:space="preserve"> </w:t>
      </w:r>
      <w:r>
        <w:rPr>
          <w:sz w:val="16"/>
        </w:rPr>
        <w:t>Disabilities</w:t>
      </w:r>
      <w:r>
        <w:rPr>
          <w:spacing w:val="-4"/>
          <w:sz w:val="16"/>
        </w:rPr>
        <w:t xml:space="preserve"> </w:t>
      </w:r>
      <w:r>
        <w:rPr>
          <w:sz w:val="16"/>
        </w:rPr>
        <w:t>in</w:t>
      </w:r>
      <w:r>
        <w:rPr>
          <w:spacing w:val="-11"/>
          <w:sz w:val="16"/>
        </w:rPr>
        <w:t xml:space="preserve"> </w:t>
      </w:r>
      <w:r>
        <w:rPr>
          <w:sz w:val="16"/>
        </w:rPr>
        <w:t>Australia,</w:t>
      </w:r>
      <w:r>
        <w:rPr>
          <w:spacing w:val="-3"/>
          <w:sz w:val="16"/>
        </w:rPr>
        <w:t xml:space="preserve"> </w:t>
      </w:r>
      <w:r>
        <w:rPr>
          <w:sz w:val="16"/>
        </w:rPr>
        <w:t>March</w:t>
      </w:r>
      <w:r>
        <w:rPr>
          <w:spacing w:val="-2"/>
          <w:sz w:val="16"/>
        </w:rPr>
        <w:t xml:space="preserve"> </w:t>
      </w:r>
      <w:r>
        <w:rPr>
          <w:sz w:val="16"/>
        </w:rPr>
        <w:t>2013.</w:t>
      </w:r>
      <w:r>
        <w:rPr>
          <w:spacing w:val="-4"/>
          <w:sz w:val="16"/>
        </w:rPr>
        <w:t xml:space="preserve"> </w:t>
      </w:r>
      <w:r>
        <w:rPr>
          <w:sz w:val="16"/>
        </w:rPr>
        <w:t>Submissions available at:</w:t>
      </w:r>
      <w:r>
        <w:rPr>
          <w:color w:val="215E9E"/>
          <w:spacing w:val="-34"/>
          <w:sz w:val="16"/>
        </w:rPr>
        <w:t xml:space="preserve"> </w:t>
      </w:r>
      <w:hyperlink r:id="rId52">
        <w:r>
          <w:rPr>
            <w:color w:val="215E9E"/>
            <w:sz w:val="16"/>
            <w:u w:val="single" w:color="215E9E"/>
          </w:rPr>
          <w:t>https://www</w:t>
        </w:r>
      </w:hyperlink>
      <w:r>
        <w:rPr>
          <w:color w:val="215E9E"/>
          <w:sz w:val="16"/>
          <w:u w:val="single" w:color="215E9E"/>
        </w:rPr>
        <w:t>.aph.gov</w:t>
      </w:r>
      <w:hyperlink r:id="rId53">
        <w:r>
          <w:rPr>
            <w:color w:val="215E9E"/>
            <w:sz w:val="16"/>
            <w:u w:val="single" w:color="215E9E"/>
          </w:rPr>
          <w:t>.au/Parliamentary_Business/Committees/Senate/Community_Affairs/Involuntary_Sterilisation/Submissions</w:t>
        </w:r>
      </w:hyperlink>
    </w:p>
    <w:p w:rsidR="007A0A6C" w:rsidRDefault="00660E26">
      <w:pPr>
        <w:pStyle w:val="ListParagraph"/>
        <w:numPr>
          <w:ilvl w:val="0"/>
          <w:numId w:val="3"/>
        </w:numPr>
        <w:tabs>
          <w:tab w:val="left" w:pos="745"/>
        </w:tabs>
        <w:spacing w:before="98" w:line="261" w:lineRule="auto"/>
        <w:ind w:left="340" w:right="410" w:firstLine="0"/>
        <w:rPr>
          <w:sz w:val="16"/>
        </w:rPr>
      </w:pPr>
      <w:r>
        <w:rPr>
          <w:sz w:val="16"/>
        </w:rPr>
        <w:t>See: CRC/C/15/Add.268; CRC/C/AUS/CO/4; A/HRC/17/10; CEDAW/C/AUL/CO/7; CAT/C/AUS/CO/4-5; A/HRC/WG.6/10/L.8; CRPD/C/ AUS/CO/1; A/HRC/31/14; A/HRC/22/53; CCPR/C/AUS/Q/6; FIGO (International Federation of Gynecology and Obstetrics),</w:t>
      </w:r>
      <w:r>
        <w:rPr>
          <w:color w:val="215E9E"/>
          <w:sz w:val="16"/>
        </w:rPr>
        <w:t xml:space="preserve"> </w:t>
      </w:r>
      <w:r>
        <w:rPr>
          <w:color w:val="215E9E"/>
          <w:sz w:val="16"/>
          <w:u w:val="single" w:color="215E9E"/>
        </w:rPr>
        <w:t>Female Contraceptive Sterilization</w:t>
      </w:r>
      <w:r>
        <w:rPr>
          <w:sz w:val="16"/>
        </w:rPr>
        <w:t xml:space="preserve">. See also: World Medical Association (WMA) in conjunction with the International Federation of Health and Human Rights Organizations (IFHHRO) </w:t>
      </w:r>
      <w:r>
        <w:rPr>
          <w:spacing w:val="-3"/>
          <w:sz w:val="16"/>
        </w:rPr>
        <w:t>(2011)</w:t>
      </w:r>
      <w:r>
        <w:rPr>
          <w:color w:val="215E9E"/>
          <w:spacing w:val="-3"/>
          <w:sz w:val="16"/>
        </w:rPr>
        <w:t xml:space="preserve"> </w:t>
      </w:r>
      <w:r>
        <w:rPr>
          <w:color w:val="215E9E"/>
          <w:sz w:val="16"/>
          <w:u w:val="single" w:color="215E9E"/>
        </w:rPr>
        <w:t>Global Bodies call for end to Forced Sterilization: Press Release</w:t>
      </w:r>
      <w:r>
        <w:rPr>
          <w:sz w:val="16"/>
        </w:rPr>
        <w:t xml:space="preserve">, 5 September </w:t>
      </w:r>
      <w:r>
        <w:rPr>
          <w:spacing w:val="-4"/>
          <w:sz w:val="16"/>
        </w:rPr>
        <w:t>2011.</w:t>
      </w:r>
    </w:p>
    <w:p w:rsidR="007A0A6C" w:rsidRDefault="00660E26">
      <w:pPr>
        <w:pStyle w:val="ListParagraph"/>
        <w:numPr>
          <w:ilvl w:val="0"/>
          <w:numId w:val="3"/>
        </w:numPr>
        <w:tabs>
          <w:tab w:val="left" w:pos="745"/>
        </w:tabs>
        <w:spacing w:before="98" w:line="261" w:lineRule="auto"/>
        <w:ind w:left="340" w:right="579" w:firstLine="0"/>
        <w:rPr>
          <w:sz w:val="16"/>
        </w:rPr>
      </w:pPr>
      <w:r>
        <w:rPr>
          <w:sz w:val="16"/>
        </w:rPr>
        <w:t>See for eg: Committee on the Elimination of Discrimination against Women (1991) General recommendation No. 18: Disabled women. UN Doc. No.</w:t>
      </w:r>
      <w:r>
        <w:rPr>
          <w:spacing w:val="-11"/>
          <w:sz w:val="16"/>
        </w:rPr>
        <w:t xml:space="preserve"> </w:t>
      </w:r>
      <w:r>
        <w:rPr>
          <w:sz w:val="16"/>
        </w:rPr>
        <w:t>A/46/38.</w:t>
      </w:r>
    </w:p>
    <w:p w:rsidR="007A0A6C" w:rsidRDefault="00660E26">
      <w:pPr>
        <w:pStyle w:val="ListParagraph"/>
        <w:numPr>
          <w:ilvl w:val="0"/>
          <w:numId w:val="3"/>
        </w:numPr>
        <w:tabs>
          <w:tab w:val="left" w:pos="736"/>
        </w:tabs>
        <w:spacing w:before="99" w:line="261" w:lineRule="auto"/>
        <w:ind w:left="340" w:right="427" w:firstLine="0"/>
        <w:rPr>
          <w:sz w:val="16"/>
        </w:rPr>
      </w:pPr>
      <w:r>
        <w:rPr>
          <w:sz w:val="16"/>
        </w:rPr>
        <w:t>Australian Government (May 2015),</w:t>
      </w:r>
      <w:r>
        <w:rPr>
          <w:color w:val="215E9E"/>
          <w:sz w:val="16"/>
        </w:rPr>
        <w:t xml:space="preserve"> </w:t>
      </w:r>
      <w:r>
        <w:rPr>
          <w:color w:val="215E9E"/>
          <w:sz w:val="16"/>
          <w:u w:val="single" w:color="215E9E"/>
        </w:rPr>
        <w:t>Australian Government response</w:t>
      </w:r>
      <w:r>
        <w:rPr>
          <w:color w:val="215E9E"/>
          <w:sz w:val="16"/>
        </w:rPr>
        <w:t xml:space="preserve"> </w:t>
      </w:r>
      <w:r>
        <w:rPr>
          <w:sz w:val="16"/>
        </w:rPr>
        <w:t>to the Senate Standing Committee on Community Affairs Reports:</w:t>
      </w:r>
      <w:r>
        <w:rPr>
          <w:color w:val="215E9E"/>
          <w:sz w:val="16"/>
          <w:u w:val="single" w:color="215E9E"/>
        </w:rPr>
        <w:t xml:space="preserve"> The involuntary or coerced sterilisation of people with disabilities in Australia</w:t>
      </w:r>
      <w:r>
        <w:rPr>
          <w:color w:val="215E9E"/>
          <w:sz w:val="16"/>
        </w:rPr>
        <w:t xml:space="preserve"> </w:t>
      </w:r>
      <w:r>
        <w:rPr>
          <w:sz w:val="16"/>
        </w:rPr>
        <w:t>(17 July 2013) and the</w:t>
      </w:r>
      <w:r>
        <w:rPr>
          <w:color w:val="215E9E"/>
          <w:sz w:val="16"/>
        </w:rPr>
        <w:t xml:space="preserve"> </w:t>
      </w:r>
      <w:r>
        <w:rPr>
          <w:color w:val="215E9E"/>
          <w:sz w:val="16"/>
          <w:u w:val="single" w:color="215E9E"/>
        </w:rPr>
        <w:t>Involuntary or coerced sterilisation of intersex people in Australia</w:t>
      </w:r>
      <w:r>
        <w:rPr>
          <w:color w:val="215E9E"/>
          <w:sz w:val="16"/>
        </w:rPr>
        <w:t xml:space="preserve"> </w:t>
      </w:r>
      <w:r>
        <w:rPr>
          <w:sz w:val="16"/>
        </w:rPr>
        <w:t>(25 October</w:t>
      </w:r>
      <w:r>
        <w:rPr>
          <w:spacing w:val="-10"/>
          <w:sz w:val="16"/>
        </w:rPr>
        <w:t xml:space="preserve"> </w:t>
      </w:r>
      <w:r>
        <w:rPr>
          <w:sz w:val="16"/>
        </w:rPr>
        <w:t>2013).</w:t>
      </w:r>
    </w:p>
    <w:p w:rsidR="007A0A6C" w:rsidRDefault="00660E26">
      <w:pPr>
        <w:pStyle w:val="ListParagraph"/>
        <w:numPr>
          <w:ilvl w:val="0"/>
          <w:numId w:val="3"/>
        </w:numPr>
        <w:tabs>
          <w:tab w:val="left" w:pos="736"/>
        </w:tabs>
        <w:spacing w:before="98" w:line="261" w:lineRule="auto"/>
        <w:ind w:left="340" w:right="558" w:firstLine="0"/>
        <w:rPr>
          <w:sz w:val="16"/>
        </w:rPr>
      </w:pPr>
      <w:r>
        <w:rPr>
          <w:sz w:val="16"/>
        </w:rPr>
        <w:t>Australian</w:t>
      </w:r>
      <w:r>
        <w:rPr>
          <w:spacing w:val="-3"/>
          <w:sz w:val="16"/>
        </w:rPr>
        <w:t xml:space="preserve"> </w:t>
      </w:r>
      <w:r>
        <w:rPr>
          <w:sz w:val="16"/>
        </w:rPr>
        <w:t>Governments</w:t>
      </w:r>
      <w:r>
        <w:rPr>
          <w:spacing w:val="-3"/>
          <w:sz w:val="16"/>
        </w:rPr>
        <w:t xml:space="preserve"> </w:t>
      </w:r>
      <w:r>
        <w:rPr>
          <w:sz w:val="16"/>
        </w:rPr>
        <w:t>remain</w:t>
      </w:r>
      <w:r>
        <w:rPr>
          <w:spacing w:val="-2"/>
          <w:sz w:val="16"/>
        </w:rPr>
        <w:t xml:space="preserve"> </w:t>
      </w:r>
      <w:r>
        <w:rPr>
          <w:sz w:val="16"/>
        </w:rPr>
        <w:t>of</w:t>
      </w:r>
      <w:r>
        <w:rPr>
          <w:spacing w:val="-4"/>
          <w:sz w:val="16"/>
        </w:rPr>
        <w:t xml:space="preserve"> </w:t>
      </w:r>
      <w:r>
        <w:rPr>
          <w:sz w:val="16"/>
        </w:rPr>
        <w:t>the</w:t>
      </w:r>
      <w:r>
        <w:rPr>
          <w:spacing w:val="-2"/>
          <w:sz w:val="16"/>
        </w:rPr>
        <w:t xml:space="preserve"> </w:t>
      </w:r>
      <w:r>
        <w:rPr>
          <w:sz w:val="16"/>
        </w:rPr>
        <w:t>view</w:t>
      </w:r>
      <w:r>
        <w:rPr>
          <w:spacing w:val="-3"/>
          <w:sz w:val="16"/>
        </w:rPr>
        <w:t xml:space="preserve"> </w:t>
      </w:r>
      <w:r>
        <w:rPr>
          <w:sz w:val="16"/>
        </w:rPr>
        <w:t>that</w:t>
      </w:r>
      <w:r>
        <w:rPr>
          <w:spacing w:val="-3"/>
          <w:sz w:val="16"/>
        </w:rPr>
        <w:t xml:space="preserve"> </w:t>
      </w:r>
      <w:r>
        <w:rPr>
          <w:sz w:val="16"/>
        </w:rPr>
        <w:t>it</w:t>
      </w:r>
      <w:r>
        <w:rPr>
          <w:spacing w:val="-3"/>
          <w:sz w:val="16"/>
        </w:rPr>
        <w:t xml:space="preserve"> </w:t>
      </w:r>
      <w:r>
        <w:rPr>
          <w:sz w:val="16"/>
        </w:rPr>
        <w:t>is</w:t>
      </w:r>
      <w:r>
        <w:rPr>
          <w:spacing w:val="-4"/>
          <w:sz w:val="16"/>
        </w:rPr>
        <w:t xml:space="preserve"> </w:t>
      </w:r>
      <w:r>
        <w:rPr>
          <w:sz w:val="16"/>
        </w:rPr>
        <w:t>an</w:t>
      </w:r>
      <w:r>
        <w:rPr>
          <w:spacing w:val="-3"/>
          <w:sz w:val="16"/>
        </w:rPr>
        <w:t xml:space="preserve"> </w:t>
      </w:r>
      <w:r>
        <w:rPr>
          <w:sz w:val="16"/>
        </w:rPr>
        <w:t>acceptable</w:t>
      </w:r>
      <w:r>
        <w:rPr>
          <w:spacing w:val="-4"/>
          <w:sz w:val="16"/>
        </w:rPr>
        <w:t xml:space="preserve"> </w:t>
      </w:r>
      <w:r>
        <w:rPr>
          <w:sz w:val="16"/>
        </w:rPr>
        <w:t>practice</w:t>
      </w:r>
      <w:r>
        <w:rPr>
          <w:spacing w:val="-3"/>
          <w:sz w:val="16"/>
        </w:rPr>
        <w:t xml:space="preserve"> </w:t>
      </w:r>
      <w:r>
        <w:rPr>
          <w:sz w:val="16"/>
        </w:rPr>
        <w:t>to</w:t>
      </w:r>
      <w:r>
        <w:rPr>
          <w:spacing w:val="-3"/>
          <w:sz w:val="16"/>
        </w:rPr>
        <w:t xml:space="preserve"> </w:t>
      </w:r>
      <w:r>
        <w:rPr>
          <w:sz w:val="16"/>
        </w:rPr>
        <w:t>sterilise</w:t>
      </w:r>
      <w:r>
        <w:rPr>
          <w:spacing w:val="-3"/>
          <w:sz w:val="16"/>
        </w:rPr>
        <w:t xml:space="preserve"> </w:t>
      </w:r>
      <w:r>
        <w:rPr>
          <w:sz w:val="16"/>
        </w:rPr>
        <w:t>children</w:t>
      </w:r>
      <w:r>
        <w:rPr>
          <w:spacing w:val="-2"/>
          <w:sz w:val="16"/>
        </w:rPr>
        <w:t xml:space="preserve"> </w:t>
      </w:r>
      <w:r>
        <w:rPr>
          <w:sz w:val="16"/>
        </w:rPr>
        <w:t>and</w:t>
      </w:r>
      <w:r>
        <w:rPr>
          <w:spacing w:val="-4"/>
          <w:sz w:val="16"/>
        </w:rPr>
        <w:t xml:space="preserve"> </w:t>
      </w:r>
      <w:r>
        <w:rPr>
          <w:sz w:val="16"/>
        </w:rPr>
        <w:t>adults</w:t>
      </w:r>
      <w:r>
        <w:rPr>
          <w:spacing w:val="-3"/>
          <w:sz w:val="16"/>
        </w:rPr>
        <w:t xml:space="preserve"> </w:t>
      </w:r>
      <w:r>
        <w:rPr>
          <w:sz w:val="16"/>
        </w:rPr>
        <w:t>with</w:t>
      </w:r>
      <w:r>
        <w:rPr>
          <w:spacing w:val="-4"/>
          <w:sz w:val="16"/>
        </w:rPr>
        <w:t xml:space="preserve"> </w:t>
      </w:r>
      <w:r>
        <w:rPr>
          <w:sz w:val="16"/>
        </w:rPr>
        <w:t>disability,</w:t>
      </w:r>
      <w:r>
        <w:rPr>
          <w:spacing w:val="-3"/>
          <w:sz w:val="16"/>
        </w:rPr>
        <w:t xml:space="preserve"> </w:t>
      </w:r>
      <w:r>
        <w:rPr>
          <w:sz w:val="16"/>
        </w:rPr>
        <w:t>provided</w:t>
      </w:r>
      <w:r>
        <w:rPr>
          <w:spacing w:val="-3"/>
          <w:sz w:val="16"/>
        </w:rPr>
        <w:t xml:space="preserve"> </w:t>
      </w:r>
      <w:r>
        <w:rPr>
          <w:sz w:val="16"/>
        </w:rPr>
        <w:t>that</w:t>
      </w:r>
      <w:r>
        <w:rPr>
          <w:spacing w:val="-3"/>
          <w:sz w:val="16"/>
        </w:rPr>
        <w:t xml:space="preserve"> </w:t>
      </w:r>
      <w:r>
        <w:rPr>
          <w:sz w:val="16"/>
        </w:rPr>
        <w:t xml:space="preserve">they ‘lack capacity’ and that the procedure is in their ‘best interest’, as determined by a third </w:t>
      </w:r>
      <w:r>
        <w:rPr>
          <w:spacing w:val="-3"/>
          <w:sz w:val="16"/>
        </w:rPr>
        <w:t xml:space="preserve">party. </w:t>
      </w:r>
      <w:r>
        <w:rPr>
          <w:sz w:val="16"/>
        </w:rPr>
        <w:t>See: Senate Standing Committee on Community Affairs, (17 July 2013)</w:t>
      </w:r>
      <w:r>
        <w:rPr>
          <w:color w:val="215E9E"/>
          <w:sz w:val="16"/>
        </w:rPr>
        <w:t xml:space="preserve"> </w:t>
      </w:r>
      <w:r>
        <w:rPr>
          <w:color w:val="215E9E"/>
          <w:sz w:val="16"/>
          <w:u w:val="single" w:color="215E9E"/>
        </w:rPr>
        <w:t>The involuntary or coerced sterilisation of people with disabilities in</w:t>
      </w:r>
      <w:r>
        <w:rPr>
          <w:color w:val="215E9E"/>
          <w:spacing w:val="-26"/>
          <w:sz w:val="16"/>
          <w:u w:val="single" w:color="215E9E"/>
        </w:rPr>
        <w:t xml:space="preserve"> </w:t>
      </w:r>
      <w:r>
        <w:rPr>
          <w:color w:val="215E9E"/>
          <w:sz w:val="16"/>
          <w:u w:val="single" w:color="215E9E"/>
        </w:rPr>
        <w:t>Australia</w:t>
      </w:r>
    </w:p>
    <w:p w:rsidR="007A0A6C" w:rsidRDefault="00660E26">
      <w:pPr>
        <w:pStyle w:val="ListParagraph"/>
        <w:numPr>
          <w:ilvl w:val="0"/>
          <w:numId w:val="3"/>
        </w:numPr>
        <w:tabs>
          <w:tab w:val="left" w:pos="745"/>
        </w:tabs>
        <w:spacing w:before="98" w:line="261" w:lineRule="auto"/>
        <w:ind w:left="340" w:right="341" w:firstLine="0"/>
        <w:rPr>
          <w:sz w:val="16"/>
        </w:rPr>
      </w:pPr>
      <w:r>
        <w:rPr>
          <w:sz w:val="16"/>
        </w:rPr>
        <w:t>Forced contraception is commonly used on women and girls with disability to suppress menstruation or sexual expression for various purposes, including eugenics-based practices of population control, menstrual management and personal care, and pregnancy prevention, including pregnancy that results from sexual abuse. It is a practice widely used in group homes and other forms of institutional settings, and is often justified as a way of reducing the ‘burden’ on staff/carers who have to ‘deal with’ managing menstruation of disabled women and girls. In the case of persons with intellectual disability, the decision about type of contraception is almost exclusively made by someone else, such as a doctor and/or guardian, parent, or</w:t>
      </w:r>
      <w:r>
        <w:rPr>
          <w:spacing w:val="-4"/>
          <w:sz w:val="16"/>
        </w:rPr>
        <w:t xml:space="preserve"> </w:t>
      </w:r>
      <w:r>
        <w:rPr>
          <w:sz w:val="16"/>
        </w:rPr>
        <w:t>carer.</w:t>
      </w:r>
    </w:p>
    <w:p w:rsidR="007A0A6C" w:rsidRDefault="00660E26">
      <w:pPr>
        <w:pStyle w:val="ListParagraph"/>
        <w:numPr>
          <w:ilvl w:val="0"/>
          <w:numId w:val="3"/>
        </w:numPr>
        <w:tabs>
          <w:tab w:val="left" w:pos="745"/>
        </w:tabs>
        <w:spacing w:before="97" w:line="261" w:lineRule="auto"/>
        <w:ind w:left="340" w:right="792" w:firstLine="0"/>
        <w:jc w:val="both"/>
        <w:rPr>
          <w:sz w:val="16"/>
        </w:rPr>
      </w:pPr>
      <w:r>
        <w:rPr>
          <w:sz w:val="16"/>
        </w:rPr>
        <w:t>Joint statement by the Committee on the Rights of Persons with Disabilities (CRPD) and the Committee on the Elimination of All Forms of Discrimination against Women (CEDAW):</w:t>
      </w:r>
      <w:r>
        <w:rPr>
          <w:color w:val="215E9E"/>
          <w:sz w:val="16"/>
        </w:rPr>
        <w:t xml:space="preserve"> </w:t>
      </w:r>
      <w:r>
        <w:rPr>
          <w:color w:val="215E9E"/>
          <w:sz w:val="16"/>
          <w:u w:val="single" w:color="215E9E"/>
        </w:rPr>
        <w:t>Guaranteeing sexual and reproductive health and rights for all women, in particular women with disabilities.</w:t>
      </w:r>
      <w:r>
        <w:rPr>
          <w:color w:val="215E9E"/>
          <w:sz w:val="16"/>
        </w:rPr>
        <w:t xml:space="preserve"> </w:t>
      </w:r>
      <w:r>
        <w:rPr>
          <w:sz w:val="16"/>
        </w:rPr>
        <w:t>29 August</w:t>
      </w:r>
      <w:r>
        <w:rPr>
          <w:spacing w:val="-10"/>
          <w:sz w:val="16"/>
        </w:rPr>
        <w:t xml:space="preserve"> </w:t>
      </w:r>
      <w:r>
        <w:rPr>
          <w:sz w:val="16"/>
        </w:rPr>
        <w:t>2018.</w:t>
      </w:r>
    </w:p>
    <w:p w:rsidR="007A0A6C" w:rsidRDefault="00660E26">
      <w:pPr>
        <w:pStyle w:val="ListParagraph"/>
        <w:numPr>
          <w:ilvl w:val="0"/>
          <w:numId w:val="3"/>
        </w:numPr>
        <w:tabs>
          <w:tab w:val="left" w:pos="745"/>
        </w:tabs>
        <w:spacing w:before="98" w:line="261" w:lineRule="auto"/>
        <w:ind w:left="340" w:right="479" w:firstLine="0"/>
        <w:rPr>
          <w:sz w:val="16"/>
        </w:rPr>
      </w:pPr>
      <w:r>
        <w:rPr>
          <w:sz w:val="16"/>
        </w:rPr>
        <w:t>See: The Darlington Statement [para 7]</w:t>
      </w:r>
      <w:r>
        <w:rPr>
          <w:color w:val="215E9E"/>
          <w:sz w:val="16"/>
        </w:rPr>
        <w:t xml:space="preserve"> </w:t>
      </w:r>
      <w:r>
        <w:rPr>
          <w:color w:val="215E9E"/>
          <w:sz w:val="16"/>
          <w:u w:val="single" w:color="215E9E"/>
        </w:rPr>
        <w:t>Darlington Statement</w:t>
      </w:r>
      <w:r>
        <w:rPr>
          <w:sz w:val="16"/>
        </w:rPr>
        <w:t>: Joint consensus statement from the intersex community retreat in Darlington, March</w:t>
      </w:r>
      <w:r>
        <w:rPr>
          <w:spacing w:val="-1"/>
          <w:sz w:val="16"/>
        </w:rPr>
        <w:t xml:space="preserve"> </w:t>
      </w:r>
      <w:r>
        <w:rPr>
          <w:sz w:val="16"/>
        </w:rPr>
        <w:t>2017.</w:t>
      </w:r>
    </w:p>
    <w:p w:rsidR="007A0A6C" w:rsidRDefault="00660E26">
      <w:pPr>
        <w:pStyle w:val="ListParagraph"/>
        <w:numPr>
          <w:ilvl w:val="0"/>
          <w:numId w:val="3"/>
        </w:numPr>
        <w:tabs>
          <w:tab w:val="left" w:pos="745"/>
        </w:tabs>
        <w:spacing w:before="99" w:line="261" w:lineRule="auto"/>
        <w:ind w:left="340" w:right="447" w:firstLine="0"/>
        <w:rPr>
          <w:sz w:val="16"/>
        </w:rPr>
      </w:pPr>
      <w:r>
        <w:rPr>
          <w:sz w:val="16"/>
        </w:rPr>
        <w:t>Committee on the Rights of Persons with Disabilities (2016), General Comment No. 3: Women and Girls with Disabilities, UN Doc. CRPD/C/ GC/6, para</w:t>
      </w:r>
      <w:r>
        <w:rPr>
          <w:spacing w:val="-2"/>
          <w:sz w:val="16"/>
        </w:rPr>
        <w:t xml:space="preserve"> </w:t>
      </w:r>
      <w:r>
        <w:rPr>
          <w:sz w:val="16"/>
        </w:rPr>
        <w:t>32.</w:t>
      </w:r>
    </w:p>
    <w:p w:rsidR="007A0A6C" w:rsidRDefault="00660E26">
      <w:pPr>
        <w:pStyle w:val="ListParagraph"/>
        <w:numPr>
          <w:ilvl w:val="0"/>
          <w:numId w:val="3"/>
        </w:numPr>
        <w:tabs>
          <w:tab w:val="left" w:pos="745"/>
        </w:tabs>
        <w:spacing w:before="99"/>
        <w:ind w:left="744" w:hanging="404"/>
        <w:rPr>
          <w:sz w:val="16"/>
        </w:rPr>
      </w:pPr>
      <w:r>
        <w:rPr>
          <w:sz w:val="16"/>
        </w:rPr>
        <w:t>Senate</w:t>
      </w:r>
      <w:r>
        <w:rPr>
          <w:spacing w:val="-2"/>
          <w:sz w:val="16"/>
        </w:rPr>
        <w:t xml:space="preserve"> </w:t>
      </w:r>
      <w:r>
        <w:rPr>
          <w:sz w:val="16"/>
        </w:rPr>
        <w:t>Standing</w:t>
      </w:r>
      <w:r>
        <w:rPr>
          <w:spacing w:val="-1"/>
          <w:sz w:val="16"/>
        </w:rPr>
        <w:t xml:space="preserve"> </w:t>
      </w:r>
      <w:r>
        <w:rPr>
          <w:sz w:val="16"/>
        </w:rPr>
        <w:t>Committee</w:t>
      </w:r>
      <w:r>
        <w:rPr>
          <w:spacing w:val="-2"/>
          <w:sz w:val="16"/>
        </w:rPr>
        <w:t xml:space="preserve"> </w:t>
      </w:r>
      <w:r>
        <w:rPr>
          <w:sz w:val="16"/>
        </w:rPr>
        <w:t>on</w:t>
      </w:r>
      <w:r>
        <w:rPr>
          <w:spacing w:val="-2"/>
          <w:sz w:val="16"/>
        </w:rPr>
        <w:t xml:space="preserve"> </w:t>
      </w:r>
      <w:r>
        <w:rPr>
          <w:sz w:val="16"/>
        </w:rPr>
        <w:t>Community</w:t>
      </w:r>
      <w:r>
        <w:rPr>
          <w:spacing w:val="-10"/>
          <w:sz w:val="16"/>
        </w:rPr>
        <w:t xml:space="preserve"> </w:t>
      </w:r>
      <w:r>
        <w:rPr>
          <w:sz w:val="16"/>
        </w:rPr>
        <w:t>Affairs</w:t>
      </w:r>
      <w:r>
        <w:rPr>
          <w:spacing w:val="-1"/>
          <w:sz w:val="16"/>
        </w:rPr>
        <w:t xml:space="preserve"> </w:t>
      </w:r>
      <w:r>
        <w:rPr>
          <w:sz w:val="16"/>
        </w:rPr>
        <w:t>(25</w:t>
      </w:r>
      <w:r>
        <w:rPr>
          <w:spacing w:val="-1"/>
          <w:sz w:val="16"/>
        </w:rPr>
        <w:t xml:space="preserve"> </w:t>
      </w:r>
      <w:r>
        <w:rPr>
          <w:sz w:val="16"/>
        </w:rPr>
        <w:t>October</w:t>
      </w:r>
      <w:r>
        <w:rPr>
          <w:spacing w:val="-1"/>
          <w:sz w:val="16"/>
        </w:rPr>
        <w:t xml:space="preserve"> </w:t>
      </w:r>
      <w:r>
        <w:rPr>
          <w:sz w:val="16"/>
        </w:rPr>
        <w:t>2013)</w:t>
      </w:r>
      <w:r>
        <w:rPr>
          <w:color w:val="215E9E"/>
          <w:spacing w:val="-1"/>
          <w:sz w:val="16"/>
        </w:rPr>
        <w:t xml:space="preserve"> </w:t>
      </w:r>
      <w:r>
        <w:rPr>
          <w:color w:val="215E9E"/>
          <w:sz w:val="16"/>
          <w:u w:val="single" w:color="215E9E"/>
        </w:rPr>
        <w:t>Involuntary</w:t>
      </w:r>
      <w:r>
        <w:rPr>
          <w:color w:val="215E9E"/>
          <w:spacing w:val="-1"/>
          <w:sz w:val="16"/>
          <w:u w:val="single" w:color="215E9E"/>
        </w:rPr>
        <w:t xml:space="preserve"> </w:t>
      </w:r>
      <w:r>
        <w:rPr>
          <w:color w:val="215E9E"/>
          <w:sz w:val="16"/>
          <w:u w:val="single" w:color="215E9E"/>
        </w:rPr>
        <w:t>or</w:t>
      </w:r>
      <w:r>
        <w:rPr>
          <w:color w:val="215E9E"/>
          <w:spacing w:val="-2"/>
          <w:sz w:val="16"/>
          <w:u w:val="single" w:color="215E9E"/>
        </w:rPr>
        <w:t xml:space="preserve"> </w:t>
      </w:r>
      <w:r>
        <w:rPr>
          <w:color w:val="215E9E"/>
          <w:sz w:val="16"/>
          <w:u w:val="single" w:color="215E9E"/>
        </w:rPr>
        <w:t>coerced</w:t>
      </w:r>
      <w:r>
        <w:rPr>
          <w:color w:val="215E9E"/>
          <w:spacing w:val="-1"/>
          <w:sz w:val="16"/>
          <w:u w:val="single" w:color="215E9E"/>
        </w:rPr>
        <w:t xml:space="preserve"> </w:t>
      </w:r>
      <w:r>
        <w:rPr>
          <w:color w:val="215E9E"/>
          <w:sz w:val="16"/>
          <w:u w:val="single" w:color="215E9E"/>
        </w:rPr>
        <w:t>sterilisation</w:t>
      </w:r>
      <w:r>
        <w:rPr>
          <w:color w:val="215E9E"/>
          <w:spacing w:val="-1"/>
          <w:sz w:val="16"/>
          <w:u w:val="single" w:color="215E9E"/>
        </w:rPr>
        <w:t xml:space="preserve"> </w:t>
      </w:r>
      <w:r>
        <w:rPr>
          <w:color w:val="215E9E"/>
          <w:sz w:val="16"/>
          <w:u w:val="single" w:color="215E9E"/>
        </w:rPr>
        <w:t>of</w:t>
      </w:r>
      <w:r>
        <w:rPr>
          <w:color w:val="215E9E"/>
          <w:spacing w:val="-2"/>
          <w:sz w:val="16"/>
          <w:u w:val="single" w:color="215E9E"/>
        </w:rPr>
        <w:t xml:space="preserve"> </w:t>
      </w:r>
      <w:r>
        <w:rPr>
          <w:color w:val="215E9E"/>
          <w:sz w:val="16"/>
          <w:u w:val="single" w:color="215E9E"/>
        </w:rPr>
        <w:t>intersex</w:t>
      </w:r>
      <w:r>
        <w:rPr>
          <w:color w:val="215E9E"/>
          <w:spacing w:val="-2"/>
          <w:sz w:val="16"/>
          <w:u w:val="single" w:color="215E9E"/>
        </w:rPr>
        <w:t xml:space="preserve"> </w:t>
      </w:r>
      <w:r>
        <w:rPr>
          <w:color w:val="215E9E"/>
          <w:sz w:val="16"/>
          <w:u w:val="single" w:color="215E9E"/>
        </w:rPr>
        <w:t>people</w:t>
      </w:r>
      <w:r>
        <w:rPr>
          <w:color w:val="215E9E"/>
          <w:spacing w:val="-2"/>
          <w:sz w:val="16"/>
          <w:u w:val="single" w:color="215E9E"/>
        </w:rPr>
        <w:t xml:space="preserve"> </w:t>
      </w:r>
      <w:r>
        <w:rPr>
          <w:color w:val="215E9E"/>
          <w:sz w:val="16"/>
          <w:u w:val="single" w:color="215E9E"/>
        </w:rPr>
        <w:t>in</w:t>
      </w:r>
      <w:r>
        <w:rPr>
          <w:color w:val="215E9E"/>
          <w:spacing w:val="-10"/>
          <w:sz w:val="16"/>
          <w:u w:val="single" w:color="215E9E"/>
        </w:rPr>
        <w:t xml:space="preserve"> </w:t>
      </w:r>
      <w:r>
        <w:rPr>
          <w:color w:val="215E9E"/>
          <w:sz w:val="16"/>
          <w:u w:val="single" w:color="215E9E"/>
        </w:rPr>
        <w:t>Australia</w:t>
      </w:r>
    </w:p>
    <w:p w:rsidR="007A0A6C" w:rsidRDefault="00660E26">
      <w:pPr>
        <w:pStyle w:val="ListParagraph"/>
        <w:numPr>
          <w:ilvl w:val="0"/>
          <w:numId w:val="3"/>
        </w:numPr>
        <w:tabs>
          <w:tab w:val="left" w:pos="745"/>
        </w:tabs>
        <w:spacing w:line="261" w:lineRule="auto"/>
        <w:ind w:left="340" w:right="515" w:firstLine="0"/>
        <w:rPr>
          <w:sz w:val="16"/>
        </w:rPr>
      </w:pPr>
      <w:r>
        <w:rPr>
          <w:sz w:val="16"/>
        </w:rPr>
        <w:t>Committee</w:t>
      </w:r>
      <w:r>
        <w:rPr>
          <w:spacing w:val="-4"/>
          <w:sz w:val="16"/>
        </w:rPr>
        <w:t xml:space="preserve"> </w:t>
      </w:r>
      <w:r>
        <w:rPr>
          <w:sz w:val="16"/>
        </w:rPr>
        <w:t>on</w:t>
      </w:r>
      <w:r>
        <w:rPr>
          <w:spacing w:val="-4"/>
          <w:sz w:val="16"/>
        </w:rPr>
        <w:t xml:space="preserve"> </w:t>
      </w:r>
      <w:r>
        <w:rPr>
          <w:sz w:val="16"/>
        </w:rPr>
        <w:t>the</w:t>
      </w:r>
      <w:r>
        <w:rPr>
          <w:spacing w:val="-3"/>
          <w:sz w:val="16"/>
        </w:rPr>
        <w:t xml:space="preserve"> </w:t>
      </w:r>
      <w:r>
        <w:rPr>
          <w:sz w:val="16"/>
        </w:rPr>
        <w:t>Elimination</w:t>
      </w:r>
      <w:r>
        <w:rPr>
          <w:spacing w:val="-3"/>
          <w:sz w:val="16"/>
        </w:rPr>
        <w:t xml:space="preserve"> </w:t>
      </w:r>
      <w:r>
        <w:rPr>
          <w:sz w:val="16"/>
        </w:rPr>
        <w:t>of</w:t>
      </w:r>
      <w:r>
        <w:rPr>
          <w:spacing w:val="-3"/>
          <w:sz w:val="16"/>
        </w:rPr>
        <w:t xml:space="preserve"> </w:t>
      </w:r>
      <w:r>
        <w:rPr>
          <w:sz w:val="16"/>
        </w:rPr>
        <w:t>Discrimination</w:t>
      </w:r>
      <w:r>
        <w:rPr>
          <w:spacing w:val="-4"/>
          <w:sz w:val="16"/>
        </w:rPr>
        <w:t xml:space="preserve"> </w:t>
      </w:r>
      <w:r>
        <w:rPr>
          <w:sz w:val="16"/>
        </w:rPr>
        <w:t>against</w:t>
      </w:r>
      <w:r>
        <w:rPr>
          <w:spacing w:val="-4"/>
          <w:sz w:val="16"/>
        </w:rPr>
        <w:t xml:space="preserve"> </w:t>
      </w:r>
      <w:r>
        <w:rPr>
          <w:sz w:val="16"/>
        </w:rPr>
        <w:t>Women</w:t>
      </w:r>
      <w:r>
        <w:rPr>
          <w:spacing w:val="-4"/>
          <w:sz w:val="16"/>
        </w:rPr>
        <w:t xml:space="preserve"> </w:t>
      </w:r>
      <w:r>
        <w:rPr>
          <w:sz w:val="16"/>
        </w:rPr>
        <w:t>(2018)</w:t>
      </w:r>
      <w:r>
        <w:rPr>
          <w:spacing w:val="-3"/>
          <w:sz w:val="16"/>
        </w:rPr>
        <w:t xml:space="preserve"> </w:t>
      </w:r>
      <w:r>
        <w:rPr>
          <w:sz w:val="16"/>
        </w:rPr>
        <w:t>Concluding</w:t>
      </w:r>
      <w:r>
        <w:rPr>
          <w:spacing w:val="-3"/>
          <w:sz w:val="16"/>
        </w:rPr>
        <w:t xml:space="preserve"> </w:t>
      </w:r>
      <w:r>
        <w:rPr>
          <w:sz w:val="16"/>
        </w:rPr>
        <w:t>Observations</w:t>
      </w:r>
      <w:r>
        <w:rPr>
          <w:spacing w:val="-3"/>
          <w:sz w:val="16"/>
        </w:rPr>
        <w:t xml:space="preserve"> </w:t>
      </w:r>
      <w:r>
        <w:rPr>
          <w:sz w:val="16"/>
        </w:rPr>
        <w:t>on</w:t>
      </w:r>
      <w:r>
        <w:rPr>
          <w:spacing w:val="-4"/>
          <w:sz w:val="16"/>
        </w:rPr>
        <w:t xml:space="preserve"> </w:t>
      </w:r>
      <w:r>
        <w:rPr>
          <w:sz w:val="16"/>
        </w:rPr>
        <w:t>the</w:t>
      </w:r>
      <w:r>
        <w:rPr>
          <w:spacing w:val="-3"/>
          <w:sz w:val="16"/>
        </w:rPr>
        <w:t xml:space="preserve"> </w:t>
      </w:r>
      <w:r>
        <w:rPr>
          <w:sz w:val="16"/>
        </w:rPr>
        <w:t>Eighth</w:t>
      </w:r>
      <w:r>
        <w:rPr>
          <w:spacing w:val="-3"/>
          <w:sz w:val="16"/>
        </w:rPr>
        <w:t xml:space="preserve"> </w:t>
      </w:r>
      <w:r>
        <w:rPr>
          <w:sz w:val="16"/>
        </w:rPr>
        <w:t>Periodic</w:t>
      </w:r>
      <w:r>
        <w:rPr>
          <w:spacing w:val="-2"/>
          <w:sz w:val="16"/>
        </w:rPr>
        <w:t xml:space="preserve"> </w:t>
      </w:r>
      <w:r>
        <w:rPr>
          <w:sz w:val="16"/>
        </w:rPr>
        <w:t>Report</w:t>
      </w:r>
      <w:r>
        <w:rPr>
          <w:spacing w:val="-4"/>
          <w:sz w:val="16"/>
        </w:rPr>
        <w:t xml:space="preserve"> </w:t>
      </w:r>
      <w:r>
        <w:rPr>
          <w:sz w:val="16"/>
        </w:rPr>
        <w:t>of</w:t>
      </w:r>
      <w:r>
        <w:rPr>
          <w:spacing w:val="-11"/>
          <w:sz w:val="16"/>
        </w:rPr>
        <w:t xml:space="preserve"> </w:t>
      </w:r>
      <w:r>
        <w:rPr>
          <w:sz w:val="16"/>
        </w:rPr>
        <w:t>Australia, UN Doc, CEDAW/C/AUS/CO/8, para</w:t>
      </w:r>
      <w:r>
        <w:rPr>
          <w:spacing w:val="-4"/>
          <w:sz w:val="16"/>
        </w:rPr>
        <w:t xml:space="preserve"> </w:t>
      </w:r>
      <w:r>
        <w:rPr>
          <w:sz w:val="16"/>
        </w:rPr>
        <w:t>26.</w:t>
      </w:r>
    </w:p>
    <w:p w:rsidR="007A0A6C" w:rsidRDefault="00660E26">
      <w:pPr>
        <w:pStyle w:val="ListParagraph"/>
        <w:numPr>
          <w:ilvl w:val="0"/>
          <w:numId w:val="3"/>
        </w:numPr>
        <w:tabs>
          <w:tab w:val="left" w:pos="745"/>
        </w:tabs>
        <w:spacing w:before="99" w:line="261" w:lineRule="auto"/>
        <w:ind w:left="340" w:right="485" w:firstLine="0"/>
        <w:rPr>
          <w:sz w:val="16"/>
        </w:rPr>
      </w:pPr>
      <w:r>
        <w:rPr>
          <w:sz w:val="16"/>
        </w:rPr>
        <w:t>UN General Assembly (24 April 2017)</w:t>
      </w:r>
      <w:r>
        <w:rPr>
          <w:color w:val="215E9E"/>
          <w:sz w:val="16"/>
        </w:rPr>
        <w:t xml:space="preserve"> </w:t>
      </w:r>
      <w:r>
        <w:rPr>
          <w:color w:val="215E9E"/>
          <w:sz w:val="16"/>
          <w:u w:val="single" w:color="215E9E"/>
        </w:rPr>
        <w:t>Report of the Special Rapporteur on the human rights of migrants on his mission to Australia and the regional processing centres in Nauru</w:t>
      </w:r>
      <w:r>
        <w:rPr>
          <w:sz w:val="16"/>
        </w:rPr>
        <w:t>. UN Doc. No.</w:t>
      </w:r>
      <w:r>
        <w:rPr>
          <w:spacing w:val="-15"/>
          <w:sz w:val="16"/>
        </w:rPr>
        <w:t xml:space="preserve"> </w:t>
      </w:r>
      <w:r>
        <w:rPr>
          <w:sz w:val="16"/>
        </w:rPr>
        <w:t>A/HRC/35/25/Add.3.</w:t>
      </w:r>
    </w:p>
    <w:p w:rsidR="007A0A6C" w:rsidRDefault="00660E26">
      <w:pPr>
        <w:pStyle w:val="ListParagraph"/>
        <w:numPr>
          <w:ilvl w:val="0"/>
          <w:numId w:val="3"/>
        </w:numPr>
        <w:tabs>
          <w:tab w:val="left" w:pos="742"/>
        </w:tabs>
        <w:spacing w:before="99" w:line="261" w:lineRule="auto"/>
        <w:ind w:left="340" w:right="313" w:firstLine="0"/>
        <w:rPr>
          <w:sz w:val="16"/>
        </w:rPr>
      </w:pPr>
      <w:r>
        <w:rPr>
          <w:sz w:val="16"/>
        </w:rPr>
        <w:t>This devalues the important economic and social contributions that migrants and refugees with disability and their families might make to Australia</w:t>
      </w:r>
      <w:r>
        <w:rPr>
          <w:spacing w:val="-3"/>
          <w:sz w:val="16"/>
        </w:rPr>
        <w:t xml:space="preserve"> </w:t>
      </w:r>
      <w:r>
        <w:rPr>
          <w:sz w:val="16"/>
        </w:rPr>
        <w:t>See:</w:t>
      </w:r>
      <w:r>
        <w:rPr>
          <w:spacing w:val="-2"/>
          <w:sz w:val="16"/>
        </w:rPr>
        <w:t xml:space="preserve"> </w:t>
      </w:r>
      <w:r>
        <w:rPr>
          <w:sz w:val="16"/>
        </w:rPr>
        <w:t>National</w:t>
      </w:r>
      <w:r>
        <w:rPr>
          <w:spacing w:val="-3"/>
          <w:sz w:val="16"/>
        </w:rPr>
        <w:t xml:space="preserve"> </w:t>
      </w:r>
      <w:r>
        <w:rPr>
          <w:sz w:val="16"/>
        </w:rPr>
        <w:t>Ethnic</w:t>
      </w:r>
      <w:r>
        <w:rPr>
          <w:spacing w:val="-2"/>
          <w:sz w:val="16"/>
        </w:rPr>
        <w:t xml:space="preserve"> </w:t>
      </w:r>
      <w:r>
        <w:rPr>
          <w:sz w:val="16"/>
        </w:rPr>
        <w:t>Disability</w:t>
      </w:r>
      <w:r>
        <w:rPr>
          <w:spacing w:val="-11"/>
          <w:sz w:val="16"/>
        </w:rPr>
        <w:t xml:space="preserve"> </w:t>
      </w:r>
      <w:r>
        <w:rPr>
          <w:sz w:val="16"/>
        </w:rPr>
        <w:t>Alliance</w:t>
      </w:r>
      <w:r>
        <w:rPr>
          <w:spacing w:val="-2"/>
          <w:sz w:val="16"/>
        </w:rPr>
        <w:t xml:space="preserve"> </w:t>
      </w:r>
      <w:r>
        <w:rPr>
          <w:sz w:val="16"/>
        </w:rPr>
        <w:t>(NEDA)</w:t>
      </w:r>
      <w:r>
        <w:rPr>
          <w:spacing w:val="-2"/>
          <w:sz w:val="16"/>
        </w:rPr>
        <w:t xml:space="preserve"> </w:t>
      </w:r>
      <w:r>
        <w:rPr>
          <w:sz w:val="16"/>
        </w:rPr>
        <w:t>(2009)</w:t>
      </w:r>
      <w:r>
        <w:rPr>
          <w:color w:val="215E9E"/>
          <w:spacing w:val="-2"/>
          <w:sz w:val="16"/>
        </w:rPr>
        <w:t xml:space="preserve"> </w:t>
      </w:r>
      <w:r>
        <w:rPr>
          <w:color w:val="215E9E"/>
          <w:sz w:val="16"/>
          <w:u w:val="single" w:color="215E9E"/>
        </w:rPr>
        <w:t>No</w:t>
      </w:r>
      <w:r>
        <w:rPr>
          <w:color w:val="215E9E"/>
          <w:spacing w:val="-3"/>
          <w:sz w:val="16"/>
          <w:u w:val="single" w:color="215E9E"/>
        </w:rPr>
        <w:t xml:space="preserve"> </w:t>
      </w:r>
      <w:r>
        <w:rPr>
          <w:color w:val="215E9E"/>
          <w:sz w:val="16"/>
          <w:u w:val="single" w:color="215E9E"/>
        </w:rPr>
        <w:t>Right</w:t>
      </w:r>
      <w:r>
        <w:rPr>
          <w:color w:val="215E9E"/>
          <w:spacing w:val="-3"/>
          <w:sz w:val="16"/>
          <w:u w:val="single" w:color="215E9E"/>
        </w:rPr>
        <w:t xml:space="preserve"> </w:t>
      </w:r>
      <w:r>
        <w:rPr>
          <w:color w:val="215E9E"/>
          <w:sz w:val="16"/>
          <w:u w:val="single" w:color="215E9E"/>
        </w:rPr>
        <w:t>to</w:t>
      </w:r>
      <w:r>
        <w:rPr>
          <w:color w:val="215E9E"/>
          <w:spacing w:val="-2"/>
          <w:sz w:val="16"/>
          <w:u w:val="single" w:color="215E9E"/>
        </w:rPr>
        <w:t xml:space="preserve"> </w:t>
      </w:r>
      <w:r>
        <w:rPr>
          <w:color w:val="215E9E"/>
          <w:sz w:val="16"/>
          <w:u w:val="single" w:color="215E9E"/>
        </w:rPr>
        <w:t>Discriminate:</w:t>
      </w:r>
      <w:r>
        <w:rPr>
          <w:color w:val="215E9E"/>
          <w:spacing w:val="-3"/>
          <w:sz w:val="16"/>
          <w:u w:val="single" w:color="215E9E"/>
        </w:rPr>
        <w:t xml:space="preserve"> </w:t>
      </w:r>
      <w:r>
        <w:rPr>
          <w:color w:val="215E9E"/>
          <w:sz w:val="16"/>
          <w:u w:val="single" w:color="215E9E"/>
        </w:rPr>
        <w:t>Submission</w:t>
      </w:r>
      <w:r>
        <w:rPr>
          <w:color w:val="215E9E"/>
          <w:spacing w:val="-2"/>
          <w:sz w:val="16"/>
          <w:u w:val="single" w:color="215E9E"/>
        </w:rPr>
        <w:t xml:space="preserve"> </w:t>
      </w:r>
      <w:r>
        <w:rPr>
          <w:color w:val="215E9E"/>
          <w:sz w:val="16"/>
          <w:u w:val="single" w:color="215E9E"/>
        </w:rPr>
        <w:t>to</w:t>
      </w:r>
      <w:r>
        <w:rPr>
          <w:color w:val="215E9E"/>
          <w:spacing w:val="-2"/>
          <w:sz w:val="16"/>
          <w:u w:val="single" w:color="215E9E"/>
        </w:rPr>
        <w:t xml:space="preserve"> </w:t>
      </w:r>
      <w:r>
        <w:rPr>
          <w:color w:val="215E9E"/>
          <w:sz w:val="16"/>
          <w:u w:val="single" w:color="215E9E"/>
        </w:rPr>
        <w:t>the</w:t>
      </w:r>
      <w:r>
        <w:rPr>
          <w:color w:val="215E9E"/>
          <w:spacing w:val="-3"/>
          <w:sz w:val="16"/>
          <w:u w:val="single" w:color="215E9E"/>
        </w:rPr>
        <w:t xml:space="preserve"> </w:t>
      </w:r>
      <w:r>
        <w:rPr>
          <w:color w:val="215E9E"/>
          <w:sz w:val="16"/>
          <w:u w:val="single" w:color="215E9E"/>
        </w:rPr>
        <w:t>Joint</w:t>
      </w:r>
      <w:r>
        <w:rPr>
          <w:color w:val="215E9E"/>
          <w:spacing w:val="-2"/>
          <w:sz w:val="16"/>
          <w:u w:val="single" w:color="215E9E"/>
        </w:rPr>
        <w:t xml:space="preserve"> </w:t>
      </w:r>
      <w:r>
        <w:rPr>
          <w:color w:val="215E9E"/>
          <w:sz w:val="16"/>
          <w:u w:val="single" w:color="215E9E"/>
        </w:rPr>
        <w:t>Standing</w:t>
      </w:r>
      <w:r>
        <w:rPr>
          <w:color w:val="215E9E"/>
          <w:spacing w:val="-2"/>
          <w:sz w:val="16"/>
          <w:u w:val="single" w:color="215E9E"/>
        </w:rPr>
        <w:t xml:space="preserve"> </w:t>
      </w:r>
      <w:r>
        <w:rPr>
          <w:color w:val="215E9E"/>
          <w:sz w:val="16"/>
          <w:u w:val="single" w:color="215E9E"/>
        </w:rPr>
        <w:t>Committee</w:t>
      </w:r>
      <w:r>
        <w:rPr>
          <w:color w:val="215E9E"/>
          <w:spacing w:val="-3"/>
          <w:sz w:val="16"/>
          <w:u w:val="single" w:color="215E9E"/>
        </w:rPr>
        <w:t xml:space="preserve"> </w:t>
      </w:r>
      <w:r>
        <w:rPr>
          <w:color w:val="215E9E"/>
          <w:sz w:val="16"/>
          <w:u w:val="single" w:color="215E9E"/>
        </w:rPr>
        <w:t>on</w:t>
      </w:r>
      <w:r>
        <w:rPr>
          <w:color w:val="215E9E"/>
          <w:spacing w:val="-3"/>
          <w:sz w:val="16"/>
          <w:u w:val="single" w:color="215E9E"/>
        </w:rPr>
        <w:t xml:space="preserve"> </w:t>
      </w:r>
      <w:r>
        <w:rPr>
          <w:color w:val="215E9E"/>
          <w:sz w:val="16"/>
          <w:u w:val="single" w:color="215E9E"/>
        </w:rPr>
        <w:t>Migration Inquiry into Immigration Treatment of</w:t>
      </w:r>
      <w:r>
        <w:rPr>
          <w:color w:val="215E9E"/>
          <w:spacing w:val="-6"/>
          <w:sz w:val="16"/>
          <w:u w:val="single" w:color="215E9E"/>
        </w:rPr>
        <w:t xml:space="preserve"> </w:t>
      </w:r>
      <w:r>
        <w:rPr>
          <w:color w:val="215E9E"/>
          <w:sz w:val="16"/>
          <w:u w:val="single" w:color="215E9E"/>
        </w:rPr>
        <w:t>Disability</w:t>
      </w:r>
      <w:r>
        <w:rPr>
          <w:sz w:val="16"/>
        </w:rPr>
        <w:t>.</w:t>
      </w:r>
    </w:p>
    <w:p w:rsidR="007A0A6C" w:rsidRDefault="00660E26">
      <w:pPr>
        <w:pStyle w:val="ListParagraph"/>
        <w:numPr>
          <w:ilvl w:val="0"/>
          <w:numId w:val="3"/>
        </w:numPr>
        <w:tabs>
          <w:tab w:val="left" w:pos="745"/>
        </w:tabs>
        <w:spacing w:before="98" w:line="261" w:lineRule="auto"/>
        <w:ind w:left="340" w:right="485" w:firstLine="0"/>
        <w:rPr>
          <w:sz w:val="16"/>
        </w:rPr>
      </w:pPr>
      <w:r>
        <w:rPr>
          <w:sz w:val="16"/>
        </w:rPr>
        <w:t>UN General Assembly (24 April 2017)</w:t>
      </w:r>
      <w:r>
        <w:rPr>
          <w:color w:val="215E9E"/>
          <w:sz w:val="16"/>
        </w:rPr>
        <w:t xml:space="preserve"> </w:t>
      </w:r>
      <w:r>
        <w:rPr>
          <w:color w:val="215E9E"/>
          <w:sz w:val="16"/>
          <w:u w:val="single" w:color="215E9E"/>
        </w:rPr>
        <w:t>Report of the Special Rapporteur on the human rights of migrants on his mission to Australia and the regional processing centres in Nauru</w:t>
      </w:r>
      <w:r>
        <w:rPr>
          <w:sz w:val="16"/>
        </w:rPr>
        <w:t>. UN Doc. No.</w:t>
      </w:r>
      <w:r>
        <w:rPr>
          <w:spacing w:val="-15"/>
          <w:sz w:val="16"/>
        </w:rPr>
        <w:t xml:space="preserve"> </w:t>
      </w:r>
      <w:r>
        <w:rPr>
          <w:sz w:val="16"/>
        </w:rPr>
        <w:t>A/HRC/35/25/Add.3.</w:t>
      </w:r>
    </w:p>
    <w:p w:rsidR="007A0A6C" w:rsidRDefault="00660E26">
      <w:pPr>
        <w:pStyle w:val="ListParagraph"/>
        <w:numPr>
          <w:ilvl w:val="0"/>
          <w:numId w:val="3"/>
        </w:numPr>
        <w:tabs>
          <w:tab w:val="left" w:pos="745"/>
        </w:tabs>
        <w:spacing w:before="99"/>
        <w:ind w:left="744" w:hanging="404"/>
        <w:rPr>
          <w:sz w:val="16"/>
        </w:rPr>
      </w:pPr>
      <w:r>
        <w:rPr>
          <w:sz w:val="16"/>
        </w:rPr>
        <w:t>beginning from the date the person starts residing in Australia as a permanent visa</w:t>
      </w:r>
      <w:r>
        <w:rPr>
          <w:spacing w:val="-20"/>
          <w:sz w:val="16"/>
        </w:rPr>
        <w:t xml:space="preserve"> </w:t>
      </w:r>
      <w:r>
        <w:rPr>
          <w:sz w:val="16"/>
        </w:rPr>
        <w:t>holder</w:t>
      </w:r>
    </w:p>
    <w:p w:rsidR="007A0A6C" w:rsidRDefault="00660E26">
      <w:pPr>
        <w:pStyle w:val="ListParagraph"/>
        <w:numPr>
          <w:ilvl w:val="0"/>
          <w:numId w:val="3"/>
        </w:numPr>
        <w:tabs>
          <w:tab w:val="left" w:pos="745"/>
        </w:tabs>
        <w:spacing w:line="261" w:lineRule="auto"/>
        <w:ind w:left="340" w:right="551" w:firstLine="0"/>
        <w:rPr>
          <w:sz w:val="16"/>
        </w:rPr>
      </w:pPr>
      <w:r>
        <w:rPr>
          <w:sz w:val="16"/>
        </w:rPr>
        <w:t>Legislation permits children with disability from asylum seeker backgrounds to be held indefinitely in immigration detention facilities. UN General Assembly (24 April 2017)</w:t>
      </w:r>
      <w:r>
        <w:rPr>
          <w:color w:val="215E9E"/>
          <w:sz w:val="16"/>
        </w:rPr>
        <w:t xml:space="preserve"> </w:t>
      </w:r>
      <w:r>
        <w:rPr>
          <w:color w:val="215E9E"/>
          <w:sz w:val="16"/>
          <w:u w:val="single" w:color="215E9E"/>
        </w:rPr>
        <w:t>Report of the Special Rapporteur on the human rights of migrants on his mission to Australia and the regional processing centres in Nauru</w:t>
      </w:r>
      <w:r>
        <w:rPr>
          <w:sz w:val="16"/>
        </w:rPr>
        <w:t>. UN Doc. No.</w:t>
      </w:r>
      <w:r>
        <w:rPr>
          <w:spacing w:val="-14"/>
          <w:sz w:val="16"/>
        </w:rPr>
        <w:t xml:space="preserve"> </w:t>
      </w:r>
      <w:r>
        <w:rPr>
          <w:sz w:val="16"/>
        </w:rPr>
        <w:t>A/HRC/35/25/Add.3.</w:t>
      </w:r>
    </w:p>
    <w:p w:rsidR="007A0A6C" w:rsidRDefault="00660E26">
      <w:pPr>
        <w:pStyle w:val="ListParagraph"/>
        <w:numPr>
          <w:ilvl w:val="0"/>
          <w:numId w:val="3"/>
        </w:numPr>
        <w:tabs>
          <w:tab w:val="left" w:pos="745"/>
        </w:tabs>
        <w:spacing w:before="99" w:line="261" w:lineRule="auto"/>
        <w:ind w:left="340" w:right="278" w:firstLine="0"/>
        <w:rPr>
          <w:sz w:val="16"/>
        </w:rPr>
      </w:pPr>
      <w:r>
        <w:rPr>
          <w:sz w:val="16"/>
        </w:rPr>
        <w:t>Which is directly attributed to the harsh conditions, the protracted periods of closed detention, sexual and other forms of violence, overcrowding, inadequate health care, and fear for and about the future. See: Disabled People’s Organisations Australia (DPOA)(2017) Submission to the Committee on the Rights of Persons with Disabilities;</w:t>
      </w:r>
      <w:r>
        <w:rPr>
          <w:color w:val="215E9E"/>
          <w:sz w:val="16"/>
        </w:rPr>
        <w:t xml:space="preserve"> </w:t>
      </w:r>
      <w:r>
        <w:rPr>
          <w:color w:val="215E9E"/>
          <w:sz w:val="16"/>
          <w:u w:val="single" w:color="215E9E"/>
        </w:rPr>
        <w:t>List of issues [Australia] to be adopted during the 18th Session of the Committee on the Rights of Persons with</w:t>
      </w:r>
      <w:r>
        <w:rPr>
          <w:color w:val="215E9E"/>
          <w:spacing w:val="-4"/>
          <w:sz w:val="16"/>
          <w:u w:val="single" w:color="215E9E"/>
        </w:rPr>
        <w:t xml:space="preserve"> </w:t>
      </w:r>
      <w:r>
        <w:rPr>
          <w:color w:val="215E9E"/>
          <w:sz w:val="16"/>
          <w:u w:val="single" w:color="215E9E"/>
        </w:rPr>
        <w:t>Disabilities</w:t>
      </w:r>
      <w:r>
        <w:rPr>
          <w:sz w:val="16"/>
        </w:rPr>
        <w:t>.</w:t>
      </w:r>
    </w:p>
    <w:p w:rsidR="007A0A6C" w:rsidRDefault="007A0A6C">
      <w:pPr>
        <w:spacing w:line="261" w:lineRule="auto"/>
        <w:rPr>
          <w:sz w:val="16"/>
        </w:rPr>
        <w:sectPr w:rsidR="007A0A6C">
          <w:pgSz w:w="11910" w:h="16840"/>
          <w:pgMar w:top="600" w:right="440" w:bottom="540" w:left="380" w:header="0" w:footer="343" w:gutter="0"/>
          <w:cols w:space="720"/>
        </w:sectPr>
      </w:pPr>
    </w:p>
    <w:p w:rsidR="007A0A6C" w:rsidRDefault="00660E26">
      <w:pPr>
        <w:pStyle w:val="ListParagraph"/>
        <w:numPr>
          <w:ilvl w:val="0"/>
          <w:numId w:val="3"/>
        </w:numPr>
        <w:tabs>
          <w:tab w:val="left" w:pos="745"/>
        </w:tabs>
        <w:spacing w:before="68" w:line="261" w:lineRule="auto"/>
        <w:ind w:left="340" w:right="485" w:firstLine="0"/>
        <w:rPr>
          <w:sz w:val="16"/>
        </w:rPr>
      </w:pPr>
      <w:r>
        <w:rPr>
          <w:sz w:val="16"/>
        </w:rPr>
        <w:lastRenderedPageBreak/>
        <w:t>UN General Assembly (24 April 2017)</w:t>
      </w:r>
      <w:r>
        <w:rPr>
          <w:color w:val="215E9E"/>
          <w:sz w:val="16"/>
        </w:rPr>
        <w:t xml:space="preserve"> </w:t>
      </w:r>
      <w:r>
        <w:rPr>
          <w:color w:val="215E9E"/>
          <w:sz w:val="16"/>
          <w:u w:val="single" w:color="215E9E"/>
        </w:rPr>
        <w:t>Report of the Special Rapporteur on the human rights of migrants on his mission to Australia and the regional processing centres in Nauru</w:t>
      </w:r>
      <w:r>
        <w:rPr>
          <w:sz w:val="16"/>
        </w:rPr>
        <w:t>. UN Doc. No.</w:t>
      </w:r>
      <w:r>
        <w:rPr>
          <w:spacing w:val="-15"/>
          <w:sz w:val="16"/>
        </w:rPr>
        <w:t xml:space="preserve"> </w:t>
      </w:r>
      <w:r>
        <w:rPr>
          <w:sz w:val="16"/>
        </w:rPr>
        <w:t>A/HRC/35/25/Add.3.</w:t>
      </w:r>
    </w:p>
    <w:p w:rsidR="007A0A6C" w:rsidRDefault="00660E26">
      <w:pPr>
        <w:pStyle w:val="ListParagraph"/>
        <w:numPr>
          <w:ilvl w:val="0"/>
          <w:numId w:val="3"/>
        </w:numPr>
        <w:tabs>
          <w:tab w:val="left" w:pos="745"/>
        </w:tabs>
        <w:spacing w:before="99" w:line="261" w:lineRule="auto"/>
        <w:ind w:left="340" w:right="485" w:firstLine="0"/>
        <w:rPr>
          <w:sz w:val="16"/>
        </w:rPr>
      </w:pPr>
      <w:r>
        <w:rPr>
          <w:sz w:val="16"/>
        </w:rPr>
        <w:t>UN General Assembly (24 April 2017)</w:t>
      </w:r>
      <w:r>
        <w:rPr>
          <w:color w:val="215E9E"/>
          <w:sz w:val="16"/>
        </w:rPr>
        <w:t xml:space="preserve"> </w:t>
      </w:r>
      <w:r>
        <w:rPr>
          <w:color w:val="215E9E"/>
          <w:sz w:val="16"/>
          <w:u w:val="single" w:color="215E9E"/>
        </w:rPr>
        <w:t>Report of the Special Rapporteur on the human rights of migrants on his mission to Australia and the regional processing centres in Nauru</w:t>
      </w:r>
      <w:r>
        <w:rPr>
          <w:sz w:val="16"/>
        </w:rPr>
        <w:t>. UN Doc. No.</w:t>
      </w:r>
      <w:r>
        <w:rPr>
          <w:spacing w:val="-15"/>
          <w:sz w:val="16"/>
        </w:rPr>
        <w:t xml:space="preserve"> </w:t>
      </w:r>
      <w:r>
        <w:rPr>
          <w:sz w:val="16"/>
        </w:rPr>
        <w:t>A/HRC/35/25/Add.3.</w:t>
      </w:r>
    </w:p>
    <w:p w:rsidR="007A0A6C" w:rsidRDefault="00660E26">
      <w:pPr>
        <w:pStyle w:val="ListParagraph"/>
        <w:numPr>
          <w:ilvl w:val="0"/>
          <w:numId w:val="3"/>
        </w:numPr>
        <w:tabs>
          <w:tab w:val="left" w:pos="736"/>
        </w:tabs>
        <w:spacing w:before="99" w:line="261" w:lineRule="auto"/>
        <w:ind w:left="340" w:right="619" w:firstLine="0"/>
        <w:rPr>
          <w:sz w:val="16"/>
        </w:rPr>
      </w:pPr>
      <w:r>
        <w:rPr>
          <w:sz w:val="16"/>
        </w:rPr>
        <w:t>Australian Institute of Health and Welfare 2017.</w:t>
      </w:r>
      <w:r>
        <w:rPr>
          <w:color w:val="215E9E"/>
          <w:sz w:val="16"/>
        </w:rPr>
        <w:t xml:space="preserve"> </w:t>
      </w:r>
      <w:r>
        <w:rPr>
          <w:color w:val="215E9E"/>
          <w:sz w:val="16"/>
          <w:u w:val="single" w:color="215E9E"/>
        </w:rPr>
        <w:t>Australia’s welfare 2017</w:t>
      </w:r>
      <w:r>
        <w:rPr>
          <w:sz w:val="16"/>
        </w:rPr>
        <w:t>. Australia’s welfare series no. 13. AUS 214. Canberra: AIHW. See also: Australian Government,</w:t>
      </w:r>
      <w:r>
        <w:rPr>
          <w:color w:val="215E9E"/>
          <w:sz w:val="16"/>
        </w:rPr>
        <w:t xml:space="preserve"> </w:t>
      </w:r>
      <w:r>
        <w:rPr>
          <w:color w:val="215E9E"/>
          <w:sz w:val="16"/>
          <w:u w:val="single" w:color="215E9E"/>
        </w:rPr>
        <w:t>Australia’s Combined Second and Third Periodic Report under the Convention on the Rights of Persons with Disabilities</w:t>
      </w:r>
      <w:r>
        <w:rPr>
          <w:sz w:val="16"/>
        </w:rPr>
        <w:t>, 1 September</w:t>
      </w:r>
      <w:r>
        <w:rPr>
          <w:spacing w:val="-2"/>
          <w:sz w:val="16"/>
        </w:rPr>
        <w:t xml:space="preserve"> </w:t>
      </w:r>
      <w:r>
        <w:rPr>
          <w:sz w:val="16"/>
        </w:rPr>
        <w:t>2018.</w:t>
      </w:r>
    </w:p>
    <w:p w:rsidR="007A0A6C" w:rsidRDefault="00660E26">
      <w:pPr>
        <w:pStyle w:val="ListParagraph"/>
        <w:numPr>
          <w:ilvl w:val="0"/>
          <w:numId w:val="3"/>
        </w:numPr>
        <w:tabs>
          <w:tab w:val="left" w:pos="736"/>
        </w:tabs>
        <w:spacing w:before="99" w:line="261" w:lineRule="auto"/>
        <w:ind w:left="340" w:right="619" w:firstLine="0"/>
        <w:rPr>
          <w:sz w:val="16"/>
        </w:rPr>
      </w:pPr>
      <w:r>
        <w:rPr>
          <w:sz w:val="16"/>
        </w:rPr>
        <w:t>Australian Institute of Health and Welfare 2017.</w:t>
      </w:r>
      <w:r>
        <w:rPr>
          <w:color w:val="215E9E"/>
          <w:sz w:val="16"/>
        </w:rPr>
        <w:t xml:space="preserve"> </w:t>
      </w:r>
      <w:r>
        <w:rPr>
          <w:color w:val="215E9E"/>
          <w:sz w:val="16"/>
          <w:u w:val="single" w:color="215E9E"/>
        </w:rPr>
        <w:t>Australia’s welfare 2017</w:t>
      </w:r>
      <w:r>
        <w:rPr>
          <w:sz w:val="16"/>
        </w:rPr>
        <w:t>. Australia’s welfare series no. 13. AUS 214. Canberra: AIHW. See also: Australian Government,</w:t>
      </w:r>
      <w:r>
        <w:rPr>
          <w:color w:val="215E9E"/>
          <w:sz w:val="16"/>
        </w:rPr>
        <w:t xml:space="preserve"> </w:t>
      </w:r>
      <w:r>
        <w:rPr>
          <w:color w:val="215E9E"/>
          <w:sz w:val="16"/>
          <w:u w:val="single" w:color="215E9E"/>
        </w:rPr>
        <w:t>Australia’s Combined Second and Third Periodic Report under the Convention on the Rights of Persons with Disabilities</w:t>
      </w:r>
      <w:r>
        <w:rPr>
          <w:sz w:val="16"/>
        </w:rPr>
        <w:t>, 1 September</w:t>
      </w:r>
      <w:r>
        <w:rPr>
          <w:spacing w:val="-2"/>
          <w:sz w:val="16"/>
        </w:rPr>
        <w:t xml:space="preserve"> </w:t>
      </w:r>
      <w:r>
        <w:rPr>
          <w:sz w:val="16"/>
        </w:rPr>
        <w:t>2018.</w:t>
      </w:r>
    </w:p>
    <w:p w:rsidR="007A0A6C" w:rsidRDefault="00660E26">
      <w:pPr>
        <w:pStyle w:val="ListParagraph"/>
        <w:numPr>
          <w:ilvl w:val="0"/>
          <w:numId w:val="3"/>
        </w:numPr>
        <w:tabs>
          <w:tab w:val="left" w:pos="745"/>
        </w:tabs>
        <w:spacing w:before="98" w:line="261" w:lineRule="auto"/>
        <w:ind w:left="340" w:right="617" w:firstLine="0"/>
        <w:rPr>
          <w:sz w:val="16"/>
        </w:rPr>
      </w:pPr>
      <w:r>
        <w:rPr>
          <w:sz w:val="16"/>
        </w:rPr>
        <w:t>NSW Ombudsman (2018)</w:t>
      </w:r>
      <w:r>
        <w:rPr>
          <w:color w:val="215E9E"/>
          <w:sz w:val="16"/>
        </w:rPr>
        <w:t xml:space="preserve"> </w:t>
      </w:r>
      <w:r>
        <w:rPr>
          <w:color w:val="215E9E"/>
          <w:sz w:val="16"/>
          <w:u w:val="single" w:color="215E9E"/>
        </w:rPr>
        <w:t>Report of Reviewable Deaths in: 2014 and 2015, 2016 and 2017, Deaths of people with disability in residential care</w:t>
      </w:r>
      <w:r>
        <w:rPr>
          <w:sz w:val="16"/>
        </w:rPr>
        <w:t>. NSW Ombudsman,</w:t>
      </w:r>
      <w:r>
        <w:rPr>
          <w:spacing w:val="-2"/>
          <w:sz w:val="16"/>
        </w:rPr>
        <w:t xml:space="preserve"> </w:t>
      </w:r>
      <w:r>
        <w:rPr>
          <w:sz w:val="16"/>
        </w:rPr>
        <w:t>Sydney.</w:t>
      </w:r>
    </w:p>
    <w:p w:rsidR="007A0A6C" w:rsidRDefault="00660E26">
      <w:pPr>
        <w:pStyle w:val="ListParagraph"/>
        <w:numPr>
          <w:ilvl w:val="0"/>
          <w:numId w:val="3"/>
        </w:numPr>
        <w:tabs>
          <w:tab w:val="left" w:pos="745"/>
        </w:tabs>
        <w:spacing w:before="99" w:line="261" w:lineRule="auto"/>
        <w:ind w:left="340" w:right="278" w:firstLine="0"/>
        <w:rPr>
          <w:sz w:val="16"/>
        </w:rPr>
      </w:pPr>
      <w:r>
        <w:rPr>
          <w:sz w:val="16"/>
        </w:rPr>
        <w:t>For eg: In June 2015, there were 6,252 young people in nursing homes around Australia, comprising of 555 young people aged 0-49 years and 5,697 aged 50-64 years. See: Senate Community Affairs References Committee (2015)</w:t>
      </w:r>
      <w:r>
        <w:rPr>
          <w:color w:val="215E9E"/>
          <w:sz w:val="16"/>
        </w:rPr>
        <w:t xml:space="preserve"> </w:t>
      </w:r>
      <w:r>
        <w:rPr>
          <w:color w:val="215E9E"/>
          <w:sz w:val="16"/>
          <w:u w:val="single" w:color="215E9E"/>
        </w:rPr>
        <w:t>Adequacy of existing residential care arrangements available</w:t>
      </w:r>
      <w:r>
        <w:rPr>
          <w:color w:val="215E9E"/>
          <w:spacing w:val="-4"/>
          <w:sz w:val="16"/>
          <w:u w:val="single" w:color="215E9E"/>
        </w:rPr>
        <w:t xml:space="preserve"> </w:t>
      </w:r>
      <w:r>
        <w:rPr>
          <w:color w:val="215E9E"/>
          <w:sz w:val="16"/>
          <w:u w:val="single" w:color="215E9E"/>
        </w:rPr>
        <w:t>for</w:t>
      </w:r>
      <w:r>
        <w:rPr>
          <w:color w:val="215E9E"/>
          <w:spacing w:val="-3"/>
          <w:sz w:val="16"/>
          <w:u w:val="single" w:color="215E9E"/>
        </w:rPr>
        <w:t xml:space="preserve"> </w:t>
      </w:r>
      <w:r>
        <w:rPr>
          <w:color w:val="215E9E"/>
          <w:sz w:val="16"/>
          <w:u w:val="single" w:color="215E9E"/>
        </w:rPr>
        <w:t>young</w:t>
      </w:r>
      <w:r>
        <w:rPr>
          <w:color w:val="215E9E"/>
          <w:spacing w:val="-3"/>
          <w:sz w:val="16"/>
          <w:u w:val="single" w:color="215E9E"/>
        </w:rPr>
        <w:t xml:space="preserve"> </w:t>
      </w:r>
      <w:r>
        <w:rPr>
          <w:color w:val="215E9E"/>
          <w:sz w:val="16"/>
          <w:u w:val="single" w:color="215E9E"/>
        </w:rPr>
        <w:t>people</w:t>
      </w:r>
      <w:r>
        <w:rPr>
          <w:color w:val="215E9E"/>
          <w:spacing w:val="-4"/>
          <w:sz w:val="16"/>
          <w:u w:val="single" w:color="215E9E"/>
        </w:rPr>
        <w:t xml:space="preserve"> </w:t>
      </w:r>
      <w:r>
        <w:rPr>
          <w:color w:val="215E9E"/>
          <w:sz w:val="16"/>
          <w:u w:val="single" w:color="215E9E"/>
        </w:rPr>
        <w:t>with</w:t>
      </w:r>
      <w:r>
        <w:rPr>
          <w:color w:val="215E9E"/>
          <w:spacing w:val="-4"/>
          <w:sz w:val="16"/>
          <w:u w:val="single" w:color="215E9E"/>
        </w:rPr>
        <w:t xml:space="preserve"> </w:t>
      </w:r>
      <w:r>
        <w:rPr>
          <w:color w:val="215E9E"/>
          <w:sz w:val="16"/>
          <w:u w:val="single" w:color="215E9E"/>
        </w:rPr>
        <w:t>severe</w:t>
      </w:r>
      <w:r>
        <w:rPr>
          <w:color w:val="215E9E"/>
          <w:spacing w:val="-2"/>
          <w:sz w:val="16"/>
          <w:u w:val="single" w:color="215E9E"/>
        </w:rPr>
        <w:t xml:space="preserve"> </w:t>
      </w:r>
      <w:r>
        <w:rPr>
          <w:color w:val="215E9E"/>
          <w:sz w:val="16"/>
          <w:u w:val="single" w:color="215E9E"/>
        </w:rPr>
        <w:t>physical,</w:t>
      </w:r>
      <w:r>
        <w:rPr>
          <w:color w:val="215E9E"/>
          <w:spacing w:val="-4"/>
          <w:sz w:val="16"/>
          <w:u w:val="single" w:color="215E9E"/>
        </w:rPr>
        <w:t xml:space="preserve"> </w:t>
      </w:r>
      <w:r>
        <w:rPr>
          <w:color w:val="215E9E"/>
          <w:sz w:val="16"/>
          <w:u w:val="single" w:color="215E9E"/>
        </w:rPr>
        <w:t>mental</w:t>
      </w:r>
      <w:r>
        <w:rPr>
          <w:color w:val="215E9E"/>
          <w:spacing w:val="-3"/>
          <w:sz w:val="16"/>
          <w:u w:val="single" w:color="215E9E"/>
        </w:rPr>
        <w:t xml:space="preserve"> </w:t>
      </w:r>
      <w:r>
        <w:rPr>
          <w:color w:val="215E9E"/>
          <w:sz w:val="16"/>
          <w:u w:val="single" w:color="215E9E"/>
        </w:rPr>
        <w:t>or</w:t>
      </w:r>
      <w:r>
        <w:rPr>
          <w:color w:val="215E9E"/>
          <w:spacing w:val="-4"/>
          <w:sz w:val="16"/>
          <w:u w:val="single" w:color="215E9E"/>
        </w:rPr>
        <w:t xml:space="preserve"> </w:t>
      </w:r>
      <w:r>
        <w:rPr>
          <w:color w:val="215E9E"/>
          <w:sz w:val="16"/>
          <w:u w:val="single" w:color="215E9E"/>
        </w:rPr>
        <w:t>intellectual</w:t>
      </w:r>
      <w:r>
        <w:rPr>
          <w:color w:val="215E9E"/>
          <w:spacing w:val="-4"/>
          <w:sz w:val="16"/>
          <w:u w:val="single" w:color="215E9E"/>
        </w:rPr>
        <w:t xml:space="preserve"> </w:t>
      </w:r>
      <w:r>
        <w:rPr>
          <w:color w:val="215E9E"/>
          <w:sz w:val="16"/>
          <w:u w:val="single" w:color="215E9E"/>
        </w:rPr>
        <w:t>disabilities</w:t>
      </w:r>
      <w:r>
        <w:rPr>
          <w:color w:val="215E9E"/>
          <w:spacing w:val="-4"/>
          <w:sz w:val="16"/>
          <w:u w:val="single" w:color="215E9E"/>
        </w:rPr>
        <w:t xml:space="preserve"> </w:t>
      </w:r>
      <w:r>
        <w:rPr>
          <w:color w:val="215E9E"/>
          <w:sz w:val="16"/>
          <w:u w:val="single" w:color="215E9E"/>
        </w:rPr>
        <w:t>in</w:t>
      </w:r>
      <w:r>
        <w:rPr>
          <w:color w:val="215E9E"/>
          <w:spacing w:val="-10"/>
          <w:sz w:val="16"/>
          <w:u w:val="single" w:color="215E9E"/>
        </w:rPr>
        <w:t xml:space="preserve"> </w:t>
      </w:r>
      <w:r>
        <w:rPr>
          <w:color w:val="215E9E"/>
          <w:sz w:val="16"/>
          <w:u w:val="single" w:color="215E9E"/>
        </w:rPr>
        <w:t>Australia</w:t>
      </w:r>
      <w:r>
        <w:rPr>
          <w:sz w:val="16"/>
        </w:rPr>
        <w:t>.</w:t>
      </w:r>
      <w:r>
        <w:rPr>
          <w:spacing w:val="-3"/>
          <w:sz w:val="16"/>
        </w:rPr>
        <w:t xml:space="preserve"> </w:t>
      </w:r>
      <w:r>
        <w:rPr>
          <w:sz w:val="16"/>
        </w:rPr>
        <w:t>See</w:t>
      </w:r>
      <w:r>
        <w:rPr>
          <w:spacing w:val="-3"/>
          <w:sz w:val="16"/>
        </w:rPr>
        <w:t xml:space="preserve"> </w:t>
      </w:r>
      <w:r>
        <w:rPr>
          <w:sz w:val="16"/>
        </w:rPr>
        <w:t>also:</w:t>
      </w:r>
      <w:r>
        <w:rPr>
          <w:spacing w:val="-3"/>
          <w:sz w:val="16"/>
        </w:rPr>
        <w:t xml:space="preserve"> </w:t>
      </w:r>
      <w:r>
        <w:rPr>
          <w:sz w:val="16"/>
        </w:rPr>
        <w:t>Norman,</w:t>
      </w:r>
      <w:r>
        <w:rPr>
          <w:spacing w:val="-4"/>
          <w:sz w:val="16"/>
        </w:rPr>
        <w:t xml:space="preserve"> </w:t>
      </w:r>
      <w:r>
        <w:rPr>
          <w:sz w:val="16"/>
        </w:rPr>
        <w:t>J.</w:t>
      </w:r>
      <w:r>
        <w:rPr>
          <w:spacing w:val="-3"/>
          <w:sz w:val="16"/>
        </w:rPr>
        <w:t xml:space="preserve"> </w:t>
      </w:r>
      <w:r>
        <w:rPr>
          <w:sz w:val="16"/>
        </w:rPr>
        <w:t>(24</w:t>
      </w:r>
      <w:r>
        <w:rPr>
          <w:spacing w:val="-3"/>
          <w:sz w:val="16"/>
        </w:rPr>
        <w:t xml:space="preserve"> </w:t>
      </w:r>
      <w:r>
        <w:rPr>
          <w:sz w:val="16"/>
        </w:rPr>
        <w:t>Mar</w:t>
      </w:r>
      <w:r>
        <w:rPr>
          <w:spacing w:val="-3"/>
          <w:sz w:val="16"/>
        </w:rPr>
        <w:t xml:space="preserve"> </w:t>
      </w:r>
      <w:r>
        <w:rPr>
          <w:sz w:val="16"/>
        </w:rPr>
        <w:t>2019)</w:t>
      </w:r>
      <w:r>
        <w:rPr>
          <w:color w:val="215E9E"/>
          <w:spacing w:val="-5"/>
          <w:sz w:val="16"/>
        </w:rPr>
        <w:t xml:space="preserve"> </w:t>
      </w:r>
      <w:r>
        <w:rPr>
          <w:color w:val="215E9E"/>
          <w:sz w:val="16"/>
          <w:u w:val="single" w:color="215E9E"/>
        </w:rPr>
        <w:t>The</w:t>
      </w:r>
      <w:r>
        <w:rPr>
          <w:color w:val="215E9E"/>
          <w:spacing w:val="-3"/>
          <w:sz w:val="16"/>
          <w:u w:val="single" w:color="215E9E"/>
        </w:rPr>
        <w:t xml:space="preserve"> </w:t>
      </w:r>
      <w:r>
        <w:rPr>
          <w:color w:val="215E9E"/>
          <w:sz w:val="16"/>
          <w:u w:val="single" w:color="215E9E"/>
        </w:rPr>
        <w:t>young</w:t>
      </w:r>
      <w:r>
        <w:rPr>
          <w:color w:val="215E9E"/>
          <w:spacing w:val="-3"/>
          <w:sz w:val="16"/>
          <w:u w:val="single" w:color="215E9E"/>
        </w:rPr>
        <w:t xml:space="preserve"> </w:t>
      </w:r>
      <w:r>
        <w:rPr>
          <w:color w:val="215E9E"/>
          <w:sz w:val="16"/>
          <w:u w:val="single" w:color="215E9E"/>
        </w:rPr>
        <w:t>people forced to live in aged care homes and the push to get them out</w:t>
      </w:r>
      <w:r>
        <w:rPr>
          <w:sz w:val="16"/>
        </w:rPr>
        <w:t>. ABC</w:t>
      </w:r>
      <w:r>
        <w:rPr>
          <w:spacing w:val="-19"/>
          <w:sz w:val="16"/>
        </w:rPr>
        <w:t xml:space="preserve"> </w:t>
      </w:r>
      <w:r>
        <w:rPr>
          <w:sz w:val="16"/>
        </w:rPr>
        <w:t>News.</w:t>
      </w:r>
    </w:p>
    <w:p w:rsidR="007A0A6C" w:rsidRDefault="00660E26">
      <w:pPr>
        <w:pStyle w:val="ListParagraph"/>
        <w:numPr>
          <w:ilvl w:val="0"/>
          <w:numId w:val="3"/>
        </w:numPr>
        <w:tabs>
          <w:tab w:val="left" w:pos="745"/>
        </w:tabs>
        <w:spacing w:before="98"/>
        <w:ind w:left="744" w:hanging="404"/>
        <w:rPr>
          <w:sz w:val="16"/>
        </w:rPr>
      </w:pPr>
      <w:r>
        <w:rPr>
          <w:sz w:val="16"/>
        </w:rPr>
        <w:t>Including the right to choose freely where and with whom they</w:t>
      </w:r>
      <w:r>
        <w:rPr>
          <w:spacing w:val="-6"/>
          <w:sz w:val="16"/>
        </w:rPr>
        <w:t xml:space="preserve"> </w:t>
      </w:r>
      <w:r>
        <w:rPr>
          <w:sz w:val="16"/>
        </w:rPr>
        <w:t>live.</w:t>
      </w:r>
    </w:p>
    <w:p w:rsidR="007A0A6C" w:rsidRDefault="00660E26">
      <w:pPr>
        <w:pStyle w:val="ListParagraph"/>
        <w:numPr>
          <w:ilvl w:val="0"/>
          <w:numId w:val="3"/>
        </w:numPr>
        <w:tabs>
          <w:tab w:val="left" w:pos="736"/>
        </w:tabs>
        <w:ind w:hanging="395"/>
        <w:rPr>
          <w:sz w:val="16"/>
        </w:rPr>
      </w:pPr>
      <w:r>
        <w:rPr>
          <w:sz w:val="16"/>
        </w:rPr>
        <w:t>Aged Care Guide,</w:t>
      </w:r>
      <w:r>
        <w:rPr>
          <w:color w:val="215E9E"/>
          <w:sz w:val="16"/>
        </w:rPr>
        <w:t xml:space="preserve"> </w:t>
      </w:r>
      <w:r>
        <w:rPr>
          <w:color w:val="215E9E"/>
          <w:sz w:val="16"/>
          <w:u w:val="single" w:color="215E9E"/>
        </w:rPr>
        <w:t>The issue facing younger people with disability in aged</w:t>
      </w:r>
      <w:r>
        <w:rPr>
          <w:color w:val="215E9E"/>
          <w:spacing w:val="-14"/>
          <w:sz w:val="16"/>
          <w:u w:val="single" w:color="215E9E"/>
        </w:rPr>
        <w:t xml:space="preserve"> </w:t>
      </w:r>
      <w:r>
        <w:rPr>
          <w:color w:val="215E9E"/>
          <w:sz w:val="16"/>
          <w:u w:val="single" w:color="215E9E"/>
        </w:rPr>
        <w:t>care</w:t>
      </w:r>
      <w:r>
        <w:rPr>
          <w:sz w:val="16"/>
        </w:rPr>
        <w:t>.</w:t>
      </w:r>
    </w:p>
    <w:p w:rsidR="007A0A6C" w:rsidRDefault="00660E26">
      <w:pPr>
        <w:pStyle w:val="ListParagraph"/>
        <w:numPr>
          <w:ilvl w:val="0"/>
          <w:numId w:val="3"/>
        </w:numPr>
        <w:tabs>
          <w:tab w:val="left" w:pos="745"/>
        </w:tabs>
        <w:ind w:left="744" w:hanging="404"/>
        <w:rPr>
          <w:sz w:val="16"/>
        </w:rPr>
      </w:pPr>
      <w:r>
        <w:rPr>
          <w:sz w:val="16"/>
        </w:rPr>
        <w:t>National CRPD Survey (2019)</w:t>
      </w:r>
      <w:r>
        <w:rPr>
          <w:spacing w:val="-3"/>
          <w:sz w:val="16"/>
        </w:rPr>
        <w:t xml:space="preserve"> </w:t>
      </w:r>
      <w:r>
        <w:rPr>
          <w:sz w:val="16"/>
        </w:rPr>
        <w:t>Findings.</w:t>
      </w:r>
    </w:p>
    <w:p w:rsidR="007A0A6C" w:rsidRDefault="00660E26">
      <w:pPr>
        <w:pStyle w:val="ListParagraph"/>
        <w:numPr>
          <w:ilvl w:val="0"/>
          <w:numId w:val="3"/>
        </w:numPr>
        <w:tabs>
          <w:tab w:val="left" w:pos="726"/>
        </w:tabs>
        <w:spacing w:line="261" w:lineRule="auto"/>
        <w:ind w:left="340" w:right="497" w:firstLine="0"/>
        <w:rPr>
          <w:sz w:val="16"/>
        </w:rPr>
      </w:pPr>
      <w:r>
        <w:rPr>
          <w:sz w:val="16"/>
        </w:rPr>
        <w:t>For example: The Joint Standing Committee on the NDIS recommended greater regulation to ensure all new housing is compliant with an updated Building Code of Australia. See: Joint Standing Committee on the National Disability Insurance Scheme (May 2016)</w:t>
      </w:r>
      <w:r>
        <w:rPr>
          <w:color w:val="215E9E"/>
          <w:sz w:val="16"/>
        </w:rPr>
        <w:t xml:space="preserve"> </w:t>
      </w:r>
      <w:r>
        <w:rPr>
          <w:color w:val="215E9E"/>
          <w:sz w:val="16"/>
          <w:u w:val="single" w:color="215E9E"/>
        </w:rPr>
        <w:t>Accommodation for people with disabilities and the</w:t>
      </w:r>
      <w:r>
        <w:rPr>
          <w:color w:val="215E9E"/>
          <w:spacing w:val="-5"/>
          <w:sz w:val="16"/>
          <w:u w:val="single" w:color="215E9E"/>
        </w:rPr>
        <w:t xml:space="preserve"> </w:t>
      </w:r>
      <w:r>
        <w:rPr>
          <w:color w:val="215E9E"/>
          <w:sz w:val="16"/>
          <w:u w:val="single" w:color="215E9E"/>
        </w:rPr>
        <w:t>NDIS</w:t>
      </w:r>
      <w:r>
        <w:rPr>
          <w:sz w:val="16"/>
        </w:rPr>
        <w:t>.</w:t>
      </w:r>
    </w:p>
    <w:p w:rsidR="007A0A6C" w:rsidRDefault="00660E26">
      <w:pPr>
        <w:pStyle w:val="ListParagraph"/>
        <w:numPr>
          <w:ilvl w:val="0"/>
          <w:numId w:val="3"/>
        </w:numPr>
        <w:tabs>
          <w:tab w:val="left" w:pos="745"/>
        </w:tabs>
        <w:spacing w:before="98" w:line="261" w:lineRule="auto"/>
        <w:ind w:left="340" w:right="498" w:firstLine="0"/>
        <w:rPr>
          <w:sz w:val="16"/>
        </w:rPr>
      </w:pPr>
      <w:r>
        <w:rPr>
          <w:sz w:val="16"/>
        </w:rPr>
        <w:t>Supported Independent Living (SIL) under the NDIS is ingraining an institutionalised approach, undermining the NDIS vision of choice and control. See also: Joint Standing Committee on the National Disability Insurance Scheme (May 2016)</w:t>
      </w:r>
      <w:r>
        <w:rPr>
          <w:color w:val="215E9E"/>
          <w:sz w:val="16"/>
        </w:rPr>
        <w:t xml:space="preserve"> </w:t>
      </w:r>
      <w:r>
        <w:rPr>
          <w:color w:val="215E9E"/>
          <w:sz w:val="16"/>
          <w:u w:val="single" w:color="215E9E"/>
        </w:rPr>
        <w:t>Accommodation for people with disabilities and the</w:t>
      </w:r>
      <w:r>
        <w:rPr>
          <w:color w:val="215E9E"/>
          <w:spacing w:val="-2"/>
          <w:sz w:val="16"/>
          <w:u w:val="single" w:color="215E9E"/>
        </w:rPr>
        <w:t xml:space="preserve"> </w:t>
      </w:r>
      <w:r>
        <w:rPr>
          <w:color w:val="215E9E"/>
          <w:sz w:val="16"/>
          <w:u w:val="single" w:color="215E9E"/>
        </w:rPr>
        <w:t>NDIS</w:t>
      </w:r>
      <w:r>
        <w:rPr>
          <w:sz w:val="16"/>
        </w:rPr>
        <w:t>.</w:t>
      </w:r>
    </w:p>
    <w:p w:rsidR="007A0A6C" w:rsidRDefault="00660E26">
      <w:pPr>
        <w:pStyle w:val="ListParagraph"/>
        <w:numPr>
          <w:ilvl w:val="0"/>
          <w:numId w:val="3"/>
        </w:numPr>
        <w:tabs>
          <w:tab w:val="left" w:pos="736"/>
        </w:tabs>
        <w:spacing w:before="98"/>
        <w:ind w:hanging="395"/>
        <w:rPr>
          <w:sz w:val="16"/>
        </w:rPr>
      </w:pPr>
      <w:r>
        <w:rPr>
          <w:sz w:val="16"/>
        </w:rPr>
        <w:t>Australian</w:t>
      </w:r>
      <w:r>
        <w:rPr>
          <w:spacing w:val="-2"/>
          <w:sz w:val="16"/>
        </w:rPr>
        <w:t xml:space="preserve"> </w:t>
      </w:r>
      <w:r>
        <w:rPr>
          <w:sz w:val="16"/>
        </w:rPr>
        <w:t>Institute</w:t>
      </w:r>
      <w:r>
        <w:rPr>
          <w:spacing w:val="-2"/>
          <w:sz w:val="16"/>
        </w:rPr>
        <w:t xml:space="preserve"> </w:t>
      </w:r>
      <w:r>
        <w:rPr>
          <w:sz w:val="16"/>
        </w:rPr>
        <w:t>of</w:t>
      </w:r>
      <w:r>
        <w:rPr>
          <w:spacing w:val="-2"/>
          <w:sz w:val="16"/>
        </w:rPr>
        <w:t xml:space="preserve"> </w:t>
      </w:r>
      <w:r>
        <w:rPr>
          <w:sz w:val="16"/>
        </w:rPr>
        <w:t>Health</w:t>
      </w:r>
      <w:r>
        <w:rPr>
          <w:spacing w:val="-3"/>
          <w:sz w:val="16"/>
        </w:rPr>
        <w:t xml:space="preserve"> </w:t>
      </w:r>
      <w:r>
        <w:rPr>
          <w:sz w:val="16"/>
        </w:rPr>
        <w:t>and</w:t>
      </w:r>
      <w:r>
        <w:rPr>
          <w:spacing w:val="-3"/>
          <w:sz w:val="16"/>
        </w:rPr>
        <w:t xml:space="preserve"> </w:t>
      </w:r>
      <w:r>
        <w:rPr>
          <w:sz w:val="16"/>
        </w:rPr>
        <w:t>Welfare</w:t>
      </w:r>
      <w:r>
        <w:rPr>
          <w:spacing w:val="-2"/>
          <w:sz w:val="16"/>
        </w:rPr>
        <w:t xml:space="preserve"> </w:t>
      </w:r>
      <w:r>
        <w:rPr>
          <w:sz w:val="16"/>
        </w:rPr>
        <w:t>2017.</w:t>
      </w:r>
      <w:r>
        <w:rPr>
          <w:color w:val="215E9E"/>
          <w:spacing w:val="-11"/>
          <w:sz w:val="16"/>
        </w:rPr>
        <w:t xml:space="preserve"> </w:t>
      </w:r>
      <w:r>
        <w:rPr>
          <w:color w:val="215E9E"/>
          <w:sz w:val="16"/>
          <w:u w:val="single" w:color="215E9E"/>
        </w:rPr>
        <w:t>Australia’s</w:t>
      </w:r>
      <w:r>
        <w:rPr>
          <w:color w:val="215E9E"/>
          <w:spacing w:val="-1"/>
          <w:sz w:val="16"/>
          <w:u w:val="single" w:color="215E9E"/>
        </w:rPr>
        <w:t xml:space="preserve"> </w:t>
      </w:r>
      <w:r>
        <w:rPr>
          <w:color w:val="215E9E"/>
          <w:sz w:val="16"/>
          <w:u w:val="single" w:color="215E9E"/>
        </w:rPr>
        <w:t>welfare</w:t>
      </w:r>
      <w:r>
        <w:rPr>
          <w:color w:val="215E9E"/>
          <w:spacing w:val="-3"/>
          <w:sz w:val="16"/>
          <w:u w:val="single" w:color="215E9E"/>
        </w:rPr>
        <w:t xml:space="preserve"> </w:t>
      </w:r>
      <w:r>
        <w:rPr>
          <w:color w:val="215E9E"/>
          <w:sz w:val="16"/>
          <w:u w:val="single" w:color="215E9E"/>
        </w:rPr>
        <w:t>2017</w:t>
      </w:r>
      <w:r>
        <w:rPr>
          <w:sz w:val="16"/>
        </w:rPr>
        <w:t>.</w:t>
      </w:r>
      <w:r>
        <w:rPr>
          <w:spacing w:val="-10"/>
          <w:sz w:val="16"/>
        </w:rPr>
        <w:t xml:space="preserve"> </w:t>
      </w:r>
      <w:r>
        <w:rPr>
          <w:sz w:val="16"/>
        </w:rPr>
        <w:t>Australia’s</w:t>
      </w:r>
      <w:r>
        <w:rPr>
          <w:spacing w:val="-2"/>
          <w:sz w:val="16"/>
        </w:rPr>
        <w:t xml:space="preserve"> </w:t>
      </w:r>
      <w:r>
        <w:rPr>
          <w:sz w:val="16"/>
        </w:rPr>
        <w:t>welfare</w:t>
      </w:r>
      <w:r>
        <w:rPr>
          <w:spacing w:val="-3"/>
          <w:sz w:val="16"/>
        </w:rPr>
        <w:t xml:space="preserve"> </w:t>
      </w:r>
      <w:r>
        <w:rPr>
          <w:sz w:val="16"/>
        </w:rPr>
        <w:t>series</w:t>
      </w:r>
      <w:r>
        <w:rPr>
          <w:spacing w:val="-1"/>
          <w:sz w:val="16"/>
        </w:rPr>
        <w:t xml:space="preserve"> </w:t>
      </w:r>
      <w:r>
        <w:rPr>
          <w:sz w:val="16"/>
        </w:rPr>
        <w:t>no.</w:t>
      </w:r>
      <w:r>
        <w:rPr>
          <w:spacing w:val="-3"/>
          <w:sz w:val="16"/>
        </w:rPr>
        <w:t xml:space="preserve"> </w:t>
      </w:r>
      <w:r>
        <w:rPr>
          <w:sz w:val="16"/>
        </w:rPr>
        <w:t>13.</w:t>
      </w:r>
      <w:r>
        <w:rPr>
          <w:spacing w:val="-10"/>
          <w:sz w:val="16"/>
        </w:rPr>
        <w:t xml:space="preserve"> </w:t>
      </w:r>
      <w:r>
        <w:rPr>
          <w:sz w:val="16"/>
        </w:rPr>
        <w:t>AUS</w:t>
      </w:r>
      <w:r>
        <w:rPr>
          <w:spacing w:val="-2"/>
          <w:sz w:val="16"/>
        </w:rPr>
        <w:t xml:space="preserve"> </w:t>
      </w:r>
      <w:r>
        <w:rPr>
          <w:sz w:val="16"/>
        </w:rPr>
        <w:t>214.</w:t>
      </w:r>
      <w:r>
        <w:rPr>
          <w:spacing w:val="-2"/>
          <w:sz w:val="16"/>
        </w:rPr>
        <w:t xml:space="preserve"> </w:t>
      </w:r>
      <w:r>
        <w:rPr>
          <w:sz w:val="16"/>
        </w:rPr>
        <w:t>Canberra:</w:t>
      </w:r>
      <w:r>
        <w:rPr>
          <w:spacing w:val="-11"/>
          <w:sz w:val="16"/>
        </w:rPr>
        <w:t xml:space="preserve"> </w:t>
      </w:r>
      <w:r>
        <w:rPr>
          <w:sz w:val="16"/>
        </w:rPr>
        <w:t>AIHW.</w:t>
      </w:r>
    </w:p>
    <w:p w:rsidR="007A0A6C" w:rsidRDefault="00660E26">
      <w:pPr>
        <w:pStyle w:val="ListParagraph"/>
        <w:numPr>
          <w:ilvl w:val="0"/>
          <w:numId w:val="3"/>
        </w:numPr>
        <w:tabs>
          <w:tab w:val="left" w:pos="745"/>
        </w:tabs>
        <w:ind w:left="744" w:hanging="404"/>
        <w:rPr>
          <w:sz w:val="16"/>
        </w:rPr>
      </w:pPr>
      <w:r>
        <w:rPr>
          <w:sz w:val="16"/>
        </w:rPr>
        <w:t>Productivity Commission,</w:t>
      </w:r>
      <w:r>
        <w:rPr>
          <w:color w:val="215E9E"/>
          <w:sz w:val="16"/>
        </w:rPr>
        <w:t xml:space="preserve"> </w:t>
      </w:r>
      <w:r>
        <w:rPr>
          <w:color w:val="215E9E"/>
          <w:sz w:val="16"/>
          <w:u w:val="single" w:color="215E9E"/>
        </w:rPr>
        <w:t>Report on Government Services</w:t>
      </w:r>
      <w:r>
        <w:rPr>
          <w:color w:val="215E9E"/>
          <w:spacing w:val="-3"/>
          <w:sz w:val="16"/>
          <w:u w:val="single" w:color="215E9E"/>
        </w:rPr>
        <w:t xml:space="preserve"> </w:t>
      </w:r>
      <w:r>
        <w:rPr>
          <w:color w:val="215E9E"/>
          <w:sz w:val="16"/>
          <w:u w:val="single" w:color="215E9E"/>
        </w:rPr>
        <w:t>2019</w:t>
      </w:r>
    </w:p>
    <w:p w:rsidR="007A0A6C" w:rsidRDefault="00660E26">
      <w:pPr>
        <w:pStyle w:val="ListParagraph"/>
        <w:numPr>
          <w:ilvl w:val="0"/>
          <w:numId w:val="3"/>
        </w:numPr>
        <w:tabs>
          <w:tab w:val="left" w:pos="745"/>
        </w:tabs>
        <w:ind w:left="744" w:hanging="404"/>
        <w:rPr>
          <w:sz w:val="16"/>
        </w:rPr>
      </w:pPr>
      <w:r>
        <w:rPr>
          <w:sz w:val="16"/>
        </w:rPr>
        <w:t>National CRPD Survey (2019)</w:t>
      </w:r>
      <w:r>
        <w:rPr>
          <w:spacing w:val="-3"/>
          <w:sz w:val="16"/>
        </w:rPr>
        <w:t xml:space="preserve"> </w:t>
      </w:r>
      <w:r>
        <w:rPr>
          <w:sz w:val="16"/>
        </w:rPr>
        <w:t>Findings.</w:t>
      </w:r>
    </w:p>
    <w:p w:rsidR="007A0A6C" w:rsidRDefault="00660E26">
      <w:pPr>
        <w:pStyle w:val="ListParagraph"/>
        <w:numPr>
          <w:ilvl w:val="0"/>
          <w:numId w:val="3"/>
        </w:numPr>
        <w:tabs>
          <w:tab w:val="left" w:pos="745"/>
        </w:tabs>
        <w:ind w:left="744" w:hanging="404"/>
        <w:rPr>
          <w:sz w:val="16"/>
        </w:rPr>
      </w:pPr>
      <w:r>
        <w:rPr>
          <w:sz w:val="16"/>
        </w:rPr>
        <w:t>Productivity Commission,</w:t>
      </w:r>
      <w:r>
        <w:rPr>
          <w:color w:val="215E9E"/>
          <w:sz w:val="16"/>
        </w:rPr>
        <w:t xml:space="preserve"> </w:t>
      </w:r>
      <w:r>
        <w:rPr>
          <w:color w:val="215E9E"/>
          <w:sz w:val="16"/>
          <w:u w:val="single" w:color="215E9E"/>
        </w:rPr>
        <w:t>Report on Government Services</w:t>
      </w:r>
      <w:r>
        <w:rPr>
          <w:color w:val="215E9E"/>
          <w:spacing w:val="-3"/>
          <w:sz w:val="16"/>
          <w:u w:val="single" w:color="215E9E"/>
        </w:rPr>
        <w:t xml:space="preserve"> </w:t>
      </w:r>
      <w:r>
        <w:rPr>
          <w:color w:val="215E9E"/>
          <w:sz w:val="16"/>
          <w:u w:val="single" w:color="215E9E"/>
        </w:rPr>
        <w:t>2019</w:t>
      </w:r>
    </w:p>
    <w:p w:rsidR="007A0A6C" w:rsidRDefault="00660E26">
      <w:pPr>
        <w:pStyle w:val="ListParagraph"/>
        <w:numPr>
          <w:ilvl w:val="0"/>
          <w:numId w:val="3"/>
        </w:numPr>
        <w:tabs>
          <w:tab w:val="left" w:pos="745"/>
        </w:tabs>
        <w:ind w:left="744" w:hanging="404"/>
        <w:rPr>
          <w:sz w:val="16"/>
        </w:rPr>
      </w:pPr>
      <w:r>
        <w:rPr>
          <w:sz w:val="16"/>
        </w:rPr>
        <w:t>National CRPD Survey (2019)</w:t>
      </w:r>
      <w:r>
        <w:rPr>
          <w:spacing w:val="-3"/>
          <w:sz w:val="16"/>
        </w:rPr>
        <w:t xml:space="preserve"> </w:t>
      </w:r>
      <w:r>
        <w:rPr>
          <w:sz w:val="16"/>
        </w:rPr>
        <w:t>Findings.</w:t>
      </w:r>
    </w:p>
    <w:p w:rsidR="007A0A6C" w:rsidRDefault="00660E26">
      <w:pPr>
        <w:pStyle w:val="ListParagraph"/>
        <w:numPr>
          <w:ilvl w:val="0"/>
          <w:numId w:val="3"/>
        </w:numPr>
        <w:tabs>
          <w:tab w:val="left" w:pos="745"/>
        </w:tabs>
        <w:spacing w:line="261" w:lineRule="auto"/>
        <w:ind w:left="340" w:right="489" w:firstLine="0"/>
        <w:rPr>
          <w:sz w:val="16"/>
        </w:rPr>
      </w:pPr>
      <w:r>
        <w:rPr>
          <w:sz w:val="16"/>
        </w:rPr>
        <w:t xml:space="preserve">Reasons include lack of access to services, inaccessibility of public transport, lack of support from airline staff when flying, and international travel restrictions for those on the </w:t>
      </w:r>
      <w:r>
        <w:rPr>
          <w:spacing w:val="-6"/>
          <w:sz w:val="16"/>
        </w:rPr>
        <w:t xml:space="preserve">DSP. </w:t>
      </w:r>
      <w:r>
        <w:rPr>
          <w:sz w:val="16"/>
        </w:rPr>
        <w:t>National CRPD Survey (2019)</w:t>
      </w:r>
      <w:r>
        <w:rPr>
          <w:spacing w:val="2"/>
          <w:sz w:val="16"/>
        </w:rPr>
        <w:t xml:space="preserve"> </w:t>
      </w:r>
      <w:r>
        <w:rPr>
          <w:sz w:val="16"/>
        </w:rPr>
        <w:t>Findings.</w:t>
      </w:r>
    </w:p>
    <w:p w:rsidR="007A0A6C" w:rsidRDefault="00660E26">
      <w:pPr>
        <w:pStyle w:val="ListParagraph"/>
        <w:numPr>
          <w:ilvl w:val="0"/>
          <w:numId w:val="3"/>
        </w:numPr>
        <w:tabs>
          <w:tab w:val="left" w:pos="745"/>
        </w:tabs>
        <w:spacing w:before="99"/>
        <w:ind w:left="744" w:hanging="404"/>
        <w:rPr>
          <w:sz w:val="16"/>
        </w:rPr>
      </w:pPr>
      <w:r>
        <w:rPr>
          <w:sz w:val="16"/>
        </w:rPr>
        <w:t>National CRPD Survey (2019)</w:t>
      </w:r>
      <w:r>
        <w:rPr>
          <w:spacing w:val="-3"/>
          <w:sz w:val="16"/>
        </w:rPr>
        <w:t xml:space="preserve"> </w:t>
      </w:r>
      <w:r>
        <w:rPr>
          <w:sz w:val="16"/>
        </w:rPr>
        <w:t>Findings.</w:t>
      </w:r>
    </w:p>
    <w:p w:rsidR="007A0A6C" w:rsidRDefault="00660E26">
      <w:pPr>
        <w:pStyle w:val="ListParagraph"/>
        <w:numPr>
          <w:ilvl w:val="0"/>
          <w:numId w:val="3"/>
        </w:numPr>
        <w:tabs>
          <w:tab w:val="left" w:pos="736"/>
        </w:tabs>
        <w:spacing w:line="261" w:lineRule="auto"/>
        <w:ind w:left="340" w:right="645" w:firstLine="0"/>
        <w:rPr>
          <w:sz w:val="16"/>
        </w:rPr>
      </w:pPr>
      <w:r>
        <w:rPr>
          <w:sz w:val="16"/>
        </w:rPr>
        <w:t>Although</w:t>
      </w:r>
      <w:r>
        <w:rPr>
          <w:spacing w:val="-3"/>
          <w:sz w:val="16"/>
        </w:rPr>
        <w:t xml:space="preserve"> </w:t>
      </w:r>
      <w:r>
        <w:rPr>
          <w:sz w:val="16"/>
        </w:rPr>
        <w:t>the</w:t>
      </w:r>
      <w:r>
        <w:rPr>
          <w:spacing w:val="-11"/>
          <w:sz w:val="16"/>
        </w:rPr>
        <w:t xml:space="preserve"> </w:t>
      </w:r>
      <w:r>
        <w:rPr>
          <w:sz w:val="16"/>
        </w:rPr>
        <w:t>Australian</w:t>
      </w:r>
      <w:r>
        <w:rPr>
          <w:spacing w:val="-2"/>
          <w:sz w:val="16"/>
        </w:rPr>
        <w:t xml:space="preserve"> </w:t>
      </w:r>
      <w:r>
        <w:rPr>
          <w:sz w:val="16"/>
        </w:rPr>
        <w:t>Government</w:t>
      </w:r>
      <w:r>
        <w:rPr>
          <w:spacing w:val="-3"/>
          <w:sz w:val="16"/>
        </w:rPr>
        <w:t xml:space="preserve"> </w:t>
      </w:r>
      <w:r>
        <w:rPr>
          <w:sz w:val="16"/>
        </w:rPr>
        <w:t>has</w:t>
      </w:r>
      <w:r>
        <w:rPr>
          <w:spacing w:val="-3"/>
          <w:sz w:val="16"/>
        </w:rPr>
        <w:t xml:space="preserve"> </w:t>
      </w:r>
      <w:r>
        <w:rPr>
          <w:sz w:val="16"/>
        </w:rPr>
        <w:t>developed</w:t>
      </w:r>
      <w:r>
        <w:rPr>
          <w:spacing w:val="-4"/>
          <w:sz w:val="16"/>
        </w:rPr>
        <w:t xml:space="preserve"> </w:t>
      </w:r>
      <w:r>
        <w:rPr>
          <w:sz w:val="16"/>
        </w:rPr>
        <w:t>the</w:t>
      </w:r>
      <w:r>
        <w:rPr>
          <w:color w:val="215E9E"/>
          <w:spacing w:val="-3"/>
          <w:sz w:val="16"/>
        </w:rPr>
        <w:t xml:space="preserve"> </w:t>
      </w:r>
      <w:r>
        <w:rPr>
          <w:color w:val="215E9E"/>
          <w:sz w:val="16"/>
          <w:u w:val="single" w:color="215E9E"/>
        </w:rPr>
        <w:t>Digital</w:t>
      </w:r>
      <w:r>
        <w:rPr>
          <w:color w:val="215E9E"/>
          <w:spacing w:val="-4"/>
          <w:sz w:val="16"/>
          <w:u w:val="single" w:color="215E9E"/>
        </w:rPr>
        <w:t xml:space="preserve"> </w:t>
      </w:r>
      <w:r>
        <w:rPr>
          <w:color w:val="215E9E"/>
          <w:sz w:val="16"/>
          <w:u w:val="single" w:color="215E9E"/>
        </w:rPr>
        <w:t>Service</w:t>
      </w:r>
      <w:r>
        <w:rPr>
          <w:color w:val="215E9E"/>
          <w:spacing w:val="-2"/>
          <w:sz w:val="16"/>
          <w:u w:val="single" w:color="215E9E"/>
        </w:rPr>
        <w:t xml:space="preserve"> </w:t>
      </w:r>
      <w:r>
        <w:rPr>
          <w:color w:val="215E9E"/>
          <w:sz w:val="16"/>
          <w:u w:val="single" w:color="215E9E"/>
        </w:rPr>
        <w:t>Standard</w:t>
      </w:r>
      <w:r>
        <w:rPr>
          <w:sz w:val="16"/>
        </w:rPr>
        <w:t>,</w:t>
      </w:r>
      <w:r>
        <w:rPr>
          <w:spacing w:val="-3"/>
          <w:sz w:val="16"/>
        </w:rPr>
        <w:t xml:space="preserve"> </w:t>
      </w:r>
      <w:r>
        <w:rPr>
          <w:sz w:val="16"/>
        </w:rPr>
        <w:t>this</w:t>
      </w:r>
      <w:r>
        <w:rPr>
          <w:spacing w:val="-2"/>
          <w:sz w:val="16"/>
        </w:rPr>
        <w:t xml:space="preserve"> </w:t>
      </w:r>
      <w:r>
        <w:rPr>
          <w:sz w:val="16"/>
        </w:rPr>
        <w:t>is</w:t>
      </w:r>
      <w:r>
        <w:rPr>
          <w:spacing w:val="-4"/>
          <w:sz w:val="16"/>
        </w:rPr>
        <w:t xml:space="preserve"> </w:t>
      </w:r>
      <w:r>
        <w:rPr>
          <w:sz w:val="16"/>
        </w:rPr>
        <w:t>a</w:t>
      </w:r>
      <w:r>
        <w:rPr>
          <w:spacing w:val="-3"/>
          <w:sz w:val="16"/>
        </w:rPr>
        <w:t xml:space="preserve"> </w:t>
      </w:r>
      <w:r>
        <w:rPr>
          <w:sz w:val="16"/>
        </w:rPr>
        <w:t>set</w:t>
      </w:r>
      <w:r>
        <w:rPr>
          <w:spacing w:val="-3"/>
          <w:sz w:val="16"/>
        </w:rPr>
        <w:t xml:space="preserve"> </w:t>
      </w:r>
      <w:r>
        <w:rPr>
          <w:sz w:val="16"/>
        </w:rPr>
        <w:t>of</w:t>
      </w:r>
      <w:r>
        <w:rPr>
          <w:spacing w:val="-3"/>
          <w:sz w:val="16"/>
        </w:rPr>
        <w:t xml:space="preserve"> </w:t>
      </w:r>
      <w:r>
        <w:rPr>
          <w:sz w:val="16"/>
        </w:rPr>
        <w:t>best-practice</w:t>
      </w:r>
      <w:r>
        <w:rPr>
          <w:spacing w:val="-3"/>
          <w:sz w:val="16"/>
        </w:rPr>
        <w:t xml:space="preserve"> </w:t>
      </w:r>
      <w:r>
        <w:rPr>
          <w:sz w:val="16"/>
        </w:rPr>
        <w:t>principles</w:t>
      </w:r>
      <w:r>
        <w:rPr>
          <w:spacing w:val="-4"/>
          <w:sz w:val="16"/>
        </w:rPr>
        <w:t xml:space="preserve"> </w:t>
      </w:r>
      <w:r>
        <w:rPr>
          <w:sz w:val="16"/>
        </w:rPr>
        <w:t>for</w:t>
      </w:r>
      <w:r>
        <w:rPr>
          <w:spacing w:val="-2"/>
          <w:sz w:val="16"/>
        </w:rPr>
        <w:t xml:space="preserve"> </w:t>
      </w:r>
      <w:r>
        <w:rPr>
          <w:sz w:val="16"/>
        </w:rPr>
        <w:t>designing</w:t>
      </w:r>
      <w:r>
        <w:rPr>
          <w:spacing w:val="-4"/>
          <w:sz w:val="16"/>
        </w:rPr>
        <w:t xml:space="preserve"> </w:t>
      </w:r>
      <w:r>
        <w:rPr>
          <w:sz w:val="16"/>
        </w:rPr>
        <w:t>and delivering digital government services and does not apply to state, territory or local government</w:t>
      </w:r>
      <w:r>
        <w:rPr>
          <w:spacing w:val="-19"/>
          <w:sz w:val="16"/>
        </w:rPr>
        <w:t xml:space="preserve"> </w:t>
      </w:r>
      <w:r>
        <w:rPr>
          <w:sz w:val="16"/>
        </w:rPr>
        <w:t>services.</w:t>
      </w:r>
    </w:p>
    <w:p w:rsidR="007A0A6C" w:rsidRDefault="00660E26">
      <w:pPr>
        <w:pStyle w:val="ListParagraph"/>
        <w:numPr>
          <w:ilvl w:val="0"/>
          <w:numId w:val="3"/>
        </w:numPr>
        <w:tabs>
          <w:tab w:val="left" w:pos="745"/>
        </w:tabs>
        <w:spacing w:before="99" w:line="261" w:lineRule="auto"/>
        <w:ind w:left="340" w:right="328" w:firstLine="0"/>
        <w:rPr>
          <w:sz w:val="16"/>
        </w:rPr>
      </w:pPr>
      <w:r>
        <w:rPr>
          <w:sz w:val="16"/>
        </w:rPr>
        <w:t xml:space="preserve">For example, in addition to WCAG 2.0 adherence, web content should include Easy English, Large Print, Rich </w:t>
      </w:r>
      <w:r>
        <w:rPr>
          <w:spacing w:val="-5"/>
          <w:sz w:val="16"/>
        </w:rPr>
        <w:t xml:space="preserve">Text </w:t>
      </w:r>
      <w:r>
        <w:rPr>
          <w:sz w:val="16"/>
        </w:rPr>
        <w:t>Format, Auslan, audio and other community</w:t>
      </w:r>
      <w:r>
        <w:rPr>
          <w:spacing w:val="-2"/>
          <w:sz w:val="16"/>
        </w:rPr>
        <w:t xml:space="preserve"> </w:t>
      </w:r>
      <w:r>
        <w:rPr>
          <w:sz w:val="16"/>
        </w:rPr>
        <w:t>languages.</w:t>
      </w:r>
    </w:p>
    <w:p w:rsidR="007A0A6C" w:rsidRDefault="00660E26">
      <w:pPr>
        <w:pStyle w:val="ListParagraph"/>
        <w:numPr>
          <w:ilvl w:val="0"/>
          <w:numId w:val="3"/>
        </w:numPr>
        <w:tabs>
          <w:tab w:val="left" w:pos="745"/>
        </w:tabs>
        <w:spacing w:before="99"/>
        <w:ind w:left="744" w:hanging="404"/>
        <w:rPr>
          <w:sz w:val="16"/>
        </w:rPr>
      </w:pPr>
      <w:r>
        <w:rPr>
          <w:sz w:val="16"/>
        </w:rPr>
        <w:t>National CRPD Survey (2019)</w:t>
      </w:r>
      <w:r>
        <w:rPr>
          <w:spacing w:val="-3"/>
          <w:sz w:val="16"/>
        </w:rPr>
        <w:t xml:space="preserve"> </w:t>
      </w:r>
      <w:r>
        <w:rPr>
          <w:sz w:val="16"/>
        </w:rPr>
        <w:t>Findings.</w:t>
      </w:r>
    </w:p>
    <w:p w:rsidR="007A0A6C" w:rsidRDefault="00660E26">
      <w:pPr>
        <w:pStyle w:val="ListParagraph"/>
        <w:numPr>
          <w:ilvl w:val="0"/>
          <w:numId w:val="3"/>
        </w:numPr>
        <w:tabs>
          <w:tab w:val="left" w:pos="742"/>
        </w:tabs>
        <w:spacing w:line="261" w:lineRule="auto"/>
        <w:ind w:left="340" w:right="306" w:firstLine="0"/>
        <w:rPr>
          <w:sz w:val="16"/>
        </w:rPr>
      </w:pPr>
      <w:r>
        <w:rPr>
          <w:sz w:val="16"/>
        </w:rPr>
        <w:t>This happens in two main ways: a) the child is removed by child protection authorities and placed in foster or kinship care; and b) a Court, under</w:t>
      </w:r>
      <w:r>
        <w:rPr>
          <w:spacing w:val="-3"/>
          <w:sz w:val="16"/>
        </w:rPr>
        <w:t xml:space="preserve"> </w:t>
      </w:r>
      <w:r>
        <w:rPr>
          <w:sz w:val="16"/>
        </w:rPr>
        <w:t>the</w:t>
      </w:r>
      <w:r>
        <w:rPr>
          <w:spacing w:val="-2"/>
          <w:sz w:val="16"/>
        </w:rPr>
        <w:t xml:space="preserve"> </w:t>
      </w:r>
      <w:r>
        <w:rPr>
          <w:sz w:val="16"/>
        </w:rPr>
        <w:t>Family</w:t>
      </w:r>
      <w:r>
        <w:rPr>
          <w:spacing w:val="-2"/>
          <w:sz w:val="16"/>
        </w:rPr>
        <w:t xml:space="preserve"> </w:t>
      </w:r>
      <w:r>
        <w:rPr>
          <w:sz w:val="16"/>
        </w:rPr>
        <w:t>Law</w:t>
      </w:r>
      <w:r>
        <w:rPr>
          <w:spacing w:val="-11"/>
          <w:sz w:val="16"/>
        </w:rPr>
        <w:t xml:space="preserve"> </w:t>
      </w:r>
      <w:r>
        <w:rPr>
          <w:sz w:val="16"/>
        </w:rPr>
        <w:t>Act,</w:t>
      </w:r>
      <w:r>
        <w:rPr>
          <w:spacing w:val="-1"/>
          <w:sz w:val="16"/>
        </w:rPr>
        <w:t xml:space="preserve"> </w:t>
      </w:r>
      <w:r>
        <w:rPr>
          <w:sz w:val="16"/>
        </w:rPr>
        <w:t>may</w:t>
      </w:r>
      <w:r>
        <w:rPr>
          <w:spacing w:val="-2"/>
          <w:sz w:val="16"/>
        </w:rPr>
        <w:t xml:space="preserve"> </w:t>
      </w:r>
      <w:r>
        <w:rPr>
          <w:sz w:val="16"/>
        </w:rPr>
        <w:t>order</w:t>
      </w:r>
      <w:r>
        <w:rPr>
          <w:spacing w:val="-3"/>
          <w:sz w:val="16"/>
        </w:rPr>
        <w:t xml:space="preserve"> </w:t>
      </w:r>
      <w:r>
        <w:rPr>
          <w:sz w:val="16"/>
        </w:rPr>
        <w:t>that</w:t>
      </w:r>
      <w:r>
        <w:rPr>
          <w:spacing w:val="-2"/>
          <w:sz w:val="16"/>
        </w:rPr>
        <w:t xml:space="preserve"> </w:t>
      </w:r>
      <w:r>
        <w:rPr>
          <w:sz w:val="16"/>
        </w:rPr>
        <w:t>a</w:t>
      </w:r>
      <w:r>
        <w:rPr>
          <w:spacing w:val="-3"/>
          <w:sz w:val="16"/>
        </w:rPr>
        <w:t xml:space="preserve"> </w:t>
      </w:r>
      <w:r>
        <w:rPr>
          <w:sz w:val="16"/>
        </w:rPr>
        <w:t>child</w:t>
      </w:r>
      <w:r>
        <w:rPr>
          <w:spacing w:val="-2"/>
          <w:sz w:val="16"/>
        </w:rPr>
        <w:t xml:space="preserve"> </w:t>
      </w:r>
      <w:r>
        <w:rPr>
          <w:sz w:val="16"/>
        </w:rPr>
        <w:t>be</w:t>
      </w:r>
      <w:r>
        <w:rPr>
          <w:spacing w:val="-2"/>
          <w:sz w:val="16"/>
        </w:rPr>
        <w:t xml:space="preserve"> </w:t>
      </w:r>
      <w:r>
        <w:rPr>
          <w:sz w:val="16"/>
        </w:rPr>
        <w:t>raised</w:t>
      </w:r>
      <w:r>
        <w:rPr>
          <w:spacing w:val="-2"/>
          <w:sz w:val="16"/>
        </w:rPr>
        <w:t xml:space="preserve"> </w:t>
      </w:r>
      <w:r>
        <w:rPr>
          <w:sz w:val="16"/>
        </w:rPr>
        <w:t>by</w:t>
      </w:r>
      <w:r>
        <w:rPr>
          <w:spacing w:val="-3"/>
          <w:sz w:val="16"/>
        </w:rPr>
        <w:t xml:space="preserve"> </w:t>
      </w:r>
      <w:r>
        <w:rPr>
          <w:sz w:val="16"/>
        </w:rPr>
        <w:t>the</w:t>
      </w:r>
      <w:r>
        <w:rPr>
          <w:spacing w:val="-2"/>
          <w:sz w:val="16"/>
        </w:rPr>
        <w:t xml:space="preserve"> </w:t>
      </w:r>
      <w:r>
        <w:rPr>
          <w:sz w:val="16"/>
        </w:rPr>
        <w:t>other</w:t>
      </w:r>
      <w:r>
        <w:rPr>
          <w:spacing w:val="-3"/>
          <w:sz w:val="16"/>
        </w:rPr>
        <w:t xml:space="preserve"> </w:t>
      </w:r>
      <w:r>
        <w:rPr>
          <w:sz w:val="16"/>
        </w:rPr>
        <w:t>parent</w:t>
      </w:r>
      <w:r>
        <w:rPr>
          <w:spacing w:val="-3"/>
          <w:sz w:val="16"/>
        </w:rPr>
        <w:t xml:space="preserve"> </w:t>
      </w:r>
      <w:r>
        <w:rPr>
          <w:sz w:val="16"/>
        </w:rPr>
        <w:t>who</w:t>
      </w:r>
      <w:r>
        <w:rPr>
          <w:spacing w:val="-2"/>
          <w:sz w:val="16"/>
        </w:rPr>
        <w:t xml:space="preserve"> </w:t>
      </w:r>
      <w:r>
        <w:rPr>
          <w:sz w:val="16"/>
        </w:rPr>
        <w:t>does</w:t>
      </w:r>
      <w:r>
        <w:rPr>
          <w:spacing w:val="-3"/>
          <w:sz w:val="16"/>
        </w:rPr>
        <w:t xml:space="preserve"> </w:t>
      </w:r>
      <w:r>
        <w:rPr>
          <w:sz w:val="16"/>
        </w:rPr>
        <w:t>not</w:t>
      </w:r>
      <w:r>
        <w:rPr>
          <w:spacing w:val="-3"/>
          <w:sz w:val="16"/>
        </w:rPr>
        <w:t xml:space="preserve"> </w:t>
      </w:r>
      <w:r>
        <w:rPr>
          <w:sz w:val="16"/>
        </w:rPr>
        <w:t>have</w:t>
      </w:r>
      <w:r>
        <w:rPr>
          <w:spacing w:val="-3"/>
          <w:sz w:val="16"/>
        </w:rPr>
        <w:t xml:space="preserve"> </w:t>
      </w:r>
      <w:r>
        <w:rPr>
          <w:sz w:val="16"/>
        </w:rPr>
        <w:t>a</w:t>
      </w:r>
      <w:r>
        <w:rPr>
          <w:spacing w:val="-3"/>
          <w:sz w:val="16"/>
        </w:rPr>
        <w:t xml:space="preserve"> </w:t>
      </w:r>
      <w:r>
        <w:rPr>
          <w:sz w:val="16"/>
        </w:rPr>
        <w:t>disability</w:t>
      </w:r>
      <w:r>
        <w:rPr>
          <w:spacing w:val="-2"/>
          <w:sz w:val="16"/>
        </w:rPr>
        <w:t xml:space="preserve"> </w:t>
      </w:r>
      <w:r>
        <w:rPr>
          <w:sz w:val="16"/>
        </w:rPr>
        <w:t>or</w:t>
      </w:r>
      <w:r>
        <w:rPr>
          <w:spacing w:val="-3"/>
          <w:sz w:val="16"/>
        </w:rPr>
        <w:t xml:space="preserve"> </w:t>
      </w:r>
      <w:r>
        <w:rPr>
          <w:sz w:val="16"/>
        </w:rPr>
        <w:t>by</w:t>
      </w:r>
      <w:r>
        <w:rPr>
          <w:spacing w:val="-3"/>
          <w:sz w:val="16"/>
        </w:rPr>
        <w:t xml:space="preserve"> </w:t>
      </w:r>
      <w:r>
        <w:rPr>
          <w:sz w:val="16"/>
        </w:rPr>
        <w:t>members</w:t>
      </w:r>
      <w:r>
        <w:rPr>
          <w:spacing w:val="-2"/>
          <w:sz w:val="16"/>
        </w:rPr>
        <w:t xml:space="preserve"> </w:t>
      </w:r>
      <w:r>
        <w:rPr>
          <w:sz w:val="16"/>
        </w:rPr>
        <w:t>of</w:t>
      </w:r>
      <w:r>
        <w:rPr>
          <w:spacing w:val="-3"/>
          <w:sz w:val="16"/>
        </w:rPr>
        <w:t xml:space="preserve"> </w:t>
      </w:r>
      <w:r>
        <w:rPr>
          <w:sz w:val="16"/>
        </w:rPr>
        <w:t>the</w:t>
      </w:r>
      <w:r>
        <w:rPr>
          <w:spacing w:val="-2"/>
          <w:sz w:val="16"/>
        </w:rPr>
        <w:t xml:space="preserve"> </w:t>
      </w:r>
      <w:r>
        <w:rPr>
          <w:sz w:val="16"/>
        </w:rPr>
        <w:t>child’s</w:t>
      </w:r>
      <w:r>
        <w:rPr>
          <w:spacing w:val="-1"/>
          <w:sz w:val="16"/>
        </w:rPr>
        <w:t xml:space="preserve"> </w:t>
      </w:r>
      <w:r>
        <w:rPr>
          <w:sz w:val="16"/>
        </w:rPr>
        <w:t>extended family.</w:t>
      </w:r>
      <w:r>
        <w:rPr>
          <w:spacing w:val="-2"/>
          <w:sz w:val="16"/>
        </w:rPr>
        <w:t xml:space="preserve"> </w:t>
      </w:r>
      <w:r>
        <w:rPr>
          <w:sz w:val="16"/>
        </w:rPr>
        <w:t>See:</w:t>
      </w:r>
      <w:r>
        <w:rPr>
          <w:spacing w:val="-2"/>
          <w:sz w:val="16"/>
        </w:rPr>
        <w:t xml:space="preserve"> </w:t>
      </w:r>
      <w:r>
        <w:rPr>
          <w:sz w:val="16"/>
        </w:rPr>
        <w:t>Victorian</w:t>
      </w:r>
      <w:r>
        <w:rPr>
          <w:spacing w:val="-3"/>
          <w:sz w:val="16"/>
        </w:rPr>
        <w:t xml:space="preserve"> </w:t>
      </w:r>
      <w:r>
        <w:rPr>
          <w:sz w:val="16"/>
        </w:rPr>
        <w:t>Office</w:t>
      </w:r>
      <w:r>
        <w:rPr>
          <w:spacing w:val="-1"/>
          <w:sz w:val="16"/>
        </w:rPr>
        <w:t xml:space="preserve"> </w:t>
      </w:r>
      <w:r>
        <w:rPr>
          <w:sz w:val="16"/>
        </w:rPr>
        <w:t>of</w:t>
      </w:r>
      <w:r>
        <w:rPr>
          <w:spacing w:val="-3"/>
          <w:sz w:val="16"/>
        </w:rPr>
        <w:t xml:space="preserve"> </w:t>
      </w:r>
      <w:r>
        <w:rPr>
          <w:sz w:val="16"/>
        </w:rPr>
        <w:t>the</w:t>
      </w:r>
      <w:r>
        <w:rPr>
          <w:spacing w:val="-2"/>
          <w:sz w:val="16"/>
        </w:rPr>
        <w:t xml:space="preserve"> </w:t>
      </w:r>
      <w:r>
        <w:rPr>
          <w:sz w:val="16"/>
        </w:rPr>
        <w:t>Public</w:t>
      </w:r>
      <w:r>
        <w:rPr>
          <w:spacing w:val="-10"/>
          <w:sz w:val="16"/>
        </w:rPr>
        <w:t xml:space="preserve"> </w:t>
      </w:r>
      <w:r>
        <w:rPr>
          <w:sz w:val="16"/>
        </w:rPr>
        <w:t>Advocate</w:t>
      </w:r>
      <w:r>
        <w:rPr>
          <w:spacing w:val="-2"/>
          <w:sz w:val="16"/>
        </w:rPr>
        <w:t xml:space="preserve"> </w:t>
      </w:r>
      <w:r>
        <w:rPr>
          <w:spacing w:val="-3"/>
          <w:sz w:val="16"/>
        </w:rPr>
        <w:t>(OPA)</w:t>
      </w:r>
      <w:r>
        <w:rPr>
          <w:spacing w:val="-1"/>
          <w:sz w:val="16"/>
        </w:rPr>
        <w:t xml:space="preserve"> </w:t>
      </w:r>
      <w:r>
        <w:rPr>
          <w:sz w:val="16"/>
        </w:rPr>
        <w:t>(2012)</w:t>
      </w:r>
      <w:r>
        <w:rPr>
          <w:color w:val="215E9E"/>
          <w:spacing w:val="-3"/>
          <w:sz w:val="16"/>
        </w:rPr>
        <w:t xml:space="preserve"> </w:t>
      </w:r>
      <w:r>
        <w:rPr>
          <w:color w:val="215E9E"/>
          <w:spacing w:val="-4"/>
          <w:sz w:val="16"/>
          <w:u w:val="single" w:color="215E9E"/>
        </w:rPr>
        <w:t>OPA</w:t>
      </w:r>
      <w:r>
        <w:rPr>
          <w:color w:val="215E9E"/>
          <w:spacing w:val="-10"/>
          <w:sz w:val="16"/>
          <w:u w:val="single" w:color="215E9E"/>
        </w:rPr>
        <w:t xml:space="preserve"> </w:t>
      </w:r>
      <w:r>
        <w:rPr>
          <w:color w:val="215E9E"/>
          <w:sz w:val="16"/>
          <w:u w:val="single" w:color="215E9E"/>
        </w:rPr>
        <w:t>Position</w:t>
      </w:r>
      <w:r>
        <w:rPr>
          <w:color w:val="215E9E"/>
          <w:spacing w:val="-2"/>
          <w:sz w:val="16"/>
          <w:u w:val="single" w:color="215E9E"/>
        </w:rPr>
        <w:t xml:space="preserve"> </w:t>
      </w:r>
      <w:r>
        <w:rPr>
          <w:color w:val="215E9E"/>
          <w:sz w:val="16"/>
          <w:u w:val="single" w:color="215E9E"/>
        </w:rPr>
        <w:t>Statement:</w:t>
      </w:r>
      <w:r>
        <w:rPr>
          <w:color w:val="215E9E"/>
          <w:spacing w:val="-5"/>
          <w:sz w:val="16"/>
          <w:u w:val="single" w:color="215E9E"/>
        </w:rPr>
        <w:t xml:space="preserve"> </w:t>
      </w:r>
      <w:r>
        <w:rPr>
          <w:color w:val="215E9E"/>
          <w:sz w:val="16"/>
          <w:u w:val="single" w:color="215E9E"/>
        </w:rPr>
        <w:t>The</w:t>
      </w:r>
      <w:r>
        <w:rPr>
          <w:color w:val="215E9E"/>
          <w:spacing w:val="-1"/>
          <w:sz w:val="16"/>
          <w:u w:val="single" w:color="215E9E"/>
        </w:rPr>
        <w:t xml:space="preserve"> </w:t>
      </w:r>
      <w:r>
        <w:rPr>
          <w:color w:val="215E9E"/>
          <w:sz w:val="16"/>
          <w:u w:val="single" w:color="215E9E"/>
        </w:rPr>
        <w:t>removal</w:t>
      </w:r>
      <w:r>
        <w:rPr>
          <w:color w:val="215E9E"/>
          <w:spacing w:val="-2"/>
          <w:sz w:val="16"/>
          <w:u w:val="single" w:color="215E9E"/>
        </w:rPr>
        <w:t xml:space="preserve"> </w:t>
      </w:r>
      <w:r>
        <w:rPr>
          <w:color w:val="215E9E"/>
          <w:sz w:val="16"/>
          <w:u w:val="single" w:color="215E9E"/>
        </w:rPr>
        <w:t>of</w:t>
      </w:r>
      <w:r>
        <w:rPr>
          <w:color w:val="215E9E"/>
          <w:spacing w:val="-3"/>
          <w:sz w:val="16"/>
          <w:u w:val="single" w:color="215E9E"/>
        </w:rPr>
        <w:t xml:space="preserve"> </w:t>
      </w:r>
      <w:r>
        <w:rPr>
          <w:color w:val="215E9E"/>
          <w:sz w:val="16"/>
          <w:u w:val="single" w:color="215E9E"/>
        </w:rPr>
        <w:t>children</w:t>
      </w:r>
      <w:r>
        <w:rPr>
          <w:color w:val="215E9E"/>
          <w:spacing w:val="-1"/>
          <w:sz w:val="16"/>
          <w:u w:val="single" w:color="215E9E"/>
        </w:rPr>
        <w:t xml:space="preserve"> </w:t>
      </w:r>
      <w:r>
        <w:rPr>
          <w:color w:val="215E9E"/>
          <w:sz w:val="16"/>
          <w:u w:val="single" w:color="215E9E"/>
        </w:rPr>
        <w:t>from</w:t>
      </w:r>
      <w:r>
        <w:rPr>
          <w:color w:val="215E9E"/>
          <w:spacing w:val="-2"/>
          <w:sz w:val="16"/>
          <w:u w:val="single" w:color="215E9E"/>
        </w:rPr>
        <w:t xml:space="preserve"> </w:t>
      </w:r>
      <w:r>
        <w:rPr>
          <w:color w:val="215E9E"/>
          <w:sz w:val="16"/>
          <w:u w:val="single" w:color="215E9E"/>
        </w:rPr>
        <w:t>their</w:t>
      </w:r>
      <w:r>
        <w:rPr>
          <w:color w:val="215E9E"/>
          <w:spacing w:val="-2"/>
          <w:sz w:val="16"/>
          <w:u w:val="single" w:color="215E9E"/>
        </w:rPr>
        <w:t xml:space="preserve"> </w:t>
      </w:r>
      <w:r>
        <w:rPr>
          <w:color w:val="215E9E"/>
          <w:sz w:val="16"/>
          <w:u w:val="single" w:color="215E9E"/>
        </w:rPr>
        <w:t>parent</w:t>
      </w:r>
      <w:r>
        <w:rPr>
          <w:color w:val="215E9E"/>
          <w:spacing w:val="-2"/>
          <w:sz w:val="16"/>
          <w:u w:val="single" w:color="215E9E"/>
        </w:rPr>
        <w:t xml:space="preserve"> </w:t>
      </w:r>
      <w:r>
        <w:rPr>
          <w:color w:val="215E9E"/>
          <w:sz w:val="16"/>
          <w:u w:val="single" w:color="215E9E"/>
        </w:rPr>
        <w:t>with</w:t>
      </w:r>
      <w:r>
        <w:rPr>
          <w:color w:val="215E9E"/>
          <w:spacing w:val="-3"/>
          <w:sz w:val="16"/>
          <w:u w:val="single" w:color="215E9E"/>
        </w:rPr>
        <w:t xml:space="preserve"> </w:t>
      </w:r>
      <w:r>
        <w:rPr>
          <w:color w:val="215E9E"/>
          <w:sz w:val="16"/>
          <w:u w:val="single" w:color="215E9E"/>
        </w:rPr>
        <w:t>a</w:t>
      </w:r>
      <w:r>
        <w:rPr>
          <w:color w:val="215E9E"/>
          <w:spacing w:val="-3"/>
          <w:sz w:val="16"/>
          <w:u w:val="single" w:color="215E9E"/>
        </w:rPr>
        <w:t xml:space="preserve"> </w:t>
      </w:r>
      <w:r>
        <w:rPr>
          <w:color w:val="215E9E"/>
          <w:sz w:val="16"/>
          <w:u w:val="single" w:color="215E9E"/>
        </w:rPr>
        <w:t>disability</w:t>
      </w:r>
    </w:p>
    <w:p w:rsidR="007A0A6C" w:rsidRDefault="00660E26">
      <w:pPr>
        <w:pStyle w:val="ListParagraph"/>
        <w:numPr>
          <w:ilvl w:val="0"/>
          <w:numId w:val="3"/>
        </w:numPr>
        <w:tabs>
          <w:tab w:val="left" w:pos="745"/>
        </w:tabs>
        <w:spacing w:before="99" w:line="261" w:lineRule="auto"/>
        <w:ind w:left="340" w:right="580" w:firstLine="0"/>
        <w:rPr>
          <w:sz w:val="16"/>
        </w:rPr>
      </w:pPr>
      <w:r>
        <w:rPr>
          <w:sz w:val="16"/>
        </w:rPr>
        <w:t>For eg: Approximately one in six children in alternative or out of home care has a parent with disability. See:</w:t>
      </w:r>
      <w:r>
        <w:rPr>
          <w:color w:val="215E9E"/>
          <w:sz w:val="16"/>
        </w:rPr>
        <w:t xml:space="preserve"> </w:t>
      </w:r>
      <w:r>
        <w:rPr>
          <w:color w:val="215E9E"/>
          <w:sz w:val="16"/>
          <w:u w:val="single" w:color="215E9E"/>
        </w:rPr>
        <w:t>Australian NGO Coalition Submission to the United Nations Committee on Economic, Social and Cultural Rights</w:t>
      </w:r>
      <w:r>
        <w:rPr>
          <w:color w:val="215E9E"/>
          <w:sz w:val="16"/>
        </w:rPr>
        <w:t xml:space="preserve"> </w:t>
      </w:r>
      <w:r>
        <w:rPr>
          <w:sz w:val="16"/>
        </w:rPr>
        <w:t>(May 2017). In addition, in some jurisdictions engaging in sexual relations with a person with intellectual is a criminal offence (eg s 216 Criminal Code</w:t>
      </w:r>
      <w:r>
        <w:rPr>
          <w:spacing w:val="-17"/>
          <w:sz w:val="16"/>
        </w:rPr>
        <w:t xml:space="preserve"> </w:t>
      </w:r>
      <w:r>
        <w:rPr>
          <w:sz w:val="16"/>
        </w:rPr>
        <w:t>(Qld)).</w:t>
      </w:r>
    </w:p>
    <w:p w:rsidR="007A0A6C" w:rsidRDefault="00660E26">
      <w:pPr>
        <w:pStyle w:val="ListParagraph"/>
        <w:numPr>
          <w:ilvl w:val="0"/>
          <w:numId w:val="3"/>
        </w:numPr>
        <w:tabs>
          <w:tab w:val="left" w:pos="742"/>
        </w:tabs>
        <w:spacing w:before="98" w:line="261" w:lineRule="auto"/>
        <w:ind w:left="340" w:right="427" w:firstLine="0"/>
        <w:rPr>
          <w:sz w:val="16"/>
        </w:rPr>
      </w:pPr>
      <w:r>
        <w:rPr>
          <w:color w:val="220C0D"/>
          <w:sz w:val="16"/>
        </w:rPr>
        <w:t xml:space="preserve">The Australian Council of Human Rights Authorities (ACHRA), comprises the State, </w:t>
      </w:r>
      <w:r>
        <w:rPr>
          <w:color w:val="220C0D"/>
          <w:spacing w:val="-3"/>
          <w:sz w:val="16"/>
        </w:rPr>
        <w:t xml:space="preserve">Territory </w:t>
      </w:r>
      <w:r>
        <w:rPr>
          <w:color w:val="220C0D"/>
          <w:sz w:val="16"/>
        </w:rPr>
        <w:t>and Federal human rights and discrimination authorities. Over 6 years ago, ACHRA identified discrimination against ‘potential and actual parents with disability’ as one of three most urgent and pressing human rights issues in Australia today. The Communiqué from the ACHRA 2013 annual meeting stated: “Finally, having regard to evidence:</w:t>
      </w:r>
      <w:r>
        <w:rPr>
          <w:color w:val="220C0D"/>
          <w:spacing w:val="-5"/>
          <w:sz w:val="16"/>
        </w:rPr>
        <w:t xml:space="preserve"> </w:t>
      </w:r>
      <w:r>
        <w:rPr>
          <w:color w:val="220C0D"/>
          <w:sz w:val="16"/>
        </w:rPr>
        <w:t>(a)</w:t>
      </w:r>
      <w:r>
        <w:rPr>
          <w:color w:val="220C0D"/>
          <w:spacing w:val="-3"/>
          <w:sz w:val="16"/>
        </w:rPr>
        <w:t xml:space="preserve"> </w:t>
      </w:r>
      <w:r>
        <w:rPr>
          <w:color w:val="220C0D"/>
          <w:sz w:val="16"/>
        </w:rPr>
        <w:t>that</w:t>
      </w:r>
      <w:r>
        <w:rPr>
          <w:color w:val="220C0D"/>
          <w:spacing w:val="-3"/>
          <w:sz w:val="16"/>
        </w:rPr>
        <w:t xml:space="preserve"> </w:t>
      </w:r>
      <w:r>
        <w:rPr>
          <w:color w:val="220C0D"/>
          <w:sz w:val="16"/>
        </w:rPr>
        <w:t>parents</w:t>
      </w:r>
      <w:r>
        <w:rPr>
          <w:color w:val="220C0D"/>
          <w:spacing w:val="-4"/>
          <w:sz w:val="16"/>
        </w:rPr>
        <w:t xml:space="preserve"> </w:t>
      </w:r>
      <w:r>
        <w:rPr>
          <w:color w:val="220C0D"/>
          <w:sz w:val="16"/>
        </w:rPr>
        <w:t>with</w:t>
      </w:r>
      <w:r>
        <w:rPr>
          <w:color w:val="220C0D"/>
          <w:spacing w:val="-4"/>
          <w:sz w:val="16"/>
        </w:rPr>
        <w:t xml:space="preserve"> </w:t>
      </w:r>
      <w:r>
        <w:rPr>
          <w:color w:val="220C0D"/>
          <w:sz w:val="16"/>
        </w:rPr>
        <w:t>disability</w:t>
      </w:r>
      <w:r>
        <w:rPr>
          <w:color w:val="220C0D"/>
          <w:spacing w:val="-4"/>
          <w:sz w:val="16"/>
        </w:rPr>
        <w:t xml:space="preserve"> </w:t>
      </w:r>
      <w:r>
        <w:rPr>
          <w:color w:val="220C0D"/>
          <w:sz w:val="16"/>
        </w:rPr>
        <w:t>are</w:t>
      </w:r>
      <w:r>
        <w:rPr>
          <w:color w:val="220C0D"/>
          <w:spacing w:val="-4"/>
          <w:sz w:val="16"/>
        </w:rPr>
        <w:t xml:space="preserve"> </w:t>
      </w:r>
      <w:r>
        <w:rPr>
          <w:color w:val="220C0D"/>
          <w:sz w:val="16"/>
        </w:rPr>
        <w:t>significantly</w:t>
      </w:r>
      <w:r>
        <w:rPr>
          <w:color w:val="220C0D"/>
          <w:spacing w:val="-3"/>
          <w:sz w:val="16"/>
        </w:rPr>
        <w:t xml:space="preserve"> </w:t>
      </w:r>
      <w:r>
        <w:rPr>
          <w:color w:val="220C0D"/>
          <w:sz w:val="16"/>
        </w:rPr>
        <w:t>overrepresented</w:t>
      </w:r>
      <w:r>
        <w:rPr>
          <w:color w:val="220C0D"/>
          <w:spacing w:val="-4"/>
          <w:sz w:val="16"/>
        </w:rPr>
        <w:t xml:space="preserve"> </w:t>
      </w:r>
      <w:r>
        <w:rPr>
          <w:color w:val="220C0D"/>
          <w:sz w:val="16"/>
        </w:rPr>
        <w:t>in</w:t>
      </w:r>
      <w:r>
        <w:rPr>
          <w:color w:val="220C0D"/>
          <w:spacing w:val="-4"/>
          <w:sz w:val="16"/>
        </w:rPr>
        <w:t xml:space="preserve"> </w:t>
      </w:r>
      <w:r>
        <w:rPr>
          <w:color w:val="220C0D"/>
          <w:sz w:val="16"/>
        </w:rPr>
        <w:t>child</w:t>
      </w:r>
      <w:r>
        <w:rPr>
          <w:color w:val="220C0D"/>
          <w:spacing w:val="-4"/>
          <w:sz w:val="16"/>
        </w:rPr>
        <w:t xml:space="preserve"> </w:t>
      </w:r>
      <w:r>
        <w:rPr>
          <w:color w:val="220C0D"/>
          <w:sz w:val="16"/>
        </w:rPr>
        <w:t>protection</w:t>
      </w:r>
      <w:r>
        <w:rPr>
          <w:color w:val="220C0D"/>
          <w:spacing w:val="-4"/>
          <w:sz w:val="16"/>
        </w:rPr>
        <w:t xml:space="preserve"> </w:t>
      </w:r>
      <w:r>
        <w:rPr>
          <w:color w:val="220C0D"/>
          <w:sz w:val="16"/>
        </w:rPr>
        <w:t>systems</w:t>
      </w:r>
      <w:r>
        <w:rPr>
          <w:color w:val="220C0D"/>
          <w:spacing w:val="-3"/>
          <w:sz w:val="16"/>
        </w:rPr>
        <w:t xml:space="preserve"> </w:t>
      </w:r>
      <w:r>
        <w:rPr>
          <w:color w:val="220C0D"/>
          <w:sz w:val="16"/>
        </w:rPr>
        <w:t>in</w:t>
      </w:r>
      <w:r>
        <w:rPr>
          <w:color w:val="220C0D"/>
          <w:spacing w:val="-9"/>
          <w:sz w:val="16"/>
        </w:rPr>
        <w:t xml:space="preserve"> </w:t>
      </w:r>
      <w:r>
        <w:rPr>
          <w:color w:val="220C0D"/>
          <w:sz w:val="16"/>
        </w:rPr>
        <w:t>Australia</w:t>
      </w:r>
      <w:r>
        <w:rPr>
          <w:color w:val="220C0D"/>
          <w:spacing w:val="-4"/>
          <w:sz w:val="16"/>
        </w:rPr>
        <w:t xml:space="preserve"> </w:t>
      </w:r>
      <w:r>
        <w:rPr>
          <w:color w:val="220C0D"/>
          <w:sz w:val="16"/>
        </w:rPr>
        <w:t>despite</w:t>
      </w:r>
      <w:r>
        <w:rPr>
          <w:color w:val="220C0D"/>
          <w:spacing w:val="-4"/>
          <w:sz w:val="16"/>
        </w:rPr>
        <w:t xml:space="preserve"> </w:t>
      </w:r>
      <w:r>
        <w:rPr>
          <w:color w:val="220C0D"/>
          <w:sz w:val="16"/>
        </w:rPr>
        <w:t>having</w:t>
      </w:r>
      <w:r>
        <w:rPr>
          <w:color w:val="220C0D"/>
          <w:spacing w:val="-4"/>
          <w:sz w:val="16"/>
        </w:rPr>
        <w:t xml:space="preserve"> </w:t>
      </w:r>
      <w:r>
        <w:rPr>
          <w:color w:val="220C0D"/>
          <w:sz w:val="16"/>
        </w:rPr>
        <w:t>the</w:t>
      </w:r>
      <w:r>
        <w:rPr>
          <w:color w:val="220C0D"/>
          <w:spacing w:val="-3"/>
          <w:sz w:val="16"/>
        </w:rPr>
        <w:t xml:space="preserve"> </w:t>
      </w:r>
      <w:r>
        <w:rPr>
          <w:color w:val="220C0D"/>
          <w:sz w:val="16"/>
        </w:rPr>
        <w:t>same</w:t>
      </w:r>
      <w:r>
        <w:rPr>
          <w:color w:val="220C0D"/>
          <w:spacing w:val="-3"/>
          <w:sz w:val="16"/>
        </w:rPr>
        <w:t xml:space="preserve"> </w:t>
      </w:r>
      <w:r>
        <w:rPr>
          <w:color w:val="220C0D"/>
          <w:sz w:val="16"/>
        </w:rPr>
        <w:t>capacity to</w:t>
      </w:r>
      <w:r>
        <w:rPr>
          <w:color w:val="220C0D"/>
          <w:spacing w:val="-2"/>
          <w:sz w:val="16"/>
        </w:rPr>
        <w:t xml:space="preserve"> </w:t>
      </w:r>
      <w:r>
        <w:rPr>
          <w:color w:val="220C0D"/>
          <w:sz w:val="16"/>
        </w:rPr>
        <w:t>be</w:t>
      </w:r>
      <w:r>
        <w:rPr>
          <w:color w:val="220C0D"/>
          <w:spacing w:val="-3"/>
          <w:sz w:val="16"/>
        </w:rPr>
        <w:t xml:space="preserve"> </w:t>
      </w:r>
      <w:r>
        <w:rPr>
          <w:color w:val="220C0D"/>
          <w:sz w:val="16"/>
        </w:rPr>
        <w:t>effective</w:t>
      </w:r>
      <w:r>
        <w:rPr>
          <w:color w:val="220C0D"/>
          <w:spacing w:val="-2"/>
          <w:sz w:val="16"/>
        </w:rPr>
        <w:t xml:space="preserve"> </w:t>
      </w:r>
      <w:r>
        <w:rPr>
          <w:color w:val="220C0D"/>
          <w:sz w:val="16"/>
        </w:rPr>
        <w:t>parents;</w:t>
      </w:r>
      <w:r>
        <w:rPr>
          <w:color w:val="220C0D"/>
          <w:spacing w:val="-3"/>
          <w:sz w:val="16"/>
        </w:rPr>
        <w:t xml:space="preserve"> </w:t>
      </w:r>
      <w:r>
        <w:rPr>
          <w:color w:val="220C0D"/>
          <w:sz w:val="16"/>
        </w:rPr>
        <w:t>(b)</w:t>
      </w:r>
      <w:r>
        <w:rPr>
          <w:color w:val="220C0D"/>
          <w:spacing w:val="-2"/>
          <w:sz w:val="16"/>
        </w:rPr>
        <w:t xml:space="preserve"> </w:t>
      </w:r>
      <w:r>
        <w:rPr>
          <w:color w:val="220C0D"/>
          <w:sz w:val="16"/>
        </w:rPr>
        <w:t>that</w:t>
      </w:r>
      <w:r>
        <w:rPr>
          <w:color w:val="220C0D"/>
          <w:spacing w:val="-2"/>
          <w:sz w:val="16"/>
        </w:rPr>
        <w:t xml:space="preserve"> </w:t>
      </w:r>
      <w:r>
        <w:rPr>
          <w:color w:val="220C0D"/>
          <w:sz w:val="16"/>
        </w:rPr>
        <w:t>there</w:t>
      </w:r>
      <w:r>
        <w:rPr>
          <w:color w:val="220C0D"/>
          <w:spacing w:val="-2"/>
          <w:sz w:val="16"/>
        </w:rPr>
        <w:t xml:space="preserve"> </w:t>
      </w:r>
      <w:r>
        <w:rPr>
          <w:color w:val="220C0D"/>
          <w:sz w:val="16"/>
        </w:rPr>
        <w:t>is</w:t>
      </w:r>
      <w:r>
        <w:rPr>
          <w:color w:val="220C0D"/>
          <w:spacing w:val="-3"/>
          <w:sz w:val="16"/>
        </w:rPr>
        <w:t xml:space="preserve"> </w:t>
      </w:r>
      <w:r>
        <w:rPr>
          <w:color w:val="220C0D"/>
          <w:sz w:val="16"/>
        </w:rPr>
        <w:t>a</w:t>
      </w:r>
      <w:r>
        <w:rPr>
          <w:color w:val="220C0D"/>
          <w:spacing w:val="-3"/>
          <w:sz w:val="16"/>
        </w:rPr>
        <w:t xml:space="preserve"> </w:t>
      </w:r>
      <w:r>
        <w:rPr>
          <w:color w:val="220C0D"/>
          <w:sz w:val="16"/>
        </w:rPr>
        <w:t>lack</w:t>
      </w:r>
      <w:r>
        <w:rPr>
          <w:color w:val="220C0D"/>
          <w:spacing w:val="-3"/>
          <w:sz w:val="16"/>
        </w:rPr>
        <w:t xml:space="preserve"> </w:t>
      </w:r>
      <w:r>
        <w:rPr>
          <w:color w:val="220C0D"/>
          <w:sz w:val="16"/>
        </w:rPr>
        <w:t>of</w:t>
      </w:r>
      <w:r>
        <w:rPr>
          <w:color w:val="220C0D"/>
          <w:spacing w:val="-3"/>
          <w:sz w:val="16"/>
        </w:rPr>
        <w:t xml:space="preserve"> </w:t>
      </w:r>
      <w:r>
        <w:rPr>
          <w:color w:val="220C0D"/>
          <w:sz w:val="16"/>
        </w:rPr>
        <w:t>systematic</w:t>
      </w:r>
      <w:r>
        <w:rPr>
          <w:color w:val="220C0D"/>
          <w:spacing w:val="-2"/>
          <w:sz w:val="16"/>
        </w:rPr>
        <w:t xml:space="preserve"> </w:t>
      </w:r>
      <w:r>
        <w:rPr>
          <w:color w:val="220C0D"/>
          <w:sz w:val="16"/>
        </w:rPr>
        <w:t>data</w:t>
      </w:r>
      <w:r>
        <w:rPr>
          <w:color w:val="220C0D"/>
          <w:spacing w:val="-3"/>
          <w:sz w:val="16"/>
        </w:rPr>
        <w:t xml:space="preserve"> </w:t>
      </w:r>
      <w:r>
        <w:rPr>
          <w:color w:val="220C0D"/>
          <w:sz w:val="16"/>
        </w:rPr>
        <w:t>collection</w:t>
      </w:r>
      <w:r>
        <w:rPr>
          <w:color w:val="220C0D"/>
          <w:spacing w:val="-2"/>
          <w:sz w:val="16"/>
        </w:rPr>
        <w:t xml:space="preserve"> </w:t>
      </w:r>
      <w:r>
        <w:rPr>
          <w:color w:val="220C0D"/>
          <w:sz w:val="16"/>
        </w:rPr>
        <w:t>and</w:t>
      </w:r>
      <w:r>
        <w:rPr>
          <w:color w:val="220C0D"/>
          <w:spacing w:val="-3"/>
          <w:sz w:val="16"/>
        </w:rPr>
        <w:t xml:space="preserve"> </w:t>
      </w:r>
      <w:r>
        <w:rPr>
          <w:color w:val="220C0D"/>
          <w:sz w:val="16"/>
        </w:rPr>
        <w:t>analysis;</w:t>
      </w:r>
      <w:r>
        <w:rPr>
          <w:color w:val="220C0D"/>
          <w:spacing w:val="-3"/>
          <w:sz w:val="16"/>
        </w:rPr>
        <w:t xml:space="preserve"> </w:t>
      </w:r>
      <w:r>
        <w:rPr>
          <w:color w:val="220C0D"/>
          <w:sz w:val="16"/>
        </w:rPr>
        <w:t>(c)</w:t>
      </w:r>
      <w:r>
        <w:rPr>
          <w:color w:val="220C0D"/>
          <w:spacing w:val="-2"/>
          <w:sz w:val="16"/>
        </w:rPr>
        <w:t xml:space="preserve"> </w:t>
      </w:r>
      <w:r>
        <w:rPr>
          <w:color w:val="220C0D"/>
          <w:sz w:val="16"/>
        </w:rPr>
        <w:t>that</w:t>
      </w:r>
      <w:r>
        <w:rPr>
          <w:color w:val="220C0D"/>
          <w:spacing w:val="-2"/>
          <w:sz w:val="16"/>
        </w:rPr>
        <w:t xml:space="preserve"> </w:t>
      </w:r>
      <w:r>
        <w:rPr>
          <w:color w:val="220C0D"/>
          <w:sz w:val="16"/>
        </w:rPr>
        <w:t>there</w:t>
      </w:r>
      <w:r>
        <w:rPr>
          <w:color w:val="220C0D"/>
          <w:spacing w:val="-2"/>
          <w:sz w:val="16"/>
        </w:rPr>
        <w:t xml:space="preserve"> </w:t>
      </w:r>
      <w:r>
        <w:rPr>
          <w:color w:val="220C0D"/>
          <w:sz w:val="16"/>
        </w:rPr>
        <w:t>is</w:t>
      </w:r>
      <w:r>
        <w:rPr>
          <w:color w:val="220C0D"/>
          <w:spacing w:val="-3"/>
          <w:sz w:val="16"/>
        </w:rPr>
        <w:t xml:space="preserve"> </w:t>
      </w:r>
      <w:r>
        <w:rPr>
          <w:color w:val="220C0D"/>
          <w:sz w:val="16"/>
        </w:rPr>
        <w:t>a</w:t>
      </w:r>
      <w:r>
        <w:rPr>
          <w:color w:val="220C0D"/>
          <w:spacing w:val="-2"/>
          <w:sz w:val="16"/>
        </w:rPr>
        <w:t xml:space="preserve"> </w:t>
      </w:r>
      <w:r>
        <w:rPr>
          <w:color w:val="220C0D"/>
          <w:sz w:val="16"/>
        </w:rPr>
        <w:t>lack</w:t>
      </w:r>
      <w:r>
        <w:rPr>
          <w:color w:val="220C0D"/>
          <w:spacing w:val="-3"/>
          <w:sz w:val="16"/>
        </w:rPr>
        <w:t xml:space="preserve"> </w:t>
      </w:r>
      <w:r>
        <w:rPr>
          <w:color w:val="220C0D"/>
          <w:sz w:val="16"/>
        </w:rPr>
        <w:t>of</w:t>
      </w:r>
      <w:r>
        <w:rPr>
          <w:color w:val="220C0D"/>
          <w:spacing w:val="-3"/>
          <w:sz w:val="16"/>
        </w:rPr>
        <w:t xml:space="preserve"> </w:t>
      </w:r>
      <w:r>
        <w:rPr>
          <w:color w:val="220C0D"/>
          <w:sz w:val="16"/>
        </w:rPr>
        <w:t>appropriate</w:t>
      </w:r>
      <w:r>
        <w:rPr>
          <w:color w:val="220C0D"/>
          <w:spacing w:val="-3"/>
          <w:sz w:val="16"/>
        </w:rPr>
        <w:t xml:space="preserve"> </w:t>
      </w:r>
      <w:r>
        <w:rPr>
          <w:color w:val="220C0D"/>
          <w:sz w:val="16"/>
        </w:rPr>
        <w:t>supports</w:t>
      </w:r>
      <w:r>
        <w:rPr>
          <w:color w:val="220C0D"/>
          <w:spacing w:val="-2"/>
          <w:sz w:val="16"/>
        </w:rPr>
        <w:t xml:space="preserve"> </w:t>
      </w:r>
      <w:r>
        <w:rPr>
          <w:color w:val="220C0D"/>
          <w:sz w:val="16"/>
        </w:rPr>
        <w:t>to</w:t>
      </w:r>
      <w:r>
        <w:rPr>
          <w:color w:val="220C0D"/>
          <w:spacing w:val="-2"/>
          <w:sz w:val="16"/>
        </w:rPr>
        <w:t xml:space="preserve"> </w:t>
      </w:r>
      <w:r>
        <w:rPr>
          <w:color w:val="220C0D"/>
          <w:sz w:val="16"/>
        </w:rPr>
        <w:t>potential</w:t>
      </w:r>
    </w:p>
    <w:p w:rsidR="007A0A6C" w:rsidRDefault="00660E26">
      <w:pPr>
        <w:spacing w:line="261" w:lineRule="auto"/>
        <w:ind w:left="340" w:right="247"/>
        <w:rPr>
          <w:sz w:val="16"/>
        </w:rPr>
      </w:pPr>
      <w:r>
        <w:rPr>
          <w:color w:val="220C0D"/>
          <w:sz w:val="16"/>
        </w:rPr>
        <w:t>and actual parents with disability, - ACHRA calls for better data collection and better research into negative presumptions being made about people with disabilities being able to effectively parent. ACHRA calls for better support for these parents to fulfil their parenting roles and has identified that this as a priority given the discriminatory impact of negative presumptions.</w:t>
      </w:r>
      <w:r>
        <w:rPr>
          <w:color w:val="215E9E"/>
          <w:sz w:val="16"/>
          <w:u w:val="single" w:color="215E9E"/>
        </w:rPr>
        <w:t xml:space="preserve">” See: Australian Council of Human Rights (ACHRA) </w:t>
      </w:r>
      <w:hyperlink r:id="rId54">
        <w:r>
          <w:rPr>
            <w:color w:val="215E9E"/>
            <w:sz w:val="16"/>
            <w:u w:val="single" w:color="215E9E"/>
          </w:rPr>
          <w:t>Communiqué from</w:t>
        </w:r>
      </w:hyperlink>
      <w:r>
        <w:rPr>
          <w:color w:val="215E9E"/>
          <w:sz w:val="16"/>
        </w:rPr>
        <w:t xml:space="preserve"> </w:t>
      </w:r>
      <w:hyperlink r:id="rId55">
        <w:r>
          <w:rPr>
            <w:color w:val="215E9E"/>
            <w:sz w:val="16"/>
            <w:u w:val="single" w:color="215E9E"/>
          </w:rPr>
          <w:t>Australian Council of Human Rights Agencies meeting</w:t>
        </w:r>
      </w:hyperlink>
      <w:r>
        <w:rPr>
          <w:color w:val="215E9E"/>
          <w:sz w:val="16"/>
          <w:u w:val="single" w:color="215E9E"/>
        </w:rPr>
        <w:t>, 18-19 March 2013.</w:t>
      </w:r>
      <w:r>
        <w:rPr>
          <w:color w:val="215E9E"/>
          <w:sz w:val="16"/>
        </w:rPr>
        <w:t xml:space="preserve"> </w:t>
      </w:r>
      <w:r>
        <w:rPr>
          <w:sz w:val="16"/>
        </w:rPr>
        <w:t xml:space="preserve">There are few long-term and intensive parenting support programs for parents with disability, despite indications that these programs are very successful. See: </w:t>
      </w:r>
      <w:r>
        <w:rPr>
          <w:color w:val="215E9E"/>
          <w:sz w:val="16"/>
          <w:u w:val="single" w:color="215E9E"/>
        </w:rPr>
        <w:t>Australian NGO Coalition Submission to the United Nations</w:t>
      </w:r>
      <w:r>
        <w:rPr>
          <w:color w:val="215E9E"/>
          <w:sz w:val="16"/>
        </w:rPr>
        <w:t xml:space="preserve"> </w:t>
      </w:r>
      <w:r>
        <w:rPr>
          <w:color w:val="215E9E"/>
          <w:sz w:val="16"/>
          <w:u w:val="single" w:color="215E9E"/>
        </w:rPr>
        <w:t>Committee on Economic, Social and Cultural Rights</w:t>
      </w:r>
      <w:r>
        <w:rPr>
          <w:color w:val="215E9E"/>
          <w:sz w:val="16"/>
        </w:rPr>
        <w:t xml:space="preserve"> </w:t>
      </w:r>
      <w:r>
        <w:rPr>
          <w:sz w:val="16"/>
        </w:rPr>
        <w:t xml:space="preserve">(May 2017). See also: Victorian Office of the Public Advocate (OPA) (2012) </w:t>
      </w:r>
      <w:r>
        <w:rPr>
          <w:color w:val="215E9E"/>
          <w:sz w:val="16"/>
          <w:u w:val="single" w:color="215E9E"/>
        </w:rPr>
        <w:t>OPA Position</w:t>
      </w:r>
      <w:r>
        <w:rPr>
          <w:color w:val="215E9E"/>
          <w:sz w:val="16"/>
        </w:rPr>
        <w:t xml:space="preserve"> </w:t>
      </w:r>
      <w:r>
        <w:rPr>
          <w:color w:val="215E9E"/>
          <w:sz w:val="16"/>
          <w:u w:val="single" w:color="215E9E"/>
        </w:rPr>
        <w:t>Statement: The removal of children from their parent with a disability</w:t>
      </w:r>
    </w:p>
    <w:p w:rsidR="007A0A6C" w:rsidRDefault="00660E26">
      <w:pPr>
        <w:pStyle w:val="ListParagraph"/>
        <w:numPr>
          <w:ilvl w:val="0"/>
          <w:numId w:val="3"/>
        </w:numPr>
        <w:tabs>
          <w:tab w:val="left" w:pos="745"/>
        </w:tabs>
        <w:spacing w:before="93"/>
        <w:ind w:left="744" w:hanging="404"/>
        <w:rPr>
          <w:sz w:val="16"/>
        </w:rPr>
      </w:pPr>
      <w:r>
        <w:rPr>
          <w:sz w:val="16"/>
        </w:rPr>
        <w:t>National CRPD Survey (2019)</w:t>
      </w:r>
      <w:r>
        <w:rPr>
          <w:spacing w:val="-3"/>
          <w:sz w:val="16"/>
        </w:rPr>
        <w:t xml:space="preserve"> </w:t>
      </w:r>
      <w:r>
        <w:rPr>
          <w:sz w:val="16"/>
        </w:rPr>
        <w:t>Findings.</w:t>
      </w:r>
    </w:p>
    <w:p w:rsidR="007A0A6C" w:rsidRDefault="00660E26">
      <w:pPr>
        <w:pStyle w:val="ListParagraph"/>
        <w:numPr>
          <w:ilvl w:val="0"/>
          <w:numId w:val="3"/>
        </w:numPr>
        <w:tabs>
          <w:tab w:val="left" w:pos="745"/>
        </w:tabs>
        <w:spacing w:before="117" w:line="261" w:lineRule="auto"/>
        <w:ind w:left="340" w:right="506" w:firstLine="0"/>
        <w:rPr>
          <w:sz w:val="16"/>
        </w:rPr>
      </w:pPr>
      <w:r>
        <w:rPr>
          <w:sz w:val="16"/>
        </w:rPr>
        <w:t>People with disability in Australia continue to experience, and be at risk of, gross violations of their sexual and reproductive rights including denial of the right to sexual and reproductive autonomy and self-determination, and through practices such as forced sterilisation, forced abortion and forced contraception - often wrongfully justified by theories of incapacity and therapeutic necessity and often performed under the auspices of</w:t>
      </w:r>
      <w:r>
        <w:rPr>
          <w:spacing w:val="-3"/>
          <w:sz w:val="16"/>
        </w:rPr>
        <w:t xml:space="preserve"> </w:t>
      </w:r>
      <w:r>
        <w:rPr>
          <w:sz w:val="16"/>
        </w:rPr>
        <w:t>legitimate</w:t>
      </w:r>
      <w:r>
        <w:rPr>
          <w:spacing w:val="-3"/>
          <w:sz w:val="16"/>
        </w:rPr>
        <w:t xml:space="preserve"> </w:t>
      </w:r>
      <w:r>
        <w:rPr>
          <w:sz w:val="16"/>
        </w:rPr>
        <w:t>medical</w:t>
      </w:r>
      <w:r>
        <w:rPr>
          <w:spacing w:val="-2"/>
          <w:sz w:val="16"/>
        </w:rPr>
        <w:t xml:space="preserve"> </w:t>
      </w:r>
      <w:r>
        <w:rPr>
          <w:sz w:val="16"/>
        </w:rPr>
        <w:t>care</w:t>
      </w:r>
      <w:r>
        <w:rPr>
          <w:spacing w:val="-2"/>
          <w:sz w:val="16"/>
        </w:rPr>
        <w:t xml:space="preserve"> </w:t>
      </w:r>
      <w:r>
        <w:rPr>
          <w:sz w:val="16"/>
        </w:rPr>
        <w:t>or</w:t>
      </w:r>
      <w:r>
        <w:rPr>
          <w:spacing w:val="-3"/>
          <w:sz w:val="16"/>
        </w:rPr>
        <w:t xml:space="preserve"> </w:t>
      </w:r>
      <w:r>
        <w:rPr>
          <w:sz w:val="16"/>
        </w:rPr>
        <w:t>the</w:t>
      </w:r>
      <w:r>
        <w:rPr>
          <w:spacing w:val="-2"/>
          <w:sz w:val="16"/>
        </w:rPr>
        <w:t xml:space="preserve"> </w:t>
      </w:r>
      <w:r>
        <w:rPr>
          <w:sz w:val="16"/>
        </w:rPr>
        <w:t>consent</w:t>
      </w:r>
      <w:r>
        <w:rPr>
          <w:spacing w:val="-2"/>
          <w:sz w:val="16"/>
        </w:rPr>
        <w:t xml:space="preserve"> </w:t>
      </w:r>
      <w:r>
        <w:rPr>
          <w:sz w:val="16"/>
        </w:rPr>
        <w:t>of</w:t>
      </w:r>
      <w:r>
        <w:rPr>
          <w:spacing w:val="-3"/>
          <w:sz w:val="16"/>
        </w:rPr>
        <w:t xml:space="preserve"> </w:t>
      </w:r>
      <w:r>
        <w:rPr>
          <w:sz w:val="16"/>
        </w:rPr>
        <w:t>others</w:t>
      </w:r>
      <w:r>
        <w:rPr>
          <w:spacing w:val="-2"/>
          <w:sz w:val="16"/>
        </w:rPr>
        <w:t xml:space="preserve"> </w:t>
      </w:r>
      <w:r>
        <w:rPr>
          <w:sz w:val="16"/>
        </w:rPr>
        <w:t>in</w:t>
      </w:r>
      <w:r>
        <w:rPr>
          <w:spacing w:val="-3"/>
          <w:sz w:val="16"/>
        </w:rPr>
        <w:t xml:space="preserve"> </w:t>
      </w:r>
      <w:r>
        <w:rPr>
          <w:sz w:val="16"/>
        </w:rPr>
        <w:t>their</w:t>
      </w:r>
      <w:r>
        <w:rPr>
          <w:spacing w:val="-2"/>
          <w:sz w:val="16"/>
        </w:rPr>
        <w:t xml:space="preserve"> </w:t>
      </w:r>
      <w:r>
        <w:rPr>
          <w:sz w:val="16"/>
        </w:rPr>
        <w:t>name.</w:t>
      </w:r>
      <w:r>
        <w:rPr>
          <w:spacing w:val="-3"/>
          <w:sz w:val="16"/>
        </w:rPr>
        <w:t xml:space="preserve"> </w:t>
      </w:r>
      <w:r>
        <w:rPr>
          <w:sz w:val="16"/>
        </w:rPr>
        <w:t>See</w:t>
      </w:r>
      <w:r>
        <w:rPr>
          <w:spacing w:val="-2"/>
          <w:sz w:val="16"/>
        </w:rPr>
        <w:t xml:space="preserve"> </w:t>
      </w:r>
      <w:r>
        <w:rPr>
          <w:sz w:val="16"/>
        </w:rPr>
        <w:t>for</w:t>
      </w:r>
      <w:r>
        <w:rPr>
          <w:spacing w:val="-2"/>
          <w:sz w:val="16"/>
        </w:rPr>
        <w:t xml:space="preserve"> </w:t>
      </w:r>
      <w:r>
        <w:rPr>
          <w:sz w:val="16"/>
        </w:rPr>
        <w:t>eg:</w:t>
      </w:r>
      <w:r>
        <w:rPr>
          <w:spacing w:val="-3"/>
          <w:sz w:val="16"/>
        </w:rPr>
        <w:t xml:space="preserve"> </w:t>
      </w:r>
      <w:r>
        <w:rPr>
          <w:sz w:val="16"/>
        </w:rPr>
        <w:t>Women</w:t>
      </w:r>
      <w:r>
        <w:rPr>
          <w:spacing w:val="-3"/>
          <w:sz w:val="16"/>
        </w:rPr>
        <w:t xml:space="preserve"> </w:t>
      </w:r>
      <w:r>
        <w:rPr>
          <w:sz w:val="16"/>
        </w:rPr>
        <w:t>With</w:t>
      </w:r>
      <w:r>
        <w:rPr>
          <w:spacing w:val="-1"/>
          <w:sz w:val="16"/>
        </w:rPr>
        <w:t xml:space="preserve"> </w:t>
      </w:r>
      <w:r>
        <w:rPr>
          <w:sz w:val="16"/>
        </w:rPr>
        <w:t>Disabilities</w:t>
      </w:r>
      <w:r>
        <w:rPr>
          <w:spacing w:val="-11"/>
          <w:sz w:val="16"/>
        </w:rPr>
        <w:t xml:space="preserve"> </w:t>
      </w:r>
      <w:r>
        <w:rPr>
          <w:sz w:val="16"/>
        </w:rPr>
        <w:t>Australia</w:t>
      </w:r>
      <w:r>
        <w:rPr>
          <w:spacing w:val="-2"/>
          <w:sz w:val="16"/>
        </w:rPr>
        <w:t xml:space="preserve"> </w:t>
      </w:r>
      <w:r>
        <w:rPr>
          <w:sz w:val="16"/>
        </w:rPr>
        <w:t>(WWDA)(2016)</w:t>
      </w:r>
      <w:r>
        <w:rPr>
          <w:color w:val="215E9E"/>
          <w:spacing w:val="-2"/>
          <w:sz w:val="16"/>
        </w:rPr>
        <w:t xml:space="preserve"> </w:t>
      </w:r>
      <w:r>
        <w:rPr>
          <w:color w:val="215E9E"/>
          <w:sz w:val="16"/>
          <w:u w:val="single" w:color="215E9E"/>
        </w:rPr>
        <w:t>‘WWDA</w:t>
      </w:r>
      <w:r>
        <w:rPr>
          <w:color w:val="215E9E"/>
          <w:spacing w:val="-10"/>
          <w:sz w:val="16"/>
          <w:u w:val="single" w:color="215E9E"/>
        </w:rPr>
        <w:t xml:space="preserve"> </w:t>
      </w:r>
      <w:r>
        <w:rPr>
          <w:color w:val="215E9E"/>
          <w:sz w:val="16"/>
          <w:u w:val="single" w:color="215E9E"/>
        </w:rPr>
        <w:t xml:space="preserve">Position </w:t>
      </w:r>
    </w:p>
    <w:p w:rsidR="007A0A6C" w:rsidRDefault="00660E26">
      <w:pPr>
        <w:spacing w:line="261" w:lineRule="auto"/>
        <w:ind w:left="340" w:right="316"/>
        <w:rPr>
          <w:sz w:val="16"/>
        </w:rPr>
      </w:pPr>
      <w:r>
        <w:rPr>
          <w:color w:val="215E9E"/>
          <w:sz w:val="16"/>
          <w:u w:val="single" w:color="215E9E"/>
        </w:rPr>
        <w:t>Statement 4: Sexual and Reproductive Rights</w:t>
      </w:r>
      <w:r>
        <w:rPr>
          <w:color w:val="215E9E"/>
          <w:sz w:val="16"/>
        </w:rPr>
        <w:t>’</w:t>
      </w:r>
      <w:r>
        <w:rPr>
          <w:sz w:val="16"/>
        </w:rPr>
        <w:t xml:space="preserve">. WWDA, Hobart, Tasmania. See also: Frohmader, C., &amp; Sands, T. (2015) Australian Cross Disability Alliance (ACDA) </w:t>
      </w:r>
      <w:r>
        <w:rPr>
          <w:color w:val="215E9E"/>
          <w:sz w:val="16"/>
          <w:u w:val="single" w:color="215E9E"/>
        </w:rPr>
        <w:t>Submission to the Senate Inquiry into Violence, abuse and neglect against people with disability in institutional and residential</w:t>
      </w:r>
      <w:r>
        <w:rPr>
          <w:color w:val="215E9E"/>
          <w:sz w:val="16"/>
        </w:rPr>
        <w:t xml:space="preserve"> </w:t>
      </w:r>
      <w:r>
        <w:rPr>
          <w:color w:val="215E9E"/>
          <w:sz w:val="16"/>
          <w:u w:val="single" w:color="215E9E"/>
        </w:rPr>
        <w:t>settings</w:t>
      </w:r>
      <w:r>
        <w:rPr>
          <w:color w:val="215E9E"/>
          <w:sz w:val="16"/>
        </w:rPr>
        <w:t>’</w:t>
      </w:r>
      <w:r>
        <w:rPr>
          <w:sz w:val="16"/>
        </w:rPr>
        <w:t>. Australian Cross Disability Alliance (ACDA); Sydney, Australia. See also: Women With Disabilities Australia (WWDA), Human Rights</w:t>
      </w:r>
    </w:p>
    <w:p w:rsidR="007A0A6C" w:rsidRDefault="007A0A6C">
      <w:pPr>
        <w:spacing w:line="261" w:lineRule="auto"/>
        <w:rPr>
          <w:sz w:val="16"/>
        </w:rPr>
        <w:sectPr w:rsidR="007A0A6C">
          <w:pgSz w:w="11910" w:h="16840"/>
          <w:pgMar w:top="600" w:right="440" w:bottom="540" w:left="380" w:header="0" w:footer="343" w:gutter="0"/>
          <w:cols w:space="720"/>
        </w:sectPr>
      </w:pPr>
    </w:p>
    <w:p w:rsidR="007A0A6C" w:rsidRDefault="00660E26">
      <w:pPr>
        <w:spacing w:before="68" w:line="261" w:lineRule="auto"/>
        <w:ind w:left="340"/>
        <w:rPr>
          <w:sz w:val="16"/>
        </w:rPr>
      </w:pPr>
      <w:r>
        <w:rPr>
          <w:sz w:val="16"/>
        </w:rPr>
        <w:lastRenderedPageBreak/>
        <w:t xml:space="preserve">Watch (HRW), Open Society Foundations, and the International Disability Alliance (IDA) (2011) </w:t>
      </w:r>
      <w:r>
        <w:rPr>
          <w:color w:val="215E9E"/>
          <w:sz w:val="16"/>
          <w:u w:val="single" w:color="215E9E"/>
        </w:rPr>
        <w:t>Sterilization of Women and Girls with Disabilities: A</w:t>
      </w:r>
      <w:r>
        <w:rPr>
          <w:color w:val="215E9E"/>
          <w:sz w:val="16"/>
        </w:rPr>
        <w:t xml:space="preserve"> </w:t>
      </w:r>
      <w:r>
        <w:rPr>
          <w:color w:val="215E9E"/>
          <w:sz w:val="16"/>
          <w:u w:val="single" w:color="215E9E"/>
        </w:rPr>
        <w:t>Briefing Paper</w:t>
      </w:r>
      <w:r>
        <w:rPr>
          <w:sz w:val="16"/>
        </w:rPr>
        <w:t xml:space="preserve">. See also: International Federation of Gynaecology and Obstetrics (2011) </w:t>
      </w:r>
      <w:r>
        <w:rPr>
          <w:color w:val="215E9E"/>
          <w:sz w:val="16"/>
          <w:u w:val="single" w:color="215E9E"/>
        </w:rPr>
        <w:t>Female Contraceptive Sterilization</w:t>
      </w:r>
      <w:r>
        <w:rPr>
          <w:sz w:val="16"/>
        </w:rPr>
        <w:t>.</w:t>
      </w:r>
    </w:p>
    <w:p w:rsidR="007A0A6C" w:rsidRDefault="00660E26">
      <w:pPr>
        <w:pStyle w:val="ListParagraph"/>
        <w:numPr>
          <w:ilvl w:val="0"/>
          <w:numId w:val="3"/>
        </w:numPr>
        <w:tabs>
          <w:tab w:val="left" w:pos="745"/>
        </w:tabs>
        <w:spacing w:before="99" w:line="261" w:lineRule="auto"/>
        <w:ind w:left="340" w:right="671" w:firstLine="0"/>
        <w:jc w:val="both"/>
        <w:rPr>
          <w:sz w:val="16"/>
        </w:rPr>
      </w:pPr>
      <w:r>
        <w:rPr>
          <w:sz w:val="16"/>
        </w:rPr>
        <w:t>Women with disability continue to experience significant discrimination in accessing assisted reproductive technologies, including for eg: in-vitro fertilisation (IVF), assisted insemination, surrogacy, Oocyte cryopreservation. Many women with disability are deemed by fertility clinics as</w:t>
      </w:r>
      <w:r>
        <w:rPr>
          <w:spacing w:val="-4"/>
          <w:sz w:val="16"/>
        </w:rPr>
        <w:t xml:space="preserve"> </w:t>
      </w:r>
      <w:r>
        <w:rPr>
          <w:sz w:val="16"/>
        </w:rPr>
        <w:t>ineligible</w:t>
      </w:r>
      <w:r>
        <w:rPr>
          <w:spacing w:val="-3"/>
          <w:sz w:val="16"/>
        </w:rPr>
        <w:t xml:space="preserve"> </w:t>
      </w:r>
      <w:r>
        <w:rPr>
          <w:sz w:val="16"/>
        </w:rPr>
        <w:t>for</w:t>
      </w:r>
      <w:r>
        <w:rPr>
          <w:spacing w:val="-2"/>
          <w:sz w:val="16"/>
        </w:rPr>
        <w:t xml:space="preserve"> </w:t>
      </w:r>
      <w:r>
        <w:rPr>
          <w:sz w:val="16"/>
        </w:rPr>
        <w:t>assisted</w:t>
      </w:r>
      <w:r>
        <w:rPr>
          <w:spacing w:val="-4"/>
          <w:sz w:val="16"/>
        </w:rPr>
        <w:t xml:space="preserve"> </w:t>
      </w:r>
      <w:r>
        <w:rPr>
          <w:sz w:val="16"/>
        </w:rPr>
        <w:t>reproductive</w:t>
      </w:r>
      <w:r>
        <w:rPr>
          <w:spacing w:val="-2"/>
          <w:sz w:val="16"/>
        </w:rPr>
        <w:t xml:space="preserve"> </w:t>
      </w:r>
      <w:r>
        <w:rPr>
          <w:sz w:val="16"/>
        </w:rPr>
        <w:t>services.</w:t>
      </w:r>
      <w:r>
        <w:rPr>
          <w:spacing w:val="-11"/>
          <w:sz w:val="16"/>
        </w:rPr>
        <w:t xml:space="preserve"> </w:t>
      </w:r>
      <w:r>
        <w:rPr>
          <w:sz w:val="16"/>
        </w:rPr>
        <w:t>Australia’s</w:t>
      </w:r>
      <w:r>
        <w:rPr>
          <w:spacing w:val="-2"/>
          <w:sz w:val="16"/>
        </w:rPr>
        <w:t xml:space="preserve"> </w:t>
      </w:r>
      <w:r>
        <w:rPr>
          <w:sz w:val="16"/>
        </w:rPr>
        <w:t>universal</w:t>
      </w:r>
      <w:r>
        <w:rPr>
          <w:spacing w:val="-3"/>
          <w:sz w:val="16"/>
        </w:rPr>
        <w:t xml:space="preserve"> </w:t>
      </w:r>
      <w:r>
        <w:rPr>
          <w:sz w:val="16"/>
        </w:rPr>
        <w:t>health</w:t>
      </w:r>
      <w:r>
        <w:rPr>
          <w:spacing w:val="-3"/>
          <w:sz w:val="16"/>
        </w:rPr>
        <w:t xml:space="preserve"> </w:t>
      </w:r>
      <w:r>
        <w:rPr>
          <w:sz w:val="16"/>
        </w:rPr>
        <w:t>system</w:t>
      </w:r>
      <w:r>
        <w:rPr>
          <w:spacing w:val="-3"/>
          <w:sz w:val="16"/>
        </w:rPr>
        <w:t xml:space="preserve"> </w:t>
      </w:r>
      <w:r>
        <w:rPr>
          <w:sz w:val="16"/>
        </w:rPr>
        <w:t>(Medicare)</w:t>
      </w:r>
      <w:r>
        <w:rPr>
          <w:spacing w:val="-2"/>
          <w:sz w:val="16"/>
        </w:rPr>
        <w:t xml:space="preserve"> </w:t>
      </w:r>
      <w:r>
        <w:rPr>
          <w:sz w:val="16"/>
        </w:rPr>
        <w:t>covers</w:t>
      </w:r>
      <w:r>
        <w:rPr>
          <w:spacing w:val="-2"/>
          <w:sz w:val="16"/>
        </w:rPr>
        <w:t xml:space="preserve"> </w:t>
      </w:r>
      <w:r>
        <w:rPr>
          <w:sz w:val="16"/>
        </w:rPr>
        <w:t>the</w:t>
      </w:r>
      <w:r>
        <w:rPr>
          <w:spacing w:val="-3"/>
          <w:sz w:val="16"/>
        </w:rPr>
        <w:t xml:space="preserve"> </w:t>
      </w:r>
      <w:r>
        <w:rPr>
          <w:sz w:val="16"/>
        </w:rPr>
        <w:t>treatment</w:t>
      </w:r>
      <w:r>
        <w:rPr>
          <w:spacing w:val="-2"/>
          <w:sz w:val="16"/>
        </w:rPr>
        <w:t xml:space="preserve"> </w:t>
      </w:r>
      <w:r>
        <w:rPr>
          <w:sz w:val="16"/>
        </w:rPr>
        <w:t>of</w:t>
      </w:r>
      <w:r>
        <w:rPr>
          <w:spacing w:val="-3"/>
          <w:sz w:val="16"/>
        </w:rPr>
        <w:t xml:space="preserve"> </w:t>
      </w:r>
      <w:r>
        <w:rPr>
          <w:sz w:val="16"/>
        </w:rPr>
        <w:t>assisted</w:t>
      </w:r>
      <w:r>
        <w:rPr>
          <w:spacing w:val="-4"/>
          <w:sz w:val="16"/>
        </w:rPr>
        <w:t xml:space="preserve"> </w:t>
      </w:r>
      <w:r>
        <w:rPr>
          <w:sz w:val="16"/>
        </w:rPr>
        <w:t>reproduction</w:t>
      </w:r>
      <w:r>
        <w:rPr>
          <w:spacing w:val="-2"/>
          <w:sz w:val="16"/>
        </w:rPr>
        <w:t xml:space="preserve"> </w:t>
      </w:r>
      <w:r>
        <w:rPr>
          <w:sz w:val="16"/>
        </w:rPr>
        <w:t>for women</w:t>
      </w:r>
      <w:r>
        <w:rPr>
          <w:spacing w:val="-5"/>
          <w:sz w:val="16"/>
        </w:rPr>
        <w:t xml:space="preserve"> </w:t>
      </w:r>
      <w:r>
        <w:rPr>
          <w:sz w:val="16"/>
        </w:rPr>
        <w:t>who</w:t>
      </w:r>
      <w:r>
        <w:rPr>
          <w:spacing w:val="-4"/>
          <w:sz w:val="16"/>
        </w:rPr>
        <w:t xml:space="preserve"> </w:t>
      </w:r>
      <w:r>
        <w:rPr>
          <w:sz w:val="16"/>
        </w:rPr>
        <w:t>are</w:t>
      </w:r>
      <w:r>
        <w:rPr>
          <w:spacing w:val="-4"/>
          <w:sz w:val="16"/>
        </w:rPr>
        <w:t xml:space="preserve"> </w:t>
      </w:r>
      <w:r>
        <w:rPr>
          <w:sz w:val="16"/>
        </w:rPr>
        <w:t>deemed</w:t>
      </w:r>
      <w:r>
        <w:rPr>
          <w:spacing w:val="-4"/>
          <w:sz w:val="16"/>
        </w:rPr>
        <w:t xml:space="preserve"> </w:t>
      </w:r>
      <w:r>
        <w:rPr>
          <w:sz w:val="16"/>
        </w:rPr>
        <w:t>‘medically</w:t>
      </w:r>
      <w:r>
        <w:rPr>
          <w:spacing w:val="-4"/>
          <w:sz w:val="16"/>
        </w:rPr>
        <w:t xml:space="preserve"> </w:t>
      </w:r>
      <w:r>
        <w:rPr>
          <w:sz w:val="16"/>
        </w:rPr>
        <w:t>infertile’,</w:t>
      </w:r>
      <w:r>
        <w:rPr>
          <w:spacing w:val="-4"/>
          <w:sz w:val="16"/>
        </w:rPr>
        <w:t xml:space="preserve"> </w:t>
      </w:r>
      <w:r>
        <w:rPr>
          <w:sz w:val="16"/>
        </w:rPr>
        <w:t>but</w:t>
      </w:r>
      <w:r>
        <w:rPr>
          <w:spacing w:val="-5"/>
          <w:sz w:val="16"/>
        </w:rPr>
        <w:t xml:space="preserve"> </w:t>
      </w:r>
      <w:r>
        <w:rPr>
          <w:sz w:val="16"/>
        </w:rPr>
        <w:t>not</w:t>
      </w:r>
      <w:r>
        <w:rPr>
          <w:spacing w:val="-4"/>
          <w:sz w:val="16"/>
        </w:rPr>
        <w:t xml:space="preserve"> </w:t>
      </w:r>
      <w:r>
        <w:rPr>
          <w:sz w:val="16"/>
        </w:rPr>
        <w:t>for</w:t>
      </w:r>
      <w:r>
        <w:rPr>
          <w:spacing w:val="-3"/>
          <w:sz w:val="16"/>
        </w:rPr>
        <w:t xml:space="preserve"> </w:t>
      </w:r>
      <w:r>
        <w:rPr>
          <w:sz w:val="16"/>
        </w:rPr>
        <w:t>women</w:t>
      </w:r>
      <w:r>
        <w:rPr>
          <w:spacing w:val="-4"/>
          <w:sz w:val="16"/>
        </w:rPr>
        <w:t xml:space="preserve"> </w:t>
      </w:r>
      <w:r>
        <w:rPr>
          <w:sz w:val="16"/>
        </w:rPr>
        <w:t>who</w:t>
      </w:r>
      <w:r>
        <w:rPr>
          <w:spacing w:val="-4"/>
          <w:sz w:val="16"/>
        </w:rPr>
        <w:t xml:space="preserve"> </w:t>
      </w:r>
      <w:r>
        <w:rPr>
          <w:sz w:val="16"/>
        </w:rPr>
        <w:t>are</w:t>
      </w:r>
      <w:r>
        <w:rPr>
          <w:spacing w:val="-4"/>
          <w:sz w:val="16"/>
        </w:rPr>
        <w:t xml:space="preserve"> </w:t>
      </w:r>
      <w:r>
        <w:rPr>
          <w:sz w:val="16"/>
        </w:rPr>
        <w:t>deemed</w:t>
      </w:r>
      <w:r>
        <w:rPr>
          <w:spacing w:val="-5"/>
          <w:sz w:val="16"/>
        </w:rPr>
        <w:t xml:space="preserve"> </w:t>
      </w:r>
      <w:r>
        <w:rPr>
          <w:sz w:val="16"/>
        </w:rPr>
        <w:t>to</w:t>
      </w:r>
      <w:r>
        <w:rPr>
          <w:spacing w:val="-3"/>
          <w:sz w:val="16"/>
        </w:rPr>
        <w:t xml:space="preserve"> </w:t>
      </w:r>
      <w:r>
        <w:rPr>
          <w:sz w:val="16"/>
        </w:rPr>
        <w:t>be</w:t>
      </w:r>
      <w:r>
        <w:rPr>
          <w:spacing w:val="-4"/>
          <w:sz w:val="16"/>
        </w:rPr>
        <w:t xml:space="preserve"> </w:t>
      </w:r>
      <w:r>
        <w:rPr>
          <w:sz w:val="16"/>
        </w:rPr>
        <w:t>‘socially</w:t>
      </w:r>
      <w:r>
        <w:rPr>
          <w:spacing w:val="-4"/>
          <w:sz w:val="16"/>
        </w:rPr>
        <w:t xml:space="preserve"> </w:t>
      </w:r>
      <w:r>
        <w:rPr>
          <w:sz w:val="16"/>
        </w:rPr>
        <w:t>infertile’</w:t>
      </w:r>
      <w:r>
        <w:rPr>
          <w:spacing w:val="-8"/>
          <w:sz w:val="16"/>
        </w:rPr>
        <w:t xml:space="preserve"> </w:t>
      </w:r>
      <w:r>
        <w:rPr>
          <w:sz w:val="16"/>
        </w:rPr>
        <w:t>(including</w:t>
      </w:r>
      <w:r>
        <w:rPr>
          <w:spacing w:val="-3"/>
          <w:sz w:val="16"/>
        </w:rPr>
        <w:t xml:space="preserve"> </w:t>
      </w:r>
      <w:r>
        <w:rPr>
          <w:sz w:val="16"/>
        </w:rPr>
        <w:t>single</w:t>
      </w:r>
      <w:r>
        <w:rPr>
          <w:spacing w:val="-3"/>
          <w:sz w:val="16"/>
        </w:rPr>
        <w:t xml:space="preserve"> </w:t>
      </w:r>
      <w:r>
        <w:rPr>
          <w:sz w:val="16"/>
        </w:rPr>
        <w:t>people</w:t>
      </w:r>
      <w:r>
        <w:rPr>
          <w:spacing w:val="-5"/>
          <w:sz w:val="16"/>
        </w:rPr>
        <w:t xml:space="preserve"> </w:t>
      </w:r>
      <w:r>
        <w:rPr>
          <w:sz w:val="16"/>
        </w:rPr>
        <w:t>and</w:t>
      </w:r>
      <w:r>
        <w:rPr>
          <w:spacing w:val="-4"/>
          <w:sz w:val="16"/>
        </w:rPr>
        <w:t xml:space="preserve"> </w:t>
      </w:r>
      <w:r>
        <w:rPr>
          <w:sz w:val="16"/>
        </w:rPr>
        <w:t>same-sex</w:t>
      </w:r>
    </w:p>
    <w:p w:rsidR="007A0A6C" w:rsidRDefault="00660E26">
      <w:pPr>
        <w:spacing w:line="182" w:lineRule="exact"/>
        <w:ind w:left="340"/>
        <w:rPr>
          <w:sz w:val="16"/>
        </w:rPr>
      </w:pPr>
      <w:r>
        <w:rPr>
          <w:sz w:val="16"/>
        </w:rPr>
        <w:t xml:space="preserve">couples). See: Women With Disabilities Australia (2009): </w:t>
      </w:r>
      <w:r>
        <w:rPr>
          <w:color w:val="215E9E"/>
          <w:sz w:val="16"/>
          <w:u w:val="single" w:color="215E9E"/>
        </w:rPr>
        <w:t>‘Parenting Issues for Women with Disabilities in Australia’ - A Policy Paper</w:t>
      </w:r>
      <w:r>
        <w:rPr>
          <w:sz w:val="16"/>
        </w:rPr>
        <w:t>. See also: Fyfe,</w:t>
      </w:r>
    </w:p>
    <w:p w:rsidR="007A0A6C" w:rsidRDefault="00660E26">
      <w:pPr>
        <w:spacing w:before="16" w:line="261" w:lineRule="auto"/>
        <w:ind w:left="340"/>
        <w:rPr>
          <w:sz w:val="16"/>
        </w:rPr>
      </w:pPr>
      <w:r>
        <w:rPr>
          <w:sz w:val="16"/>
        </w:rPr>
        <w:t>M. and Davies, J. (6 June 2015)</w:t>
      </w:r>
      <w:r>
        <w:rPr>
          <w:color w:val="215E9E"/>
          <w:sz w:val="16"/>
        </w:rPr>
        <w:t xml:space="preserve"> </w:t>
      </w:r>
      <w:r>
        <w:rPr>
          <w:color w:val="215E9E"/>
          <w:sz w:val="16"/>
          <w:u w:val="single" w:color="215E9E"/>
        </w:rPr>
        <w:t>Motherhood on ice</w:t>
      </w:r>
      <w:r>
        <w:rPr>
          <w:sz w:val="16"/>
        </w:rPr>
        <w:t>; Sydney Morning Herald Good Weekend Magazine. See also: Mather, A. (October 6, 2015)</w:t>
      </w:r>
      <w:r>
        <w:rPr>
          <w:color w:val="215E9E"/>
          <w:sz w:val="16"/>
          <w:u w:val="single" w:color="215E9E"/>
        </w:rPr>
        <w:t xml:space="preserve"> Motherhood a precious gift many can’t afford</w:t>
      </w:r>
      <w:r>
        <w:rPr>
          <w:sz w:val="16"/>
        </w:rPr>
        <w:t>; The Mercury Newspaper.</w:t>
      </w:r>
    </w:p>
    <w:p w:rsidR="007A0A6C" w:rsidRDefault="00660E26">
      <w:pPr>
        <w:pStyle w:val="ListParagraph"/>
        <w:numPr>
          <w:ilvl w:val="0"/>
          <w:numId w:val="3"/>
        </w:numPr>
        <w:tabs>
          <w:tab w:val="left" w:pos="742"/>
        </w:tabs>
        <w:spacing w:before="99" w:line="261" w:lineRule="auto"/>
        <w:ind w:left="340" w:right="300" w:firstLine="0"/>
        <w:rPr>
          <w:sz w:val="16"/>
        </w:rPr>
      </w:pPr>
      <w:r>
        <w:rPr>
          <w:sz w:val="16"/>
        </w:rPr>
        <w:t xml:space="preserve">The evidence base describing egregious breaches of the human rights of children and young people with disability in schools is rapidly increasing. See for eg: Children and </w:t>
      </w:r>
      <w:r>
        <w:rPr>
          <w:spacing w:val="-4"/>
          <w:sz w:val="16"/>
        </w:rPr>
        <w:t xml:space="preserve">Young </w:t>
      </w:r>
      <w:r>
        <w:rPr>
          <w:sz w:val="16"/>
        </w:rPr>
        <w:t>People with Disability Australia (CYDA) (August 2016)</w:t>
      </w:r>
      <w:r>
        <w:rPr>
          <w:color w:val="215E9E"/>
          <w:sz w:val="16"/>
        </w:rPr>
        <w:t xml:space="preserve"> </w:t>
      </w:r>
      <w:r>
        <w:rPr>
          <w:color w:val="215E9E"/>
          <w:sz w:val="16"/>
          <w:u w:val="single" w:color="215E9E"/>
        </w:rPr>
        <w:t>Bullying and abuse of school students with disability at alarming levels; Media Release 9 August 2016</w:t>
      </w:r>
      <w:r>
        <w:rPr>
          <w:sz w:val="16"/>
        </w:rPr>
        <w:t>. See: Australian Broadcasting Corporation (ABC) (16 August 2016)</w:t>
      </w:r>
      <w:r>
        <w:rPr>
          <w:color w:val="215E9E"/>
          <w:sz w:val="16"/>
        </w:rPr>
        <w:t xml:space="preserve"> </w:t>
      </w:r>
      <w:r>
        <w:rPr>
          <w:color w:val="215E9E"/>
          <w:sz w:val="16"/>
          <w:u w:val="single" w:color="215E9E"/>
        </w:rPr>
        <w:t>School investigated after claims boy with autism locked in ‘cage</w:t>
      </w:r>
      <w:r>
        <w:rPr>
          <w:color w:val="215E9E"/>
          <w:sz w:val="16"/>
        </w:rPr>
        <w:t>’</w:t>
      </w:r>
      <w:r>
        <w:rPr>
          <w:sz w:val="16"/>
        </w:rPr>
        <w:t>. Australian Broadcasting Corporation (ABC) (31 August 2016)</w:t>
      </w:r>
      <w:r>
        <w:rPr>
          <w:color w:val="215E9E"/>
          <w:sz w:val="16"/>
        </w:rPr>
        <w:t xml:space="preserve"> </w:t>
      </w:r>
      <w:r>
        <w:rPr>
          <w:color w:val="215E9E"/>
          <w:sz w:val="16"/>
          <w:u w:val="single" w:color="215E9E"/>
        </w:rPr>
        <w:t>School accused of leaving teen with autism outside on beanbag for whole term</w:t>
      </w:r>
      <w:r>
        <w:rPr>
          <w:sz w:val="16"/>
        </w:rPr>
        <w:t xml:space="preserve">. The Canberra Times </w:t>
      </w:r>
      <w:r>
        <w:rPr>
          <w:spacing w:val="-4"/>
          <w:sz w:val="16"/>
        </w:rPr>
        <w:t xml:space="preserve">(11 </w:t>
      </w:r>
      <w:r>
        <w:rPr>
          <w:sz w:val="16"/>
        </w:rPr>
        <w:t>August 2016)</w:t>
      </w:r>
      <w:r>
        <w:rPr>
          <w:color w:val="215E9E"/>
          <w:sz w:val="16"/>
        </w:rPr>
        <w:t xml:space="preserve"> </w:t>
      </w:r>
      <w:r>
        <w:rPr>
          <w:color w:val="215E9E"/>
          <w:sz w:val="16"/>
          <w:u w:val="single" w:color="215E9E"/>
        </w:rPr>
        <w:t>Autism cage details emerge as United Nations investigates abuse</w:t>
      </w:r>
      <w:r>
        <w:rPr>
          <w:color w:val="215E9E"/>
          <w:spacing w:val="-5"/>
          <w:sz w:val="16"/>
          <w:u w:val="single" w:color="215E9E"/>
        </w:rPr>
        <w:t xml:space="preserve"> </w:t>
      </w:r>
      <w:r>
        <w:rPr>
          <w:color w:val="215E9E"/>
          <w:sz w:val="16"/>
          <w:u w:val="single" w:color="215E9E"/>
        </w:rPr>
        <w:t>of</w:t>
      </w:r>
      <w:r>
        <w:rPr>
          <w:color w:val="215E9E"/>
          <w:spacing w:val="-5"/>
          <w:sz w:val="16"/>
          <w:u w:val="single" w:color="215E9E"/>
        </w:rPr>
        <w:t xml:space="preserve"> </w:t>
      </w:r>
      <w:r>
        <w:rPr>
          <w:color w:val="215E9E"/>
          <w:sz w:val="16"/>
          <w:u w:val="single" w:color="215E9E"/>
        </w:rPr>
        <w:t>children</w:t>
      </w:r>
      <w:r>
        <w:rPr>
          <w:sz w:val="16"/>
        </w:rPr>
        <w:t>.</w:t>
      </w:r>
      <w:r>
        <w:rPr>
          <w:spacing w:val="-4"/>
          <w:sz w:val="16"/>
        </w:rPr>
        <w:t xml:space="preserve"> </w:t>
      </w:r>
      <w:r>
        <w:rPr>
          <w:sz w:val="16"/>
        </w:rPr>
        <w:t>See</w:t>
      </w:r>
      <w:r>
        <w:rPr>
          <w:spacing w:val="-4"/>
          <w:sz w:val="16"/>
        </w:rPr>
        <w:t xml:space="preserve"> </w:t>
      </w:r>
      <w:r>
        <w:rPr>
          <w:sz w:val="16"/>
        </w:rPr>
        <w:t>also:</w:t>
      </w:r>
      <w:r>
        <w:rPr>
          <w:spacing w:val="-5"/>
          <w:sz w:val="16"/>
        </w:rPr>
        <w:t xml:space="preserve"> </w:t>
      </w:r>
      <w:r>
        <w:rPr>
          <w:sz w:val="16"/>
        </w:rPr>
        <w:t>Senate</w:t>
      </w:r>
      <w:r>
        <w:rPr>
          <w:spacing w:val="-4"/>
          <w:sz w:val="16"/>
        </w:rPr>
        <w:t xml:space="preserve"> </w:t>
      </w:r>
      <w:r>
        <w:rPr>
          <w:sz w:val="16"/>
        </w:rPr>
        <w:t>Community</w:t>
      </w:r>
      <w:r>
        <w:rPr>
          <w:spacing w:val="-12"/>
          <w:sz w:val="16"/>
        </w:rPr>
        <w:t xml:space="preserve"> </w:t>
      </w:r>
      <w:r>
        <w:rPr>
          <w:sz w:val="16"/>
        </w:rPr>
        <w:t>Affairs</w:t>
      </w:r>
      <w:r>
        <w:rPr>
          <w:spacing w:val="-4"/>
          <w:sz w:val="16"/>
        </w:rPr>
        <w:t xml:space="preserve"> </w:t>
      </w:r>
      <w:r>
        <w:rPr>
          <w:sz w:val="16"/>
        </w:rPr>
        <w:t>References</w:t>
      </w:r>
      <w:r>
        <w:rPr>
          <w:spacing w:val="-5"/>
          <w:sz w:val="16"/>
        </w:rPr>
        <w:t xml:space="preserve"> </w:t>
      </w:r>
      <w:r>
        <w:rPr>
          <w:sz w:val="16"/>
        </w:rPr>
        <w:t>Committee</w:t>
      </w:r>
      <w:r>
        <w:rPr>
          <w:spacing w:val="-5"/>
          <w:sz w:val="16"/>
        </w:rPr>
        <w:t xml:space="preserve"> </w:t>
      </w:r>
      <w:r>
        <w:rPr>
          <w:sz w:val="16"/>
        </w:rPr>
        <w:t>(November</w:t>
      </w:r>
      <w:r>
        <w:rPr>
          <w:spacing w:val="-4"/>
          <w:sz w:val="16"/>
        </w:rPr>
        <w:t xml:space="preserve"> </w:t>
      </w:r>
      <w:r>
        <w:rPr>
          <w:sz w:val="16"/>
        </w:rPr>
        <w:t>2015)</w:t>
      </w:r>
      <w:r>
        <w:rPr>
          <w:color w:val="215E9E"/>
          <w:spacing w:val="-3"/>
          <w:sz w:val="16"/>
        </w:rPr>
        <w:t xml:space="preserve"> </w:t>
      </w:r>
      <w:r>
        <w:rPr>
          <w:color w:val="215E9E"/>
          <w:sz w:val="16"/>
          <w:u w:val="single" w:color="215E9E"/>
        </w:rPr>
        <w:t>Final</w:t>
      </w:r>
      <w:r>
        <w:rPr>
          <w:color w:val="215E9E"/>
          <w:spacing w:val="-4"/>
          <w:sz w:val="16"/>
          <w:u w:val="single" w:color="215E9E"/>
        </w:rPr>
        <w:t xml:space="preserve"> </w:t>
      </w:r>
      <w:r>
        <w:rPr>
          <w:color w:val="215E9E"/>
          <w:sz w:val="16"/>
          <w:u w:val="single" w:color="215E9E"/>
        </w:rPr>
        <w:t>Report:</w:t>
      </w:r>
      <w:r>
        <w:rPr>
          <w:color w:val="215E9E"/>
          <w:spacing w:val="-4"/>
          <w:sz w:val="16"/>
          <w:u w:val="single" w:color="215E9E"/>
        </w:rPr>
        <w:t xml:space="preserve"> </w:t>
      </w:r>
      <w:r>
        <w:rPr>
          <w:color w:val="215E9E"/>
          <w:sz w:val="16"/>
          <w:u w:val="single" w:color="215E9E"/>
        </w:rPr>
        <w:t>‘Violence,</w:t>
      </w:r>
      <w:r>
        <w:rPr>
          <w:color w:val="215E9E"/>
          <w:spacing w:val="-5"/>
          <w:sz w:val="16"/>
          <w:u w:val="single" w:color="215E9E"/>
        </w:rPr>
        <w:t xml:space="preserve"> </w:t>
      </w:r>
      <w:r>
        <w:rPr>
          <w:color w:val="215E9E"/>
          <w:sz w:val="16"/>
          <w:u w:val="single" w:color="215E9E"/>
        </w:rPr>
        <w:t>abuse</w:t>
      </w:r>
      <w:r>
        <w:rPr>
          <w:color w:val="215E9E"/>
          <w:spacing w:val="-5"/>
          <w:sz w:val="16"/>
          <w:u w:val="single" w:color="215E9E"/>
        </w:rPr>
        <w:t xml:space="preserve"> </w:t>
      </w:r>
      <w:r>
        <w:rPr>
          <w:color w:val="215E9E"/>
          <w:sz w:val="16"/>
          <w:u w:val="single" w:color="215E9E"/>
        </w:rPr>
        <w:t>and</w:t>
      </w:r>
      <w:r>
        <w:rPr>
          <w:color w:val="215E9E"/>
          <w:spacing w:val="-5"/>
          <w:sz w:val="16"/>
          <w:u w:val="single" w:color="215E9E"/>
        </w:rPr>
        <w:t xml:space="preserve"> </w:t>
      </w:r>
      <w:r>
        <w:rPr>
          <w:color w:val="215E9E"/>
          <w:sz w:val="16"/>
          <w:u w:val="single" w:color="215E9E"/>
        </w:rPr>
        <w:t>neglect</w:t>
      </w:r>
      <w:r>
        <w:rPr>
          <w:color w:val="215E9E"/>
          <w:spacing w:val="-5"/>
          <w:sz w:val="16"/>
          <w:u w:val="single" w:color="215E9E"/>
        </w:rPr>
        <w:t xml:space="preserve"> </w:t>
      </w:r>
      <w:r>
        <w:rPr>
          <w:color w:val="215E9E"/>
          <w:sz w:val="16"/>
          <w:u w:val="single" w:color="215E9E"/>
        </w:rPr>
        <w:t>against people with disability in institutional and residential settings</w:t>
      </w:r>
      <w:r>
        <w:rPr>
          <w:sz w:val="16"/>
        </w:rPr>
        <w:t>. See also: Senate Education and Employment References Committee (2016)</w:t>
      </w:r>
      <w:r>
        <w:rPr>
          <w:color w:val="215E9E"/>
          <w:sz w:val="16"/>
        </w:rPr>
        <w:t xml:space="preserve"> </w:t>
      </w:r>
      <w:r>
        <w:rPr>
          <w:color w:val="215E9E"/>
          <w:sz w:val="16"/>
          <w:u w:val="single" w:color="215E9E"/>
        </w:rPr>
        <w:t xml:space="preserve">Final Report: Access to real learning: the impact of </w:t>
      </w:r>
      <w:r>
        <w:rPr>
          <w:color w:val="215E9E"/>
          <w:spacing w:val="-3"/>
          <w:sz w:val="16"/>
          <w:u w:val="single" w:color="215E9E"/>
        </w:rPr>
        <w:t xml:space="preserve">policy, </w:t>
      </w:r>
      <w:r>
        <w:rPr>
          <w:color w:val="215E9E"/>
          <w:sz w:val="16"/>
          <w:u w:val="single" w:color="215E9E"/>
        </w:rPr>
        <w:t>funding and culture on students with</w:t>
      </w:r>
      <w:r>
        <w:rPr>
          <w:color w:val="215E9E"/>
          <w:spacing w:val="-17"/>
          <w:sz w:val="16"/>
          <w:u w:val="single" w:color="215E9E"/>
        </w:rPr>
        <w:t xml:space="preserve"> </w:t>
      </w:r>
      <w:r>
        <w:rPr>
          <w:color w:val="215E9E"/>
          <w:sz w:val="16"/>
          <w:u w:val="single" w:color="215E9E"/>
        </w:rPr>
        <w:t>disability</w:t>
      </w:r>
    </w:p>
    <w:p w:rsidR="007A0A6C" w:rsidRDefault="00660E26">
      <w:pPr>
        <w:pStyle w:val="ListParagraph"/>
        <w:numPr>
          <w:ilvl w:val="0"/>
          <w:numId w:val="3"/>
        </w:numPr>
        <w:tabs>
          <w:tab w:val="left" w:pos="745"/>
        </w:tabs>
        <w:spacing w:before="96" w:line="261" w:lineRule="auto"/>
        <w:ind w:left="340" w:right="351" w:firstLine="0"/>
        <w:rPr>
          <w:sz w:val="16"/>
        </w:rPr>
      </w:pPr>
      <w:r>
        <w:rPr>
          <w:sz w:val="16"/>
        </w:rPr>
        <w:t>See</w:t>
      </w:r>
      <w:r>
        <w:rPr>
          <w:spacing w:val="-3"/>
          <w:sz w:val="16"/>
        </w:rPr>
        <w:t xml:space="preserve"> </w:t>
      </w:r>
      <w:r>
        <w:rPr>
          <w:sz w:val="16"/>
        </w:rPr>
        <w:t>e.g.,</w:t>
      </w:r>
      <w:r>
        <w:rPr>
          <w:spacing w:val="-4"/>
          <w:sz w:val="16"/>
        </w:rPr>
        <w:t xml:space="preserve"> </w:t>
      </w:r>
      <w:r>
        <w:rPr>
          <w:sz w:val="16"/>
        </w:rPr>
        <w:t>See:</w:t>
      </w:r>
      <w:r>
        <w:rPr>
          <w:spacing w:val="-11"/>
          <w:sz w:val="16"/>
        </w:rPr>
        <w:t xml:space="preserve"> </w:t>
      </w:r>
      <w:r>
        <w:rPr>
          <w:sz w:val="16"/>
        </w:rPr>
        <w:t>Australian</w:t>
      </w:r>
      <w:r>
        <w:rPr>
          <w:spacing w:val="-3"/>
          <w:sz w:val="16"/>
        </w:rPr>
        <w:t xml:space="preserve"> </w:t>
      </w:r>
      <w:r>
        <w:rPr>
          <w:sz w:val="16"/>
        </w:rPr>
        <w:t>Broadcasting</w:t>
      </w:r>
      <w:r>
        <w:rPr>
          <w:spacing w:val="-2"/>
          <w:sz w:val="16"/>
        </w:rPr>
        <w:t xml:space="preserve"> </w:t>
      </w:r>
      <w:r>
        <w:rPr>
          <w:sz w:val="16"/>
        </w:rPr>
        <w:t>Corporation</w:t>
      </w:r>
      <w:r>
        <w:rPr>
          <w:spacing w:val="-4"/>
          <w:sz w:val="16"/>
        </w:rPr>
        <w:t xml:space="preserve"> </w:t>
      </w:r>
      <w:r>
        <w:rPr>
          <w:sz w:val="16"/>
        </w:rPr>
        <w:t>(ABC)</w:t>
      </w:r>
      <w:r>
        <w:rPr>
          <w:spacing w:val="-2"/>
          <w:sz w:val="16"/>
        </w:rPr>
        <w:t xml:space="preserve"> </w:t>
      </w:r>
      <w:r>
        <w:rPr>
          <w:sz w:val="16"/>
        </w:rPr>
        <w:t>(16</w:t>
      </w:r>
      <w:r>
        <w:rPr>
          <w:spacing w:val="-12"/>
          <w:sz w:val="16"/>
        </w:rPr>
        <w:t xml:space="preserve"> </w:t>
      </w:r>
      <w:r>
        <w:rPr>
          <w:sz w:val="16"/>
        </w:rPr>
        <w:t>August</w:t>
      </w:r>
      <w:r>
        <w:rPr>
          <w:spacing w:val="-2"/>
          <w:sz w:val="16"/>
        </w:rPr>
        <w:t xml:space="preserve"> </w:t>
      </w:r>
      <w:r>
        <w:rPr>
          <w:sz w:val="16"/>
        </w:rPr>
        <w:t>2016)</w:t>
      </w:r>
      <w:r>
        <w:rPr>
          <w:color w:val="215E9E"/>
          <w:spacing w:val="-3"/>
          <w:sz w:val="16"/>
        </w:rPr>
        <w:t xml:space="preserve"> </w:t>
      </w:r>
      <w:r>
        <w:rPr>
          <w:color w:val="215E9E"/>
          <w:sz w:val="16"/>
          <w:u w:val="single" w:color="215E9E"/>
        </w:rPr>
        <w:t>School</w:t>
      </w:r>
      <w:r>
        <w:rPr>
          <w:color w:val="215E9E"/>
          <w:spacing w:val="-3"/>
          <w:sz w:val="16"/>
          <w:u w:val="single" w:color="215E9E"/>
        </w:rPr>
        <w:t xml:space="preserve"> </w:t>
      </w:r>
      <w:r>
        <w:rPr>
          <w:color w:val="215E9E"/>
          <w:sz w:val="16"/>
          <w:u w:val="single" w:color="215E9E"/>
        </w:rPr>
        <w:t>investigated</w:t>
      </w:r>
      <w:r>
        <w:rPr>
          <w:color w:val="215E9E"/>
          <w:spacing w:val="-3"/>
          <w:sz w:val="16"/>
          <w:u w:val="single" w:color="215E9E"/>
        </w:rPr>
        <w:t xml:space="preserve"> </w:t>
      </w:r>
      <w:r>
        <w:rPr>
          <w:color w:val="215E9E"/>
          <w:sz w:val="16"/>
          <w:u w:val="single" w:color="215E9E"/>
        </w:rPr>
        <w:t>after</w:t>
      </w:r>
      <w:r>
        <w:rPr>
          <w:color w:val="215E9E"/>
          <w:spacing w:val="-4"/>
          <w:sz w:val="16"/>
          <w:u w:val="single" w:color="215E9E"/>
        </w:rPr>
        <w:t xml:space="preserve"> </w:t>
      </w:r>
      <w:r>
        <w:rPr>
          <w:color w:val="215E9E"/>
          <w:sz w:val="16"/>
          <w:u w:val="single" w:color="215E9E"/>
        </w:rPr>
        <w:t>claims</w:t>
      </w:r>
      <w:r>
        <w:rPr>
          <w:color w:val="215E9E"/>
          <w:spacing w:val="-2"/>
          <w:sz w:val="16"/>
          <w:u w:val="single" w:color="215E9E"/>
        </w:rPr>
        <w:t xml:space="preserve"> </w:t>
      </w:r>
      <w:r>
        <w:rPr>
          <w:color w:val="215E9E"/>
          <w:sz w:val="16"/>
          <w:u w:val="single" w:color="215E9E"/>
        </w:rPr>
        <w:t>boy</w:t>
      </w:r>
      <w:r>
        <w:rPr>
          <w:color w:val="215E9E"/>
          <w:spacing w:val="-4"/>
          <w:sz w:val="16"/>
          <w:u w:val="single" w:color="215E9E"/>
        </w:rPr>
        <w:t xml:space="preserve"> </w:t>
      </w:r>
      <w:r>
        <w:rPr>
          <w:color w:val="215E9E"/>
          <w:sz w:val="16"/>
          <w:u w:val="single" w:color="215E9E"/>
        </w:rPr>
        <w:t>with</w:t>
      </w:r>
      <w:r>
        <w:rPr>
          <w:color w:val="215E9E"/>
          <w:spacing w:val="-4"/>
          <w:sz w:val="16"/>
          <w:u w:val="single" w:color="215E9E"/>
        </w:rPr>
        <w:t xml:space="preserve"> </w:t>
      </w:r>
      <w:r>
        <w:rPr>
          <w:color w:val="215E9E"/>
          <w:sz w:val="16"/>
          <w:u w:val="single" w:color="215E9E"/>
        </w:rPr>
        <w:t>autism</w:t>
      </w:r>
      <w:r>
        <w:rPr>
          <w:color w:val="215E9E"/>
          <w:spacing w:val="-3"/>
          <w:sz w:val="16"/>
          <w:u w:val="single" w:color="215E9E"/>
        </w:rPr>
        <w:t xml:space="preserve"> </w:t>
      </w:r>
      <w:r>
        <w:rPr>
          <w:color w:val="215E9E"/>
          <w:sz w:val="16"/>
          <w:u w:val="single" w:color="215E9E"/>
        </w:rPr>
        <w:t>locked</w:t>
      </w:r>
      <w:r>
        <w:rPr>
          <w:color w:val="215E9E"/>
          <w:spacing w:val="-4"/>
          <w:sz w:val="16"/>
          <w:u w:val="single" w:color="215E9E"/>
        </w:rPr>
        <w:t xml:space="preserve"> </w:t>
      </w:r>
      <w:r>
        <w:rPr>
          <w:color w:val="215E9E"/>
          <w:sz w:val="16"/>
          <w:u w:val="single" w:color="215E9E"/>
        </w:rPr>
        <w:t>in</w:t>
      </w:r>
      <w:r>
        <w:rPr>
          <w:color w:val="215E9E"/>
          <w:spacing w:val="-3"/>
          <w:sz w:val="16"/>
          <w:u w:val="single" w:color="215E9E"/>
        </w:rPr>
        <w:t xml:space="preserve"> </w:t>
      </w:r>
      <w:r>
        <w:rPr>
          <w:color w:val="215E9E"/>
          <w:sz w:val="16"/>
          <w:u w:val="single" w:color="215E9E"/>
        </w:rPr>
        <w:t>‘cage</w:t>
      </w:r>
      <w:r>
        <w:rPr>
          <w:color w:val="215E9E"/>
          <w:sz w:val="16"/>
        </w:rPr>
        <w:t>’</w:t>
      </w:r>
      <w:r>
        <w:rPr>
          <w:sz w:val="16"/>
        </w:rPr>
        <w:t>. Australian Broadcasting Corporation (ABC) (31 August 2016)</w:t>
      </w:r>
      <w:r>
        <w:rPr>
          <w:color w:val="215E9E"/>
          <w:sz w:val="16"/>
        </w:rPr>
        <w:t xml:space="preserve"> </w:t>
      </w:r>
      <w:r>
        <w:rPr>
          <w:color w:val="215E9E"/>
          <w:sz w:val="16"/>
          <w:u w:val="single" w:color="215E9E"/>
        </w:rPr>
        <w:t>School accused of leaving teen with autism outside on beanbag for whole term</w:t>
      </w:r>
      <w:r>
        <w:rPr>
          <w:sz w:val="16"/>
        </w:rPr>
        <w:t>. The Canberra</w:t>
      </w:r>
      <w:r>
        <w:rPr>
          <w:spacing w:val="-4"/>
          <w:sz w:val="16"/>
        </w:rPr>
        <w:t xml:space="preserve"> </w:t>
      </w:r>
      <w:r>
        <w:rPr>
          <w:sz w:val="16"/>
        </w:rPr>
        <w:t>Times</w:t>
      </w:r>
      <w:r>
        <w:rPr>
          <w:spacing w:val="-2"/>
          <w:sz w:val="16"/>
        </w:rPr>
        <w:t xml:space="preserve"> </w:t>
      </w:r>
      <w:r>
        <w:rPr>
          <w:spacing w:val="-4"/>
          <w:sz w:val="16"/>
        </w:rPr>
        <w:t>(11</w:t>
      </w:r>
      <w:r>
        <w:rPr>
          <w:spacing w:val="-10"/>
          <w:sz w:val="16"/>
        </w:rPr>
        <w:t xml:space="preserve"> </w:t>
      </w:r>
      <w:r>
        <w:rPr>
          <w:sz w:val="16"/>
        </w:rPr>
        <w:t>August 2016)</w:t>
      </w:r>
      <w:r>
        <w:rPr>
          <w:color w:val="215E9E"/>
          <w:spacing w:val="-10"/>
          <w:sz w:val="16"/>
        </w:rPr>
        <w:t xml:space="preserve"> </w:t>
      </w:r>
      <w:r>
        <w:rPr>
          <w:color w:val="215E9E"/>
          <w:sz w:val="16"/>
          <w:u w:val="single" w:color="215E9E"/>
        </w:rPr>
        <w:t>Autism</w:t>
      </w:r>
      <w:r>
        <w:rPr>
          <w:color w:val="215E9E"/>
          <w:spacing w:val="-1"/>
          <w:sz w:val="16"/>
          <w:u w:val="single" w:color="215E9E"/>
        </w:rPr>
        <w:t xml:space="preserve"> </w:t>
      </w:r>
      <w:r>
        <w:rPr>
          <w:color w:val="215E9E"/>
          <w:sz w:val="16"/>
          <w:u w:val="single" w:color="215E9E"/>
        </w:rPr>
        <w:t>cage</w:t>
      </w:r>
      <w:r>
        <w:rPr>
          <w:color w:val="215E9E"/>
          <w:spacing w:val="-1"/>
          <w:sz w:val="16"/>
          <w:u w:val="single" w:color="215E9E"/>
        </w:rPr>
        <w:t xml:space="preserve"> </w:t>
      </w:r>
      <w:r>
        <w:rPr>
          <w:color w:val="215E9E"/>
          <w:sz w:val="16"/>
          <w:u w:val="single" w:color="215E9E"/>
        </w:rPr>
        <w:t>details</w:t>
      </w:r>
      <w:r>
        <w:rPr>
          <w:color w:val="215E9E"/>
          <w:spacing w:val="-1"/>
          <w:sz w:val="16"/>
          <w:u w:val="single" w:color="215E9E"/>
        </w:rPr>
        <w:t xml:space="preserve"> </w:t>
      </w:r>
      <w:r>
        <w:rPr>
          <w:color w:val="215E9E"/>
          <w:sz w:val="16"/>
          <w:u w:val="single" w:color="215E9E"/>
        </w:rPr>
        <w:t>emerge</w:t>
      </w:r>
      <w:r>
        <w:rPr>
          <w:color w:val="215E9E"/>
          <w:spacing w:val="-2"/>
          <w:sz w:val="16"/>
          <w:u w:val="single" w:color="215E9E"/>
        </w:rPr>
        <w:t xml:space="preserve"> </w:t>
      </w:r>
      <w:r>
        <w:rPr>
          <w:color w:val="215E9E"/>
          <w:sz w:val="16"/>
          <w:u w:val="single" w:color="215E9E"/>
        </w:rPr>
        <w:t>as</w:t>
      </w:r>
      <w:r>
        <w:rPr>
          <w:color w:val="215E9E"/>
          <w:spacing w:val="-2"/>
          <w:sz w:val="16"/>
          <w:u w:val="single" w:color="215E9E"/>
        </w:rPr>
        <w:t xml:space="preserve"> </w:t>
      </w:r>
      <w:r>
        <w:rPr>
          <w:color w:val="215E9E"/>
          <w:sz w:val="16"/>
          <w:u w:val="single" w:color="215E9E"/>
        </w:rPr>
        <w:t>United</w:t>
      </w:r>
      <w:r>
        <w:rPr>
          <w:color w:val="215E9E"/>
          <w:spacing w:val="-2"/>
          <w:sz w:val="16"/>
          <w:u w:val="single" w:color="215E9E"/>
        </w:rPr>
        <w:t xml:space="preserve"> </w:t>
      </w:r>
      <w:r>
        <w:rPr>
          <w:color w:val="215E9E"/>
          <w:sz w:val="16"/>
          <w:u w:val="single" w:color="215E9E"/>
        </w:rPr>
        <w:t>Nations</w:t>
      </w:r>
      <w:r>
        <w:rPr>
          <w:color w:val="215E9E"/>
          <w:spacing w:val="-2"/>
          <w:sz w:val="16"/>
          <w:u w:val="single" w:color="215E9E"/>
        </w:rPr>
        <w:t xml:space="preserve"> </w:t>
      </w:r>
      <w:r>
        <w:rPr>
          <w:color w:val="215E9E"/>
          <w:sz w:val="16"/>
          <w:u w:val="single" w:color="215E9E"/>
        </w:rPr>
        <w:t>investigates</w:t>
      </w:r>
      <w:r>
        <w:rPr>
          <w:color w:val="215E9E"/>
          <w:spacing w:val="-1"/>
          <w:sz w:val="16"/>
          <w:u w:val="single" w:color="215E9E"/>
        </w:rPr>
        <w:t xml:space="preserve"> </w:t>
      </w:r>
      <w:r>
        <w:rPr>
          <w:color w:val="215E9E"/>
          <w:sz w:val="16"/>
          <w:u w:val="single" w:color="215E9E"/>
        </w:rPr>
        <w:t>abuse</w:t>
      </w:r>
      <w:r>
        <w:rPr>
          <w:color w:val="215E9E"/>
          <w:spacing w:val="-2"/>
          <w:sz w:val="16"/>
          <w:u w:val="single" w:color="215E9E"/>
        </w:rPr>
        <w:t xml:space="preserve"> </w:t>
      </w:r>
      <w:r>
        <w:rPr>
          <w:color w:val="215E9E"/>
          <w:sz w:val="16"/>
          <w:u w:val="single" w:color="215E9E"/>
        </w:rPr>
        <w:t>of</w:t>
      </w:r>
      <w:r>
        <w:rPr>
          <w:color w:val="215E9E"/>
          <w:spacing w:val="-2"/>
          <w:sz w:val="16"/>
          <w:u w:val="single" w:color="215E9E"/>
        </w:rPr>
        <w:t xml:space="preserve"> </w:t>
      </w:r>
      <w:r>
        <w:rPr>
          <w:color w:val="215E9E"/>
          <w:sz w:val="16"/>
          <w:u w:val="single" w:color="215E9E"/>
        </w:rPr>
        <w:t>children</w:t>
      </w:r>
      <w:r>
        <w:rPr>
          <w:sz w:val="16"/>
        </w:rPr>
        <w:t>.</w:t>
      </w:r>
    </w:p>
    <w:p w:rsidR="007A0A6C" w:rsidRDefault="00660E26">
      <w:pPr>
        <w:pStyle w:val="ListParagraph"/>
        <w:numPr>
          <w:ilvl w:val="0"/>
          <w:numId w:val="3"/>
        </w:numPr>
        <w:tabs>
          <w:tab w:val="left" w:pos="745"/>
        </w:tabs>
        <w:spacing w:before="98"/>
        <w:ind w:left="744" w:hanging="404"/>
        <w:rPr>
          <w:sz w:val="16"/>
        </w:rPr>
      </w:pPr>
      <w:r>
        <w:rPr>
          <w:sz w:val="16"/>
        </w:rPr>
        <w:t>CRPD/G/GC/4</w:t>
      </w:r>
    </w:p>
    <w:p w:rsidR="007A0A6C" w:rsidRDefault="00660E26">
      <w:pPr>
        <w:pStyle w:val="ListParagraph"/>
        <w:numPr>
          <w:ilvl w:val="0"/>
          <w:numId w:val="3"/>
        </w:numPr>
        <w:tabs>
          <w:tab w:val="left" w:pos="745"/>
        </w:tabs>
        <w:ind w:left="744" w:hanging="404"/>
        <w:rPr>
          <w:sz w:val="16"/>
        </w:rPr>
      </w:pPr>
      <w:r>
        <w:rPr>
          <w:sz w:val="16"/>
        </w:rPr>
        <w:t xml:space="preserve">Sands, </w:t>
      </w:r>
      <w:r>
        <w:rPr>
          <w:spacing w:val="-9"/>
          <w:sz w:val="16"/>
        </w:rPr>
        <w:t xml:space="preserve">T. </w:t>
      </w:r>
      <w:r>
        <w:rPr>
          <w:sz w:val="16"/>
        </w:rPr>
        <w:t>(2017), Disabled People’s Organisations Australia (DPO Australia)</w:t>
      </w:r>
      <w:r>
        <w:rPr>
          <w:color w:val="215E9E"/>
          <w:sz w:val="16"/>
        </w:rPr>
        <w:t xml:space="preserve"> </w:t>
      </w:r>
      <w:r>
        <w:rPr>
          <w:color w:val="215E9E"/>
          <w:sz w:val="16"/>
          <w:u w:val="single" w:color="215E9E"/>
        </w:rPr>
        <w:t>Submission to the 2017/2018 Federal</w:t>
      </w:r>
      <w:r>
        <w:rPr>
          <w:color w:val="215E9E"/>
          <w:spacing w:val="-21"/>
          <w:sz w:val="16"/>
          <w:u w:val="single" w:color="215E9E"/>
        </w:rPr>
        <w:t xml:space="preserve"> </w:t>
      </w:r>
      <w:r>
        <w:rPr>
          <w:color w:val="215E9E"/>
          <w:sz w:val="16"/>
          <w:u w:val="single" w:color="215E9E"/>
        </w:rPr>
        <w:t>Budget</w:t>
      </w:r>
      <w:r>
        <w:rPr>
          <w:sz w:val="16"/>
        </w:rPr>
        <w:t>.</w:t>
      </w:r>
    </w:p>
    <w:p w:rsidR="007A0A6C" w:rsidRDefault="00660E26">
      <w:pPr>
        <w:pStyle w:val="ListParagraph"/>
        <w:numPr>
          <w:ilvl w:val="0"/>
          <w:numId w:val="3"/>
        </w:numPr>
        <w:tabs>
          <w:tab w:val="left" w:pos="745"/>
        </w:tabs>
        <w:spacing w:line="261" w:lineRule="auto"/>
        <w:ind w:left="340" w:right="389" w:firstLine="0"/>
        <w:rPr>
          <w:sz w:val="16"/>
        </w:rPr>
      </w:pPr>
      <w:r>
        <w:rPr>
          <w:sz w:val="16"/>
        </w:rPr>
        <w:t>Students</w:t>
      </w:r>
      <w:r>
        <w:rPr>
          <w:spacing w:val="-3"/>
          <w:sz w:val="16"/>
        </w:rPr>
        <w:t xml:space="preserve"> </w:t>
      </w:r>
      <w:r>
        <w:rPr>
          <w:sz w:val="16"/>
        </w:rPr>
        <w:t>with</w:t>
      </w:r>
      <w:r>
        <w:rPr>
          <w:spacing w:val="-3"/>
          <w:sz w:val="16"/>
        </w:rPr>
        <w:t xml:space="preserve"> </w:t>
      </w:r>
      <w:r>
        <w:rPr>
          <w:sz w:val="16"/>
        </w:rPr>
        <w:t>disability</w:t>
      </w:r>
      <w:r>
        <w:rPr>
          <w:spacing w:val="-3"/>
          <w:sz w:val="16"/>
        </w:rPr>
        <w:t xml:space="preserve"> </w:t>
      </w:r>
      <w:r>
        <w:rPr>
          <w:sz w:val="16"/>
        </w:rPr>
        <w:t>report</w:t>
      </w:r>
      <w:r>
        <w:rPr>
          <w:spacing w:val="-2"/>
          <w:sz w:val="16"/>
        </w:rPr>
        <w:t xml:space="preserve"> </w:t>
      </w:r>
      <w:r>
        <w:rPr>
          <w:sz w:val="16"/>
        </w:rPr>
        <w:t>that</w:t>
      </w:r>
      <w:r>
        <w:rPr>
          <w:spacing w:val="-2"/>
          <w:sz w:val="16"/>
        </w:rPr>
        <w:t xml:space="preserve"> </w:t>
      </w:r>
      <w:r>
        <w:rPr>
          <w:sz w:val="16"/>
        </w:rPr>
        <w:t>their</w:t>
      </w:r>
      <w:r>
        <w:rPr>
          <w:spacing w:val="-2"/>
          <w:sz w:val="16"/>
        </w:rPr>
        <w:t xml:space="preserve"> </w:t>
      </w:r>
      <w:r>
        <w:rPr>
          <w:sz w:val="16"/>
        </w:rPr>
        <w:t>disability</w:t>
      </w:r>
      <w:r>
        <w:rPr>
          <w:spacing w:val="-3"/>
          <w:sz w:val="16"/>
        </w:rPr>
        <w:t xml:space="preserve"> </w:t>
      </w:r>
      <w:r>
        <w:rPr>
          <w:sz w:val="16"/>
        </w:rPr>
        <w:t>is</w:t>
      </w:r>
      <w:r>
        <w:rPr>
          <w:spacing w:val="-3"/>
          <w:sz w:val="16"/>
        </w:rPr>
        <w:t xml:space="preserve"> </w:t>
      </w:r>
      <w:r>
        <w:rPr>
          <w:sz w:val="16"/>
        </w:rPr>
        <w:t>the</w:t>
      </w:r>
      <w:r>
        <w:rPr>
          <w:spacing w:val="-2"/>
          <w:sz w:val="16"/>
        </w:rPr>
        <w:t xml:space="preserve"> </w:t>
      </w:r>
      <w:r>
        <w:rPr>
          <w:sz w:val="16"/>
        </w:rPr>
        <w:t>main</w:t>
      </w:r>
      <w:r>
        <w:rPr>
          <w:spacing w:val="-2"/>
          <w:sz w:val="16"/>
        </w:rPr>
        <w:t xml:space="preserve"> </w:t>
      </w:r>
      <w:r>
        <w:rPr>
          <w:sz w:val="16"/>
        </w:rPr>
        <w:t>reason</w:t>
      </w:r>
      <w:r>
        <w:rPr>
          <w:spacing w:val="-2"/>
          <w:sz w:val="16"/>
        </w:rPr>
        <w:t xml:space="preserve"> </w:t>
      </w:r>
      <w:r>
        <w:rPr>
          <w:sz w:val="16"/>
        </w:rPr>
        <w:t>they</w:t>
      </w:r>
      <w:r>
        <w:rPr>
          <w:spacing w:val="-2"/>
          <w:sz w:val="16"/>
        </w:rPr>
        <w:t xml:space="preserve"> </w:t>
      </w:r>
      <w:r>
        <w:rPr>
          <w:sz w:val="16"/>
        </w:rPr>
        <w:t>do</w:t>
      </w:r>
      <w:r>
        <w:rPr>
          <w:spacing w:val="-3"/>
          <w:sz w:val="16"/>
        </w:rPr>
        <w:t xml:space="preserve"> </w:t>
      </w:r>
      <w:r>
        <w:rPr>
          <w:sz w:val="16"/>
        </w:rPr>
        <w:t>not</w:t>
      </w:r>
      <w:r>
        <w:rPr>
          <w:spacing w:val="-3"/>
          <w:sz w:val="16"/>
        </w:rPr>
        <w:t xml:space="preserve"> </w:t>
      </w:r>
      <w:r>
        <w:rPr>
          <w:sz w:val="16"/>
        </w:rPr>
        <w:t>attend</w:t>
      </w:r>
      <w:r>
        <w:rPr>
          <w:spacing w:val="-3"/>
          <w:sz w:val="16"/>
        </w:rPr>
        <w:t xml:space="preserve"> </w:t>
      </w:r>
      <w:r>
        <w:rPr>
          <w:sz w:val="16"/>
        </w:rPr>
        <w:t>school.</w:t>
      </w:r>
      <w:r>
        <w:rPr>
          <w:spacing w:val="-2"/>
          <w:sz w:val="16"/>
        </w:rPr>
        <w:t xml:space="preserve"> </w:t>
      </w:r>
      <w:r>
        <w:rPr>
          <w:sz w:val="16"/>
        </w:rPr>
        <w:t>See:</w:t>
      </w:r>
      <w:r>
        <w:rPr>
          <w:spacing w:val="-11"/>
          <w:sz w:val="16"/>
        </w:rPr>
        <w:t xml:space="preserve"> </w:t>
      </w:r>
      <w:r>
        <w:rPr>
          <w:sz w:val="16"/>
        </w:rPr>
        <w:t>Australian</w:t>
      </w:r>
      <w:r>
        <w:rPr>
          <w:spacing w:val="-2"/>
          <w:sz w:val="16"/>
        </w:rPr>
        <w:t xml:space="preserve"> </w:t>
      </w:r>
      <w:r>
        <w:rPr>
          <w:sz w:val="16"/>
        </w:rPr>
        <w:t>Institute</w:t>
      </w:r>
      <w:r>
        <w:rPr>
          <w:spacing w:val="-2"/>
          <w:sz w:val="16"/>
        </w:rPr>
        <w:t xml:space="preserve"> </w:t>
      </w:r>
      <w:r>
        <w:rPr>
          <w:sz w:val="16"/>
        </w:rPr>
        <w:t>of</w:t>
      </w:r>
      <w:r>
        <w:rPr>
          <w:spacing w:val="-3"/>
          <w:sz w:val="16"/>
        </w:rPr>
        <w:t xml:space="preserve"> </w:t>
      </w:r>
      <w:r>
        <w:rPr>
          <w:sz w:val="16"/>
        </w:rPr>
        <w:t>Health</w:t>
      </w:r>
      <w:r>
        <w:rPr>
          <w:spacing w:val="-3"/>
          <w:sz w:val="16"/>
        </w:rPr>
        <w:t xml:space="preserve"> </w:t>
      </w:r>
      <w:r>
        <w:rPr>
          <w:sz w:val="16"/>
        </w:rPr>
        <w:t>and</w:t>
      </w:r>
      <w:r>
        <w:rPr>
          <w:spacing w:val="-3"/>
          <w:sz w:val="16"/>
        </w:rPr>
        <w:t xml:space="preserve"> </w:t>
      </w:r>
      <w:r>
        <w:rPr>
          <w:sz w:val="16"/>
        </w:rPr>
        <w:t>Welfare (2017)</w:t>
      </w:r>
      <w:r>
        <w:rPr>
          <w:color w:val="215E9E"/>
          <w:spacing w:val="-1"/>
          <w:sz w:val="16"/>
        </w:rPr>
        <w:t xml:space="preserve"> </w:t>
      </w:r>
      <w:r>
        <w:rPr>
          <w:color w:val="215E9E"/>
          <w:sz w:val="16"/>
          <w:u w:val="single" w:color="215E9E"/>
        </w:rPr>
        <w:t>Disability</w:t>
      </w:r>
      <w:r>
        <w:rPr>
          <w:color w:val="215E9E"/>
          <w:spacing w:val="-2"/>
          <w:sz w:val="16"/>
          <w:u w:val="single" w:color="215E9E"/>
        </w:rPr>
        <w:t xml:space="preserve"> </w:t>
      </w:r>
      <w:r>
        <w:rPr>
          <w:color w:val="215E9E"/>
          <w:sz w:val="16"/>
          <w:u w:val="single" w:color="215E9E"/>
        </w:rPr>
        <w:t>in</w:t>
      </w:r>
      <w:r>
        <w:rPr>
          <w:color w:val="215E9E"/>
          <w:spacing w:val="-10"/>
          <w:sz w:val="16"/>
          <w:u w:val="single" w:color="215E9E"/>
        </w:rPr>
        <w:t xml:space="preserve"> </w:t>
      </w:r>
      <w:r>
        <w:rPr>
          <w:color w:val="215E9E"/>
          <w:sz w:val="16"/>
          <w:u w:val="single" w:color="215E9E"/>
        </w:rPr>
        <w:t>Australia:</w:t>
      </w:r>
      <w:r>
        <w:rPr>
          <w:color w:val="215E9E"/>
          <w:spacing w:val="-1"/>
          <w:sz w:val="16"/>
          <w:u w:val="single" w:color="215E9E"/>
        </w:rPr>
        <w:t xml:space="preserve"> </w:t>
      </w:r>
      <w:r>
        <w:rPr>
          <w:color w:val="215E9E"/>
          <w:sz w:val="16"/>
          <w:u w:val="single" w:color="215E9E"/>
        </w:rPr>
        <w:t>changes over</w:t>
      </w:r>
      <w:r>
        <w:rPr>
          <w:color w:val="215E9E"/>
          <w:spacing w:val="-2"/>
          <w:sz w:val="16"/>
          <w:u w:val="single" w:color="215E9E"/>
        </w:rPr>
        <w:t xml:space="preserve"> </w:t>
      </w:r>
      <w:r>
        <w:rPr>
          <w:color w:val="215E9E"/>
          <w:sz w:val="16"/>
          <w:u w:val="single" w:color="215E9E"/>
        </w:rPr>
        <w:t>time</w:t>
      </w:r>
      <w:r>
        <w:rPr>
          <w:color w:val="215E9E"/>
          <w:spacing w:val="-1"/>
          <w:sz w:val="16"/>
          <w:u w:val="single" w:color="215E9E"/>
        </w:rPr>
        <w:t xml:space="preserve"> </w:t>
      </w:r>
      <w:r>
        <w:rPr>
          <w:color w:val="215E9E"/>
          <w:sz w:val="16"/>
          <w:u w:val="single" w:color="215E9E"/>
        </w:rPr>
        <w:t>in</w:t>
      </w:r>
      <w:r>
        <w:rPr>
          <w:color w:val="215E9E"/>
          <w:spacing w:val="-2"/>
          <w:sz w:val="16"/>
          <w:u w:val="single" w:color="215E9E"/>
        </w:rPr>
        <w:t xml:space="preserve"> </w:t>
      </w:r>
      <w:r>
        <w:rPr>
          <w:color w:val="215E9E"/>
          <w:sz w:val="16"/>
          <w:u w:val="single" w:color="215E9E"/>
        </w:rPr>
        <w:t>inclusion</w:t>
      </w:r>
      <w:r>
        <w:rPr>
          <w:color w:val="215E9E"/>
          <w:spacing w:val="-2"/>
          <w:sz w:val="16"/>
          <w:u w:val="single" w:color="215E9E"/>
        </w:rPr>
        <w:t xml:space="preserve"> </w:t>
      </w:r>
      <w:r>
        <w:rPr>
          <w:color w:val="215E9E"/>
          <w:sz w:val="16"/>
          <w:u w:val="single" w:color="215E9E"/>
        </w:rPr>
        <w:t>and</w:t>
      </w:r>
      <w:r>
        <w:rPr>
          <w:color w:val="215E9E"/>
          <w:spacing w:val="-1"/>
          <w:sz w:val="16"/>
          <w:u w:val="single" w:color="215E9E"/>
        </w:rPr>
        <w:t xml:space="preserve"> </w:t>
      </w:r>
      <w:r>
        <w:rPr>
          <w:color w:val="215E9E"/>
          <w:sz w:val="16"/>
          <w:u w:val="single" w:color="215E9E"/>
        </w:rPr>
        <w:t>participation</w:t>
      </w:r>
      <w:r>
        <w:rPr>
          <w:color w:val="215E9E"/>
          <w:spacing w:val="-2"/>
          <w:sz w:val="16"/>
          <w:u w:val="single" w:color="215E9E"/>
        </w:rPr>
        <w:t xml:space="preserve"> </w:t>
      </w:r>
      <w:r>
        <w:rPr>
          <w:color w:val="215E9E"/>
          <w:sz w:val="16"/>
          <w:u w:val="single" w:color="215E9E"/>
        </w:rPr>
        <w:t>in</w:t>
      </w:r>
      <w:r>
        <w:rPr>
          <w:color w:val="215E9E"/>
          <w:spacing w:val="-2"/>
          <w:sz w:val="16"/>
          <w:u w:val="single" w:color="215E9E"/>
        </w:rPr>
        <w:t xml:space="preserve"> </w:t>
      </w:r>
      <w:r>
        <w:rPr>
          <w:color w:val="215E9E"/>
          <w:sz w:val="16"/>
          <w:u w:val="single" w:color="215E9E"/>
        </w:rPr>
        <w:t>education</w:t>
      </w:r>
      <w:r>
        <w:rPr>
          <w:sz w:val="16"/>
        </w:rPr>
        <w:t>.</w:t>
      </w:r>
      <w:r>
        <w:rPr>
          <w:spacing w:val="-10"/>
          <w:sz w:val="16"/>
        </w:rPr>
        <w:t xml:space="preserve"> </w:t>
      </w:r>
      <w:r>
        <w:rPr>
          <w:sz w:val="16"/>
        </w:rPr>
        <w:t>AIHW, Canberra.</w:t>
      </w:r>
    </w:p>
    <w:p w:rsidR="007A0A6C" w:rsidRDefault="00660E26">
      <w:pPr>
        <w:pStyle w:val="ListParagraph"/>
        <w:numPr>
          <w:ilvl w:val="0"/>
          <w:numId w:val="3"/>
        </w:numPr>
        <w:tabs>
          <w:tab w:val="left" w:pos="745"/>
        </w:tabs>
        <w:spacing w:before="99" w:line="261" w:lineRule="auto"/>
        <w:ind w:left="340" w:right="518" w:firstLine="0"/>
        <w:rPr>
          <w:sz w:val="16"/>
        </w:rPr>
      </w:pPr>
      <w:r>
        <w:rPr>
          <w:sz w:val="16"/>
        </w:rPr>
        <w:t>20% of people with disability attending an educational institution experience discrimination, of which 25% identify a teacher or lecturer as the source of that discrimination. See: Australian Institute of Health and Welfare (2017)</w:t>
      </w:r>
      <w:r>
        <w:rPr>
          <w:color w:val="215E9E"/>
          <w:sz w:val="16"/>
        </w:rPr>
        <w:t xml:space="preserve"> </w:t>
      </w:r>
      <w:r>
        <w:rPr>
          <w:color w:val="215E9E"/>
          <w:sz w:val="16"/>
          <w:u w:val="single" w:color="215E9E"/>
        </w:rPr>
        <w:t>Disability in Australia: changes over time in inclusion and participation in education</w:t>
      </w:r>
      <w:r>
        <w:rPr>
          <w:sz w:val="16"/>
        </w:rPr>
        <w:t>. AIHW,</w:t>
      </w:r>
      <w:r>
        <w:rPr>
          <w:spacing w:val="-12"/>
          <w:sz w:val="16"/>
        </w:rPr>
        <w:t xml:space="preserve"> </w:t>
      </w:r>
      <w:r>
        <w:rPr>
          <w:sz w:val="16"/>
        </w:rPr>
        <w:t>Canberra.</w:t>
      </w:r>
    </w:p>
    <w:p w:rsidR="007A0A6C" w:rsidRDefault="00660E26">
      <w:pPr>
        <w:pStyle w:val="ListParagraph"/>
        <w:numPr>
          <w:ilvl w:val="0"/>
          <w:numId w:val="3"/>
        </w:numPr>
        <w:tabs>
          <w:tab w:val="left" w:pos="745"/>
        </w:tabs>
        <w:spacing w:before="98" w:line="261" w:lineRule="auto"/>
        <w:ind w:left="340" w:right="512" w:firstLine="0"/>
        <w:rPr>
          <w:sz w:val="16"/>
        </w:rPr>
      </w:pPr>
      <w:r>
        <w:rPr>
          <w:sz w:val="16"/>
        </w:rPr>
        <w:t>See</w:t>
      </w:r>
      <w:r>
        <w:rPr>
          <w:spacing w:val="-3"/>
          <w:sz w:val="16"/>
        </w:rPr>
        <w:t xml:space="preserve"> </w:t>
      </w:r>
      <w:r>
        <w:rPr>
          <w:sz w:val="16"/>
        </w:rPr>
        <w:t>for</w:t>
      </w:r>
      <w:r>
        <w:rPr>
          <w:spacing w:val="-3"/>
          <w:sz w:val="16"/>
        </w:rPr>
        <w:t xml:space="preserve"> </w:t>
      </w:r>
      <w:r>
        <w:rPr>
          <w:sz w:val="16"/>
        </w:rPr>
        <w:t>eg:</w:t>
      </w:r>
      <w:r>
        <w:rPr>
          <w:spacing w:val="-4"/>
          <w:sz w:val="16"/>
        </w:rPr>
        <w:t xml:space="preserve"> </w:t>
      </w:r>
      <w:r>
        <w:rPr>
          <w:sz w:val="16"/>
        </w:rPr>
        <w:t>Children</w:t>
      </w:r>
      <w:r>
        <w:rPr>
          <w:spacing w:val="-4"/>
          <w:sz w:val="16"/>
        </w:rPr>
        <w:t xml:space="preserve"> </w:t>
      </w:r>
      <w:r>
        <w:rPr>
          <w:sz w:val="16"/>
        </w:rPr>
        <w:t>with</w:t>
      </w:r>
      <w:r>
        <w:rPr>
          <w:spacing w:val="-4"/>
          <w:sz w:val="16"/>
        </w:rPr>
        <w:t xml:space="preserve"> </w:t>
      </w:r>
      <w:r>
        <w:rPr>
          <w:sz w:val="16"/>
        </w:rPr>
        <w:t>Disability</w:t>
      </w:r>
      <w:r>
        <w:rPr>
          <w:spacing w:val="-12"/>
          <w:sz w:val="16"/>
        </w:rPr>
        <w:t xml:space="preserve"> </w:t>
      </w:r>
      <w:r>
        <w:rPr>
          <w:sz w:val="16"/>
        </w:rPr>
        <w:t>Australia</w:t>
      </w:r>
      <w:r>
        <w:rPr>
          <w:spacing w:val="-2"/>
          <w:sz w:val="16"/>
        </w:rPr>
        <w:t xml:space="preserve"> </w:t>
      </w:r>
      <w:r>
        <w:rPr>
          <w:sz w:val="16"/>
        </w:rPr>
        <w:t>(CDA)</w:t>
      </w:r>
      <w:r>
        <w:rPr>
          <w:spacing w:val="-3"/>
          <w:sz w:val="16"/>
        </w:rPr>
        <w:t xml:space="preserve"> </w:t>
      </w:r>
      <w:r>
        <w:rPr>
          <w:sz w:val="16"/>
        </w:rPr>
        <w:t>(2013)</w:t>
      </w:r>
      <w:r>
        <w:rPr>
          <w:color w:val="215E9E"/>
          <w:spacing w:val="-3"/>
          <w:sz w:val="16"/>
        </w:rPr>
        <w:t xml:space="preserve"> </w:t>
      </w:r>
      <w:r>
        <w:rPr>
          <w:color w:val="215E9E"/>
          <w:sz w:val="16"/>
          <w:u w:val="single" w:color="215E9E"/>
        </w:rPr>
        <w:t>Inclusion</w:t>
      </w:r>
      <w:r>
        <w:rPr>
          <w:color w:val="215E9E"/>
          <w:spacing w:val="-3"/>
          <w:sz w:val="16"/>
          <w:u w:val="single" w:color="215E9E"/>
        </w:rPr>
        <w:t xml:space="preserve"> </w:t>
      </w:r>
      <w:r>
        <w:rPr>
          <w:color w:val="215E9E"/>
          <w:sz w:val="16"/>
          <w:u w:val="single" w:color="215E9E"/>
        </w:rPr>
        <w:t>in</w:t>
      </w:r>
      <w:r>
        <w:rPr>
          <w:color w:val="215E9E"/>
          <w:spacing w:val="-4"/>
          <w:sz w:val="16"/>
          <w:u w:val="single" w:color="215E9E"/>
        </w:rPr>
        <w:t xml:space="preserve"> </w:t>
      </w:r>
      <w:r>
        <w:rPr>
          <w:color w:val="215E9E"/>
          <w:sz w:val="16"/>
          <w:u w:val="single" w:color="215E9E"/>
        </w:rPr>
        <w:t>education:</w:t>
      </w:r>
      <w:r>
        <w:rPr>
          <w:color w:val="215E9E"/>
          <w:spacing w:val="-6"/>
          <w:sz w:val="16"/>
          <w:u w:val="single" w:color="215E9E"/>
        </w:rPr>
        <w:t xml:space="preserve"> </w:t>
      </w:r>
      <w:r>
        <w:rPr>
          <w:color w:val="215E9E"/>
          <w:spacing w:val="-4"/>
          <w:sz w:val="16"/>
          <w:u w:val="single" w:color="215E9E"/>
        </w:rPr>
        <w:t xml:space="preserve">Towards </w:t>
      </w:r>
      <w:r>
        <w:rPr>
          <w:color w:val="215E9E"/>
          <w:sz w:val="16"/>
          <w:u w:val="single" w:color="215E9E"/>
        </w:rPr>
        <w:t>equality</w:t>
      </w:r>
      <w:r>
        <w:rPr>
          <w:color w:val="215E9E"/>
          <w:spacing w:val="-4"/>
          <w:sz w:val="16"/>
          <w:u w:val="single" w:color="215E9E"/>
        </w:rPr>
        <w:t xml:space="preserve"> </w:t>
      </w:r>
      <w:r>
        <w:rPr>
          <w:color w:val="215E9E"/>
          <w:sz w:val="16"/>
          <w:u w:val="single" w:color="215E9E"/>
        </w:rPr>
        <w:t>for</w:t>
      </w:r>
      <w:r>
        <w:rPr>
          <w:color w:val="215E9E"/>
          <w:spacing w:val="-3"/>
          <w:sz w:val="16"/>
          <w:u w:val="single" w:color="215E9E"/>
        </w:rPr>
        <w:t xml:space="preserve"> </w:t>
      </w:r>
      <w:r>
        <w:rPr>
          <w:color w:val="215E9E"/>
          <w:sz w:val="16"/>
          <w:u w:val="single" w:color="215E9E"/>
        </w:rPr>
        <w:t>students</w:t>
      </w:r>
      <w:r>
        <w:rPr>
          <w:color w:val="215E9E"/>
          <w:spacing w:val="-3"/>
          <w:sz w:val="16"/>
          <w:u w:val="single" w:color="215E9E"/>
        </w:rPr>
        <w:t xml:space="preserve"> </w:t>
      </w:r>
      <w:r>
        <w:rPr>
          <w:color w:val="215E9E"/>
          <w:sz w:val="16"/>
          <w:u w:val="single" w:color="215E9E"/>
        </w:rPr>
        <w:t>with</w:t>
      </w:r>
      <w:r>
        <w:rPr>
          <w:color w:val="215E9E"/>
          <w:spacing w:val="-4"/>
          <w:sz w:val="16"/>
          <w:u w:val="single" w:color="215E9E"/>
        </w:rPr>
        <w:t xml:space="preserve"> </w:t>
      </w:r>
      <w:r>
        <w:rPr>
          <w:color w:val="215E9E"/>
          <w:sz w:val="16"/>
          <w:u w:val="single" w:color="215E9E"/>
        </w:rPr>
        <w:t>disability</w:t>
      </w:r>
      <w:r>
        <w:rPr>
          <w:sz w:val="16"/>
        </w:rPr>
        <w:t>,</w:t>
      </w:r>
      <w:r>
        <w:rPr>
          <w:spacing w:val="-3"/>
          <w:sz w:val="16"/>
        </w:rPr>
        <w:t xml:space="preserve"> </w:t>
      </w:r>
      <w:r>
        <w:rPr>
          <w:sz w:val="16"/>
        </w:rPr>
        <w:t>Written</w:t>
      </w:r>
      <w:r>
        <w:rPr>
          <w:spacing w:val="-3"/>
          <w:sz w:val="16"/>
        </w:rPr>
        <w:t xml:space="preserve"> </w:t>
      </w:r>
      <w:r>
        <w:rPr>
          <w:sz w:val="16"/>
        </w:rPr>
        <w:t>by</w:t>
      </w:r>
      <w:r>
        <w:rPr>
          <w:spacing w:val="-4"/>
          <w:sz w:val="16"/>
        </w:rPr>
        <w:t xml:space="preserve"> </w:t>
      </w:r>
      <w:r>
        <w:rPr>
          <w:sz w:val="16"/>
        </w:rPr>
        <w:t>Dr Kathy</w:t>
      </w:r>
      <w:r>
        <w:rPr>
          <w:spacing w:val="-1"/>
          <w:sz w:val="16"/>
        </w:rPr>
        <w:t xml:space="preserve"> </w:t>
      </w:r>
      <w:r>
        <w:rPr>
          <w:sz w:val="16"/>
        </w:rPr>
        <w:t>Cologon</w:t>
      </w:r>
      <w:r>
        <w:rPr>
          <w:spacing w:val="-2"/>
          <w:sz w:val="16"/>
        </w:rPr>
        <w:t xml:space="preserve"> </w:t>
      </w:r>
      <w:r>
        <w:rPr>
          <w:sz w:val="16"/>
        </w:rPr>
        <w:t>for CDA.</w:t>
      </w:r>
      <w:r>
        <w:rPr>
          <w:spacing w:val="-2"/>
          <w:sz w:val="16"/>
        </w:rPr>
        <w:t xml:space="preserve"> </w:t>
      </w:r>
      <w:r>
        <w:rPr>
          <w:sz w:val="16"/>
        </w:rPr>
        <w:t>See</w:t>
      </w:r>
      <w:r>
        <w:rPr>
          <w:spacing w:val="-1"/>
          <w:sz w:val="16"/>
        </w:rPr>
        <w:t xml:space="preserve"> </w:t>
      </w:r>
      <w:r>
        <w:rPr>
          <w:sz w:val="16"/>
        </w:rPr>
        <w:t>also:</w:t>
      </w:r>
      <w:r>
        <w:rPr>
          <w:color w:val="215E9E"/>
          <w:spacing w:val="-9"/>
          <w:sz w:val="16"/>
        </w:rPr>
        <w:t xml:space="preserve"> </w:t>
      </w:r>
      <w:r>
        <w:rPr>
          <w:color w:val="215E9E"/>
          <w:sz w:val="16"/>
          <w:u w:val="single" w:color="215E9E"/>
        </w:rPr>
        <w:t>Australian</w:t>
      </w:r>
      <w:r>
        <w:rPr>
          <w:color w:val="215E9E"/>
          <w:spacing w:val="-1"/>
          <w:sz w:val="16"/>
          <w:u w:val="single" w:color="215E9E"/>
        </w:rPr>
        <w:t xml:space="preserve"> </w:t>
      </w:r>
      <w:r>
        <w:rPr>
          <w:color w:val="215E9E"/>
          <w:sz w:val="16"/>
          <w:u w:val="single" w:color="215E9E"/>
        </w:rPr>
        <w:t>schools failing</w:t>
      </w:r>
      <w:r>
        <w:rPr>
          <w:color w:val="215E9E"/>
          <w:spacing w:val="-1"/>
          <w:sz w:val="16"/>
          <w:u w:val="single" w:color="215E9E"/>
        </w:rPr>
        <w:t xml:space="preserve"> </w:t>
      </w:r>
      <w:r>
        <w:rPr>
          <w:color w:val="215E9E"/>
          <w:sz w:val="16"/>
          <w:u w:val="single" w:color="215E9E"/>
        </w:rPr>
        <w:t>children with</w:t>
      </w:r>
      <w:r>
        <w:rPr>
          <w:color w:val="215E9E"/>
          <w:spacing w:val="-2"/>
          <w:sz w:val="16"/>
          <w:u w:val="single" w:color="215E9E"/>
        </w:rPr>
        <w:t xml:space="preserve"> </w:t>
      </w:r>
      <w:r>
        <w:rPr>
          <w:color w:val="215E9E"/>
          <w:sz w:val="16"/>
          <w:u w:val="single" w:color="215E9E"/>
        </w:rPr>
        <w:t>disabilities,</w:t>
      </w:r>
      <w:r>
        <w:rPr>
          <w:color w:val="215E9E"/>
          <w:spacing w:val="-2"/>
          <w:sz w:val="16"/>
          <w:u w:val="single" w:color="215E9E"/>
        </w:rPr>
        <w:t xml:space="preserve"> </w:t>
      </w:r>
      <w:r>
        <w:rPr>
          <w:color w:val="215E9E"/>
          <w:sz w:val="16"/>
          <w:u w:val="single" w:color="215E9E"/>
        </w:rPr>
        <w:t>Senate report</w:t>
      </w:r>
      <w:r>
        <w:rPr>
          <w:color w:val="215E9E"/>
          <w:spacing w:val="-1"/>
          <w:sz w:val="16"/>
          <w:u w:val="single" w:color="215E9E"/>
        </w:rPr>
        <w:t xml:space="preserve"> </w:t>
      </w:r>
      <w:r>
        <w:rPr>
          <w:color w:val="215E9E"/>
          <w:sz w:val="16"/>
          <w:u w:val="single" w:color="215E9E"/>
        </w:rPr>
        <w:t>finds</w:t>
      </w:r>
      <w:r>
        <w:rPr>
          <w:sz w:val="16"/>
        </w:rPr>
        <w:t>;</w:t>
      </w:r>
      <w:r>
        <w:rPr>
          <w:spacing w:val="-9"/>
          <w:sz w:val="16"/>
        </w:rPr>
        <w:t xml:space="preserve"> </w:t>
      </w:r>
      <w:r>
        <w:rPr>
          <w:sz w:val="16"/>
        </w:rPr>
        <w:t>ABC</w:t>
      </w:r>
      <w:r>
        <w:rPr>
          <w:spacing w:val="-4"/>
          <w:sz w:val="16"/>
        </w:rPr>
        <w:t xml:space="preserve"> </w:t>
      </w:r>
      <w:r>
        <w:rPr>
          <w:sz w:val="16"/>
        </w:rPr>
        <w:t>TV</w:t>
      </w:r>
      <w:r>
        <w:rPr>
          <w:spacing w:val="-1"/>
          <w:sz w:val="16"/>
        </w:rPr>
        <w:t xml:space="preserve"> </w:t>
      </w:r>
      <w:r>
        <w:rPr>
          <w:sz w:val="16"/>
        </w:rPr>
        <w:t>(15/01/2016)</w:t>
      </w:r>
    </w:p>
    <w:p w:rsidR="007A0A6C" w:rsidRDefault="00660E26">
      <w:pPr>
        <w:pStyle w:val="ListParagraph"/>
        <w:numPr>
          <w:ilvl w:val="0"/>
          <w:numId w:val="3"/>
        </w:numPr>
        <w:tabs>
          <w:tab w:val="left" w:pos="736"/>
        </w:tabs>
        <w:spacing w:before="99" w:line="261" w:lineRule="auto"/>
        <w:ind w:left="340" w:right="532" w:firstLine="0"/>
        <w:rPr>
          <w:sz w:val="16"/>
        </w:rPr>
      </w:pPr>
      <w:r>
        <w:rPr>
          <w:sz w:val="16"/>
        </w:rPr>
        <w:t>Australian</w:t>
      </w:r>
      <w:r>
        <w:rPr>
          <w:spacing w:val="-4"/>
          <w:sz w:val="16"/>
        </w:rPr>
        <w:t xml:space="preserve"> </w:t>
      </w:r>
      <w:r>
        <w:rPr>
          <w:sz w:val="16"/>
        </w:rPr>
        <w:t>Institute</w:t>
      </w:r>
      <w:r>
        <w:rPr>
          <w:spacing w:val="-3"/>
          <w:sz w:val="16"/>
        </w:rPr>
        <w:t xml:space="preserve"> </w:t>
      </w:r>
      <w:r>
        <w:rPr>
          <w:sz w:val="16"/>
        </w:rPr>
        <w:t>of</w:t>
      </w:r>
      <w:r>
        <w:rPr>
          <w:spacing w:val="-5"/>
          <w:sz w:val="16"/>
        </w:rPr>
        <w:t xml:space="preserve"> </w:t>
      </w:r>
      <w:r>
        <w:rPr>
          <w:sz w:val="16"/>
        </w:rPr>
        <w:t>Health</w:t>
      </w:r>
      <w:r>
        <w:rPr>
          <w:spacing w:val="-4"/>
          <w:sz w:val="16"/>
        </w:rPr>
        <w:t xml:space="preserve"> </w:t>
      </w:r>
      <w:r>
        <w:rPr>
          <w:sz w:val="16"/>
        </w:rPr>
        <w:t>and</w:t>
      </w:r>
      <w:r>
        <w:rPr>
          <w:spacing w:val="-4"/>
          <w:sz w:val="16"/>
        </w:rPr>
        <w:t xml:space="preserve"> </w:t>
      </w:r>
      <w:r>
        <w:rPr>
          <w:sz w:val="16"/>
        </w:rPr>
        <w:t>Welfare</w:t>
      </w:r>
      <w:r>
        <w:rPr>
          <w:spacing w:val="-5"/>
          <w:sz w:val="16"/>
        </w:rPr>
        <w:t xml:space="preserve"> </w:t>
      </w:r>
      <w:r>
        <w:rPr>
          <w:sz w:val="16"/>
        </w:rPr>
        <w:t>(2017)</w:t>
      </w:r>
      <w:r>
        <w:rPr>
          <w:color w:val="215E9E"/>
          <w:spacing w:val="-3"/>
          <w:sz w:val="16"/>
        </w:rPr>
        <w:t xml:space="preserve"> </w:t>
      </w:r>
      <w:r>
        <w:rPr>
          <w:color w:val="215E9E"/>
          <w:sz w:val="16"/>
          <w:u w:val="single" w:color="215E9E"/>
        </w:rPr>
        <w:t>Disability</w:t>
      </w:r>
      <w:r>
        <w:rPr>
          <w:color w:val="215E9E"/>
          <w:spacing w:val="-5"/>
          <w:sz w:val="16"/>
          <w:u w:val="single" w:color="215E9E"/>
        </w:rPr>
        <w:t xml:space="preserve"> </w:t>
      </w:r>
      <w:r>
        <w:rPr>
          <w:color w:val="215E9E"/>
          <w:sz w:val="16"/>
          <w:u w:val="single" w:color="215E9E"/>
        </w:rPr>
        <w:t>in</w:t>
      </w:r>
      <w:r>
        <w:rPr>
          <w:color w:val="215E9E"/>
          <w:spacing w:val="-11"/>
          <w:sz w:val="16"/>
          <w:u w:val="single" w:color="215E9E"/>
        </w:rPr>
        <w:t xml:space="preserve"> </w:t>
      </w:r>
      <w:r>
        <w:rPr>
          <w:color w:val="215E9E"/>
          <w:sz w:val="16"/>
          <w:u w:val="single" w:color="215E9E"/>
        </w:rPr>
        <w:t>Australia:</w:t>
      </w:r>
      <w:r>
        <w:rPr>
          <w:color w:val="215E9E"/>
          <w:spacing w:val="-4"/>
          <w:sz w:val="16"/>
          <w:u w:val="single" w:color="215E9E"/>
        </w:rPr>
        <w:t xml:space="preserve"> </w:t>
      </w:r>
      <w:r>
        <w:rPr>
          <w:color w:val="215E9E"/>
          <w:sz w:val="16"/>
          <w:u w:val="single" w:color="215E9E"/>
        </w:rPr>
        <w:t>changes</w:t>
      </w:r>
      <w:r>
        <w:rPr>
          <w:color w:val="215E9E"/>
          <w:spacing w:val="-3"/>
          <w:sz w:val="16"/>
          <w:u w:val="single" w:color="215E9E"/>
        </w:rPr>
        <w:t xml:space="preserve"> </w:t>
      </w:r>
      <w:r>
        <w:rPr>
          <w:color w:val="215E9E"/>
          <w:sz w:val="16"/>
          <w:u w:val="single" w:color="215E9E"/>
        </w:rPr>
        <w:t>over</w:t>
      </w:r>
      <w:r>
        <w:rPr>
          <w:color w:val="215E9E"/>
          <w:spacing w:val="-5"/>
          <w:sz w:val="16"/>
          <w:u w:val="single" w:color="215E9E"/>
        </w:rPr>
        <w:t xml:space="preserve"> </w:t>
      </w:r>
      <w:r>
        <w:rPr>
          <w:color w:val="215E9E"/>
          <w:sz w:val="16"/>
          <w:u w:val="single" w:color="215E9E"/>
        </w:rPr>
        <w:t>time</w:t>
      </w:r>
      <w:r>
        <w:rPr>
          <w:color w:val="215E9E"/>
          <w:spacing w:val="-3"/>
          <w:sz w:val="16"/>
          <w:u w:val="single" w:color="215E9E"/>
        </w:rPr>
        <w:t xml:space="preserve"> </w:t>
      </w:r>
      <w:r>
        <w:rPr>
          <w:color w:val="215E9E"/>
          <w:sz w:val="16"/>
          <w:u w:val="single" w:color="215E9E"/>
        </w:rPr>
        <w:t>in</w:t>
      </w:r>
      <w:r>
        <w:rPr>
          <w:color w:val="215E9E"/>
          <w:spacing w:val="-4"/>
          <w:sz w:val="16"/>
          <w:u w:val="single" w:color="215E9E"/>
        </w:rPr>
        <w:t xml:space="preserve"> </w:t>
      </w:r>
      <w:r>
        <w:rPr>
          <w:color w:val="215E9E"/>
          <w:sz w:val="16"/>
          <w:u w:val="single" w:color="215E9E"/>
        </w:rPr>
        <w:t>inclusion</w:t>
      </w:r>
      <w:r>
        <w:rPr>
          <w:color w:val="215E9E"/>
          <w:spacing w:val="-5"/>
          <w:sz w:val="16"/>
          <w:u w:val="single" w:color="215E9E"/>
        </w:rPr>
        <w:t xml:space="preserve"> </w:t>
      </w:r>
      <w:r>
        <w:rPr>
          <w:color w:val="215E9E"/>
          <w:sz w:val="16"/>
          <w:u w:val="single" w:color="215E9E"/>
        </w:rPr>
        <w:t>and</w:t>
      </w:r>
      <w:r>
        <w:rPr>
          <w:color w:val="215E9E"/>
          <w:spacing w:val="-4"/>
          <w:sz w:val="16"/>
          <w:u w:val="single" w:color="215E9E"/>
        </w:rPr>
        <w:t xml:space="preserve"> </w:t>
      </w:r>
      <w:r>
        <w:rPr>
          <w:color w:val="215E9E"/>
          <w:sz w:val="16"/>
          <w:u w:val="single" w:color="215E9E"/>
        </w:rPr>
        <w:t>participation</w:t>
      </w:r>
      <w:r>
        <w:rPr>
          <w:color w:val="215E9E"/>
          <w:spacing w:val="-5"/>
          <w:sz w:val="16"/>
          <w:u w:val="single" w:color="215E9E"/>
        </w:rPr>
        <w:t xml:space="preserve"> </w:t>
      </w:r>
      <w:r>
        <w:rPr>
          <w:color w:val="215E9E"/>
          <w:sz w:val="16"/>
          <w:u w:val="single" w:color="215E9E"/>
        </w:rPr>
        <w:t>in</w:t>
      </w:r>
      <w:r>
        <w:rPr>
          <w:color w:val="215E9E"/>
          <w:spacing w:val="-4"/>
          <w:sz w:val="16"/>
          <w:u w:val="single" w:color="215E9E"/>
        </w:rPr>
        <w:t xml:space="preserve"> </w:t>
      </w:r>
      <w:r>
        <w:rPr>
          <w:color w:val="215E9E"/>
          <w:sz w:val="16"/>
          <w:u w:val="single" w:color="215E9E"/>
        </w:rPr>
        <w:t>education</w:t>
      </w:r>
      <w:r>
        <w:rPr>
          <w:sz w:val="16"/>
        </w:rPr>
        <w:t>.</w:t>
      </w:r>
      <w:r>
        <w:rPr>
          <w:spacing w:val="-12"/>
          <w:sz w:val="16"/>
        </w:rPr>
        <w:t xml:space="preserve"> </w:t>
      </w:r>
      <w:r>
        <w:rPr>
          <w:sz w:val="16"/>
        </w:rPr>
        <w:t>AIHW, Canberra.</w:t>
      </w:r>
    </w:p>
    <w:p w:rsidR="007A0A6C" w:rsidRDefault="00660E26">
      <w:pPr>
        <w:pStyle w:val="ListParagraph"/>
        <w:numPr>
          <w:ilvl w:val="0"/>
          <w:numId w:val="3"/>
        </w:numPr>
        <w:tabs>
          <w:tab w:val="left" w:pos="736"/>
        </w:tabs>
        <w:spacing w:before="99" w:line="261" w:lineRule="auto"/>
        <w:ind w:left="340" w:right="416" w:firstLine="0"/>
        <w:rPr>
          <w:sz w:val="16"/>
        </w:rPr>
      </w:pPr>
      <w:r>
        <w:rPr>
          <w:sz w:val="16"/>
        </w:rPr>
        <w:t xml:space="preserve">Although the retention rate to </w:t>
      </w:r>
      <w:r>
        <w:rPr>
          <w:spacing w:val="-5"/>
          <w:sz w:val="16"/>
        </w:rPr>
        <w:t xml:space="preserve">Year </w:t>
      </w:r>
      <w:r>
        <w:rPr>
          <w:sz w:val="16"/>
        </w:rPr>
        <w:t>12 for Indigenous students has increased steadily, from 47% in 2010 to 60% in 2016, it is still lower than the</w:t>
      </w:r>
      <w:r>
        <w:rPr>
          <w:spacing w:val="-3"/>
          <w:sz w:val="16"/>
        </w:rPr>
        <w:t xml:space="preserve"> </w:t>
      </w:r>
      <w:r>
        <w:rPr>
          <w:sz w:val="16"/>
        </w:rPr>
        <w:t>non-Indigenous</w:t>
      </w:r>
      <w:r>
        <w:rPr>
          <w:spacing w:val="-4"/>
          <w:sz w:val="16"/>
        </w:rPr>
        <w:t xml:space="preserve"> </w:t>
      </w:r>
      <w:r>
        <w:rPr>
          <w:sz w:val="16"/>
        </w:rPr>
        <w:t>rate</w:t>
      </w:r>
      <w:r>
        <w:rPr>
          <w:spacing w:val="-3"/>
          <w:sz w:val="16"/>
        </w:rPr>
        <w:t xml:space="preserve"> </w:t>
      </w:r>
      <w:r>
        <w:rPr>
          <w:sz w:val="16"/>
        </w:rPr>
        <w:t>(79%</w:t>
      </w:r>
      <w:r>
        <w:rPr>
          <w:spacing w:val="-3"/>
          <w:sz w:val="16"/>
        </w:rPr>
        <w:t xml:space="preserve"> </w:t>
      </w:r>
      <w:r>
        <w:rPr>
          <w:sz w:val="16"/>
        </w:rPr>
        <w:t>in</w:t>
      </w:r>
      <w:r>
        <w:rPr>
          <w:spacing w:val="-4"/>
          <w:sz w:val="16"/>
        </w:rPr>
        <w:t xml:space="preserve"> </w:t>
      </w:r>
      <w:r>
        <w:rPr>
          <w:sz w:val="16"/>
        </w:rPr>
        <w:t>2010</w:t>
      </w:r>
      <w:r>
        <w:rPr>
          <w:spacing w:val="-3"/>
          <w:sz w:val="16"/>
        </w:rPr>
        <w:t xml:space="preserve"> </w:t>
      </w:r>
      <w:r>
        <w:rPr>
          <w:sz w:val="16"/>
        </w:rPr>
        <w:t>and</w:t>
      </w:r>
      <w:r>
        <w:rPr>
          <w:spacing w:val="-4"/>
          <w:sz w:val="16"/>
        </w:rPr>
        <w:t xml:space="preserve"> </w:t>
      </w:r>
      <w:r>
        <w:rPr>
          <w:sz w:val="16"/>
        </w:rPr>
        <w:t>86%</w:t>
      </w:r>
      <w:r>
        <w:rPr>
          <w:spacing w:val="-4"/>
          <w:sz w:val="16"/>
        </w:rPr>
        <w:t xml:space="preserve"> </w:t>
      </w:r>
      <w:r>
        <w:rPr>
          <w:sz w:val="16"/>
        </w:rPr>
        <w:t>in</w:t>
      </w:r>
      <w:r>
        <w:rPr>
          <w:spacing w:val="-4"/>
          <w:sz w:val="16"/>
        </w:rPr>
        <w:t xml:space="preserve"> </w:t>
      </w:r>
      <w:r>
        <w:rPr>
          <w:sz w:val="16"/>
        </w:rPr>
        <w:t>2016).</w:t>
      </w:r>
      <w:r>
        <w:rPr>
          <w:spacing w:val="-4"/>
          <w:sz w:val="16"/>
        </w:rPr>
        <w:t xml:space="preserve"> </w:t>
      </w:r>
      <w:r>
        <w:rPr>
          <w:sz w:val="16"/>
        </w:rPr>
        <w:t>See:</w:t>
      </w:r>
      <w:r>
        <w:rPr>
          <w:spacing w:val="-11"/>
          <w:sz w:val="16"/>
        </w:rPr>
        <w:t xml:space="preserve"> </w:t>
      </w:r>
      <w:r>
        <w:rPr>
          <w:sz w:val="16"/>
        </w:rPr>
        <w:t>Australian</w:t>
      </w:r>
      <w:r>
        <w:rPr>
          <w:spacing w:val="-3"/>
          <w:sz w:val="16"/>
        </w:rPr>
        <w:t xml:space="preserve"> </w:t>
      </w:r>
      <w:r>
        <w:rPr>
          <w:sz w:val="16"/>
        </w:rPr>
        <w:t>Institute</w:t>
      </w:r>
      <w:r>
        <w:rPr>
          <w:spacing w:val="-2"/>
          <w:sz w:val="16"/>
        </w:rPr>
        <w:t xml:space="preserve"> </w:t>
      </w:r>
      <w:r>
        <w:rPr>
          <w:sz w:val="16"/>
        </w:rPr>
        <w:t>of</w:t>
      </w:r>
      <w:r>
        <w:rPr>
          <w:spacing w:val="-4"/>
          <w:sz w:val="16"/>
        </w:rPr>
        <w:t xml:space="preserve"> </w:t>
      </w:r>
      <w:r>
        <w:rPr>
          <w:sz w:val="16"/>
        </w:rPr>
        <w:t>Health</w:t>
      </w:r>
      <w:r>
        <w:rPr>
          <w:spacing w:val="-4"/>
          <w:sz w:val="16"/>
        </w:rPr>
        <w:t xml:space="preserve"> </w:t>
      </w:r>
      <w:r>
        <w:rPr>
          <w:sz w:val="16"/>
        </w:rPr>
        <w:t>and</w:t>
      </w:r>
      <w:r>
        <w:rPr>
          <w:spacing w:val="-4"/>
          <w:sz w:val="16"/>
        </w:rPr>
        <w:t xml:space="preserve"> </w:t>
      </w:r>
      <w:r>
        <w:rPr>
          <w:sz w:val="16"/>
        </w:rPr>
        <w:t>Welfare</w:t>
      </w:r>
      <w:r>
        <w:rPr>
          <w:spacing w:val="-4"/>
          <w:sz w:val="16"/>
        </w:rPr>
        <w:t xml:space="preserve"> </w:t>
      </w:r>
      <w:r>
        <w:rPr>
          <w:sz w:val="16"/>
        </w:rPr>
        <w:t>2017.</w:t>
      </w:r>
      <w:r>
        <w:rPr>
          <w:color w:val="215E9E"/>
          <w:spacing w:val="-10"/>
          <w:sz w:val="16"/>
        </w:rPr>
        <w:t xml:space="preserve"> </w:t>
      </w:r>
      <w:r>
        <w:rPr>
          <w:color w:val="215E9E"/>
          <w:sz w:val="16"/>
          <w:u w:val="single" w:color="215E9E"/>
        </w:rPr>
        <w:t>Australia’s</w:t>
      </w:r>
      <w:r>
        <w:rPr>
          <w:color w:val="215E9E"/>
          <w:spacing w:val="-3"/>
          <w:sz w:val="16"/>
          <w:u w:val="single" w:color="215E9E"/>
        </w:rPr>
        <w:t xml:space="preserve"> </w:t>
      </w:r>
      <w:r>
        <w:rPr>
          <w:color w:val="215E9E"/>
          <w:sz w:val="16"/>
          <w:u w:val="single" w:color="215E9E"/>
        </w:rPr>
        <w:t>welfare</w:t>
      </w:r>
      <w:r>
        <w:rPr>
          <w:color w:val="215E9E"/>
          <w:spacing w:val="-4"/>
          <w:sz w:val="16"/>
          <w:u w:val="single" w:color="215E9E"/>
        </w:rPr>
        <w:t xml:space="preserve"> </w:t>
      </w:r>
      <w:r>
        <w:rPr>
          <w:color w:val="215E9E"/>
          <w:sz w:val="16"/>
          <w:u w:val="single" w:color="215E9E"/>
        </w:rPr>
        <w:t>2017</w:t>
      </w:r>
      <w:r>
        <w:rPr>
          <w:sz w:val="16"/>
        </w:rPr>
        <w:t>.</w:t>
      </w:r>
      <w:r>
        <w:rPr>
          <w:spacing w:val="-11"/>
          <w:sz w:val="16"/>
        </w:rPr>
        <w:t xml:space="preserve"> </w:t>
      </w:r>
      <w:r>
        <w:rPr>
          <w:sz w:val="16"/>
        </w:rPr>
        <w:t>Australia’s welfare series no. 13. AUS 214. Canberra:</w:t>
      </w:r>
      <w:r>
        <w:rPr>
          <w:spacing w:val="-23"/>
          <w:sz w:val="16"/>
        </w:rPr>
        <w:t xml:space="preserve"> </w:t>
      </w:r>
      <w:r>
        <w:rPr>
          <w:sz w:val="16"/>
        </w:rPr>
        <w:t>AIHW..</w:t>
      </w:r>
    </w:p>
    <w:p w:rsidR="007A0A6C" w:rsidRDefault="00660E26">
      <w:pPr>
        <w:pStyle w:val="ListParagraph"/>
        <w:numPr>
          <w:ilvl w:val="0"/>
          <w:numId w:val="3"/>
        </w:numPr>
        <w:tabs>
          <w:tab w:val="left" w:pos="745"/>
        </w:tabs>
        <w:spacing w:before="99" w:line="261" w:lineRule="auto"/>
        <w:ind w:left="340" w:right="319" w:firstLine="0"/>
        <w:rPr>
          <w:sz w:val="16"/>
        </w:rPr>
      </w:pPr>
      <w:r>
        <w:rPr>
          <w:sz w:val="16"/>
        </w:rPr>
        <w:t>Schools</w:t>
      </w:r>
      <w:r>
        <w:rPr>
          <w:spacing w:val="-3"/>
          <w:sz w:val="16"/>
        </w:rPr>
        <w:t xml:space="preserve"> </w:t>
      </w:r>
      <w:r>
        <w:rPr>
          <w:sz w:val="16"/>
        </w:rPr>
        <w:t>that</w:t>
      </w:r>
      <w:r>
        <w:rPr>
          <w:spacing w:val="-2"/>
          <w:sz w:val="16"/>
        </w:rPr>
        <w:t xml:space="preserve"> </w:t>
      </w:r>
      <w:r>
        <w:rPr>
          <w:sz w:val="16"/>
        </w:rPr>
        <w:t>only</w:t>
      </w:r>
      <w:r>
        <w:rPr>
          <w:spacing w:val="-3"/>
          <w:sz w:val="16"/>
        </w:rPr>
        <w:t xml:space="preserve"> </w:t>
      </w:r>
      <w:r>
        <w:rPr>
          <w:sz w:val="16"/>
        </w:rPr>
        <w:t>enrol</w:t>
      </w:r>
      <w:r>
        <w:rPr>
          <w:spacing w:val="-3"/>
          <w:sz w:val="16"/>
        </w:rPr>
        <w:t xml:space="preserve"> </w:t>
      </w:r>
      <w:r>
        <w:rPr>
          <w:sz w:val="16"/>
        </w:rPr>
        <w:t>students</w:t>
      </w:r>
      <w:r>
        <w:rPr>
          <w:spacing w:val="-2"/>
          <w:sz w:val="16"/>
        </w:rPr>
        <w:t xml:space="preserve"> </w:t>
      </w:r>
      <w:r>
        <w:rPr>
          <w:sz w:val="16"/>
        </w:rPr>
        <w:t>with</w:t>
      </w:r>
      <w:r>
        <w:rPr>
          <w:spacing w:val="-3"/>
          <w:sz w:val="16"/>
        </w:rPr>
        <w:t xml:space="preserve"> </w:t>
      </w:r>
      <w:r>
        <w:rPr>
          <w:sz w:val="16"/>
        </w:rPr>
        <w:t>special</w:t>
      </w:r>
      <w:r>
        <w:rPr>
          <w:spacing w:val="-2"/>
          <w:sz w:val="16"/>
        </w:rPr>
        <w:t xml:space="preserve"> </w:t>
      </w:r>
      <w:r>
        <w:rPr>
          <w:sz w:val="16"/>
        </w:rPr>
        <w:t>needs.</w:t>
      </w:r>
      <w:r>
        <w:rPr>
          <w:spacing w:val="-11"/>
          <w:sz w:val="16"/>
        </w:rPr>
        <w:t xml:space="preserve"> </w:t>
      </w:r>
      <w:r>
        <w:rPr>
          <w:sz w:val="16"/>
        </w:rPr>
        <w:t>Australian</w:t>
      </w:r>
      <w:r>
        <w:rPr>
          <w:spacing w:val="-2"/>
          <w:sz w:val="16"/>
        </w:rPr>
        <w:t xml:space="preserve"> </w:t>
      </w:r>
      <w:r>
        <w:rPr>
          <w:sz w:val="16"/>
        </w:rPr>
        <w:t>Institute</w:t>
      </w:r>
      <w:r>
        <w:rPr>
          <w:spacing w:val="-2"/>
          <w:sz w:val="16"/>
        </w:rPr>
        <w:t xml:space="preserve"> </w:t>
      </w:r>
      <w:r>
        <w:rPr>
          <w:sz w:val="16"/>
        </w:rPr>
        <w:t>of</w:t>
      </w:r>
      <w:r>
        <w:rPr>
          <w:spacing w:val="-3"/>
          <w:sz w:val="16"/>
        </w:rPr>
        <w:t xml:space="preserve"> </w:t>
      </w:r>
      <w:r>
        <w:rPr>
          <w:sz w:val="16"/>
        </w:rPr>
        <w:t>Health</w:t>
      </w:r>
      <w:r>
        <w:rPr>
          <w:spacing w:val="-3"/>
          <w:sz w:val="16"/>
        </w:rPr>
        <w:t xml:space="preserve"> </w:t>
      </w:r>
      <w:r>
        <w:rPr>
          <w:sz w:val="16"/>
        </w:rPr>
        <w:t>and</w:t>
      </w:r>
      <w:r>
        <w:rPr>
          <w:spacing w:val="-3"/>
          <w:sz w:val="16"/>
        </w:rPr>
        <w:t xml:space="preserve"> </w:t>
      </w:r>
      <w:r>
        <w:rPr>
          <w:sz w:val="16"/>
        </w:rPr>
        <w:t>Welfare</w:t>
      </w:r>
      <w:r>
        <w:rPr>
          <w:spacing w:val="-4"/>
          <w:sz w:val="16"/>
        </w:rPr>
        <w:t xml:space="preserve"> </w:t>
      </w:r>
      <w:r>
        <w:rPr>
          <w:sz w:val="16"/>
        </w:rPr>
        <w:t>(2017)</w:t>
      </w:r>
      <w:r>
        <w:rPr>
          <w:color w:val="215E9E"/>
          <w:spacing w:val="-2"/>
          <w:sz w:val="16"/>
        </w:rPr>
        <w:t xml:space="preserve"> </w:t>
      </w:r>
      <w:r>
        <w:rPr>
          <w:color w:val="215E9E"/>
          <w:sz w:val="16"/>
          <w:u w:val="single" w:color="215E9E"/>
        </w:rPr>
        <w:t>Disability</w:t>
      </w:r>
      <w:r>
        <w:rPr>
          <w:color w:val="215E9E"/>
          <w:spacing w:val="-3"/>
          <w:sz w:val="16"/>
          <w:u w:val="single" w:color="215E9E"/>
        </w:rPr>
        <w:t xml:space="preserve"> </w:t>
      </w:r>
      <w:r>
        <w:rPr>
          <w:color w:val="215E9E"/>
          <w:sz w:val="16"/>
          <w:u w:val="single" w:color="215E9E"/>
        </w:rPr>
        <w:t>in</w:t>
      </w:r>
      <w:r>
        <w:rPr>
          <w:color w:val="215E9E"/>
          <w:spacing w:val="-10"/>
          <w:sz w:val="16"/>
          <w:u w:val="single" w:color="215E9E"/>
        </w:rPr>
        <w:t xml:space="preserve"> </w:t>
      </w:r>
      <w:r>
        <w:rPr>
          <w:color w:val="215E9E"/>
          <w:sz w:val="16"/>
          <w:u w:val="single" w:color="215E9E"/>
        </w:rPr>
        <w:t>Australia:</w:t>
      </w:r>
      <w:r>
        <w:rPr>
          <w:color w:val="215E9E"/>
          <w:spacing w:val="-3"/>
          <w:sz w:val="16"/>
          <w:u w:val="single" w:color="215E9E"/>
        </w:rPr>
        <w:t xml:space="preserve"> </w:t>
      </w:r>
      <w:r>
        <w:rPr>
          <w:color w:val="215E9E"/>
          <w:sz w:val="16"/>
          <w:u w:val="single" w:color="215E9E"/>
        </w:rPr>
        <w:t>changes</w:t>
      </w:r>
      <w:r>
        <w:rPr>
          <w:color w:val="215E9E"/>
          <w:spacing w:val="-2"/>
          <w:sz w:val="16"/>
          <w:u w:val="single" w:color="215E9E"/>
        </w:rPr>
        <w:t xml:space="preserve"> </w:t>
      </w:r>
      <w:r>
        <w:rPr>
          <w:color w:val="215E9E"/>
          <w:sz w:val="16"/>
          <w:u w:val="single" w:color="215E9E"/>
        </w:rPr>
        <w:t>over</w:t>
      </w:r>
      <w:r>
        <w:rPr>
          <w:color w:val="215E9E"/>
          <w:spacing w:val="-3"/>
          <w:sz w:val="16"/>
          <w:u w:val="single" w:color="215E9E"/>
        </w:rPr>
        <w:t xml:space="preserve"> </w:t>
      </w:r>
      <w:r>
        <w:rPr>
          <w:color w:val="215E9E"/>
          <w:sz w:val="16"/>
          <w:u w:val="single" w:color="215E9E"/>
        </w:rPr>
        <w:t>time in inclusion and participation in education</w:t>
      </w:r>
      <w:r>
        <w:rPr>
          <w:sz w:val="16"/>
        </w:rPr>
        <w:t>. AIHW,</w:t>
      </w:r>
      <w:r>
        <w:rPr>
          <w:spacing w:val="-17"/>
          <w:sz w:val="16"/>
        </w:rPr>
        <w:t xml:space="preserve"> </w:t>
      </w:r>
      <w:r>
        <w:rPr>
          <w:sz w:val="16"/>
        </w:rPr>
        <w:t>Canberra.</w:t>
      </w:r>
    </w:p>
    <w:p w:rsidR="007A0A6C" w:rsidRDefault="00660E26">
      <w:pPr>
        <w:pStyle w:val="ListParagraph"/>
        <w:numPr>
          <w:ilvl w:val="0"/>
          <w:numId w:val="3"/>
        </w:numPr>
        <w:tabs>
          <w:tab w:val="left" w:pos="745"/>
        </w:tabs>
        <w:spacing w:before="99" w:line="261" w:lineRule="auto"/>
        <w:ind w:left="340" w:right="353" w:firstLine="0"/>
        <w:rPr>
          <w:sz w:val="16"/>
        </w:rPr>
      </w:pPr>
      <w:r>
        <w:rPr>
          <w:sz w:val="16"/>
        </w:rPr>
        <w:t>Students with disability at a mainstream school attract a students with disability loading of 186 per cent of the base per student amount; those at a special school attract a students with disability loading of 223 per cent. See: Senate Standing Committees on Education and Employment (15 January 2016)</w:t>
      </w:r>
      <w:r>
        <w:rPr>
          <w:color w:val="215E9E"/>
          <w:sz w:val="16"/>
        </w:rPr>
        <w:t xml:space="preserve"> </w:t>
      </w:r>
      <w:r>
        <w:rPr>
          <w:color w:val="215E9E"/>
          <w:sz w:val="16"/>
          <w:u w:val="single" w:color="215E9E"/>
        </w:rPr>
        <w:t>Chapter 5: How to better support students with disabilities in schools</w:t>
      </w:r>
      <w:r>
        <w:rPr>
          <w:color w:val="215E9E"/>
          <w:sz w:val="16"/>
        </w:rPr>
        <w:t xml:space="preserve">’ </w:t>
      </w:r>
      <w:r>
        <w:rPr>
          <w:sz w:val="16"/>
        </w:rPr>
        <w:t>in</w:t>
      </w:r>
      <w:r>
        <w:rPr>
          <w:color w:val="215E9E"/>
          <w:sz w:val="16"/>
        </w:rPr>
        <w:t xml:space="preserve"> </w:t>
      </w:r>
      <w:r>
        <w:rPr>
          <w:color w:val="215E9E"/>
          <w:sz w:val="16"/>
          <w:u w:val="single" w:color="215E9E"/>
        </w:rPr>
        <w:t xml:space="preserve">‘Access to real learning: the impact of </w:t>
      </w:r>
      <w:r>
        <w:rPr>
          <w:color w:val="215E9E"/>
          <w:spacing w:val="-3"/>
          <w:sz w:val="16"/>
          <w:u w:val="single" w:color="215E9E"/>
        </w:rPr>
        <w:t xml:space="preserve">policy, </w:t>
      </w:r>
      <w:r>
        <w:rPr>
          <w:color w:val="215E9E"/>
          <w:sz w:val="16"/>
          <w:u w:val="single" w:color="215E9E"/>
        </w:rPr>
        <w:t>funding and culture on students with</w:t>
      </w:r>
      <w:r>
        <w:rPr>
          <w:color w:val="215E9E"/>
          <w:spacing w:val="-3"/>
          <w:sz w:val="16"/>
          <w:u w:val="single" w:color="215E9E"/>
        </w:rPr>
        <w:t xml:space="preserve"> </w:t>
      </w:r>
      <w:r>
        <w:rPr>
          <w:color w:val="215E9E"/>
          <w:sz w:val="16"/>
          <w:u w:val="single" w:color="215E9E"/>
        </w:rPr>
        <w:t>disability</w:t>
      </w:r>
      <w:r>
        <w:rPr>
          <w:color w:val="215E9E"/>
          <w:sz w:val="16"/>
        </w:rPr>
        <w:t>’</w:t>
      </w:r>
      <w:r>
        <w:rPr>
          <w:sz w:val="16"/>
        </w:rPr>
        <w:t>.</w:t>
      </w:r>
    </w:p>
    <w:p w:rsidR="007A0A6C" w:rsidRDefault="00660E26">
      <w:pPr>
        <w:pStyle w:val="ListParagraph"/>
        <w:numPr>
          <w:ilvl w:val="0"/>
          <w:numId w:val="3"/>
        </w:numPr>
        <w:tabs>
          <w:tab w:val="left" w:pos="745"/>
        </w:tabs>
        <w:spacing w:before="97" w:line="261" w:lineRule="auto"/>
        <w:ind w:left="340" w:right="530" w:firstLine="0"/>
        <w:rPr>
          <w:sz w:val="16"/>
        </w:rPr>
      </w:pPr>
      <w:r>
        <w:rPr>
          <w:sz w:val="16"/>
        </w:rPr>
        <w:t>Committee</w:t>
      </w:r>
      <w:r>
        <w:rPr>
          <w:spacing w:val="-4"/>
          <w:sz w:val="16"/>
        </w:rPr>
        <w:t xml:space="preserve"> </w:t>
      </w:r>
      <w:r>
        <w:rPr>
          <w:sz w:val="16"/>
        </w:rPr>
        <w:t>on</w:t>
      </w:r>
      <w:r>
        <w:rPr>
          <w:spacing w:val="-4"/>
          <w:sz w:val="16"/>
        </w:rPr>
        <w:t xml:space="preserve"> </w:t>
      </w:r>
      <w:r>
        <w:rPr>
          <w:sz w:val="16"/>
        </w:rPr>
        <w:t>Economic,</w:t>
      </w:r>
      <w:r>
        <w:rPr>
          <w:spacing w:val="-3"/>
          <w:sz w:val="16"/>
        </w:rPr>
        <w:t xml:space="preserve"> </w:t>
      </w:r>
      <w:r>
        <w:rPr>
          <w:sz w:val="16"/>
        </w:rPr>
        <w:t>Social</w:t>
      </w:r>
      <w:r>
        <w:rPr>
          <w:spacing w:val="-3"/>
          <w:sz w:val="16"/>
        </w:rPr>
        <w:t xml:space="preserve"> </w:t>
      </w:r>
      <w:r>
        <w:rPr>
          <w:sz w:val="16"/>
        </w:rPr>
        <w:t>and</w:t>
      </w:r>
      <w:r>
        <w:rPr>
          <w:spacing w:val="-4"/>
          <w:sz w:val="16"/>
        </w:rPr>
        <w:t xml:space="preserve"> </w:t>
      </w:r>
      <w:r>
        <w:rPr>
          <w:sz w:val="16"/>
        </w:rPr>
        <w:t>Cultural</w:t>
      </w:r>
      <w:r>
        <w:rPr>
          <w:spacing w:val="-4"/>
          <w:sz w:val="16"/>
        </w:rPr>
        <w:t xml:space="preserve"> </w:t>
      </w:r>
      <w:r>
        <w:rPr>
          <w:sz w:val="16"/>
        </w:rPr>
        <w:t>Rights,</w:t>
      </w:r>
      <w:r>
        <w:rPr>
          <w:spacing w:val="-4"/>
          <w:sz w:val="16"/>
        </w:rPr>
        <w:t xml:space="preserve"> </w:t>
      </w:r>
      <w:r>
        <w:rPr>
          <w:sz w:val="16"/>
        </w:rPr>
        <w:t>Concluding</w:t>
      </w:r>
      <w:r>
        <w:rPr>
          <w:spacing w:val="-3"/>
          <w:sz w:val="16"/>
        </w:rPr>
        <w:t xml:space="preserve"> </w:t>
      </w:r>
      <w:r>
        <w:rPr>
          <w:sz w:val="16"/>
        </w:rPr>
        <w:t>observations</w:t>
      </w:r>
      <w:r>
        <w:rPr>
          <w:spacing w:val="-4"/>
          <w:sz w:val="16"/>
        </w:rPr>
        <w:t xml:space="preserve"> </w:t>
      </w:r>
      <w:r>
        <w:rPr>
          <w:sz w:val="16"/>
        </w:rPr>
        <w:t>on</w:t>
      </w:r>
      <w:r>
        <w:rPr>
          <w:spacing w:val="-4"/>
          <w:sz w:val="16"/>
        </w:rPr>
        <w:t xml:space="preserve"> </w:t>
      </w:r>
      <w:r>
        <w:rPr>
          <w:sz w:val="16"/>
        </w:rPr>
        <w:t>the</w:t>
      </w:r>
      <w:r>
        <w:rPr>
          <w:spacing w:val="-3"/>
          <w:sz w:val="16"/>
        </w:rPr>
        <w:t xml:space="preserve"> </w:t>
      </w:r>
      <w:r>
        <w:rPr>
          <w:sz w:val="16"/>
        </w:rPr>
        <w:t>fifth</w:t>
      </w:r>
      <w:r>
        <w:rPr>
          <w:spacing w:val="-3"/>
          <w:sz w:val="16"/>
        </w:rPr>
        <w:t xml:space="preserve"> </w:t>
      </w:r>
      <w:r>
        <w:rPr>
          <w:sz w:val="16"/>
        </w:rPr>
        <w:t>periodic</w:t>
      </w:r>
      <w:r>
        <w:rPr>
          <w:spacing w:val="-4"/>
          <w:sz w:val="16"/>
        </w:rPr>
        <w:t xml:space="preserve"> </w:t>
      </w:r>
      <w:r>
        <w:rPr>
          <w:sz w:val="16"/>
        </w:rPr>
        <w:t>report</w:t>
      </w:r>
      <w:r>
        <w:rPr>
          <w:spacing w:val="-3"/>
          <w:sz w:val="16"/>
        </w:rPr>
        <w:t xml:space="preserve"> </w:t>
      </w:r>
      <w:r>
        <w:rPr>
          <w:sz w:val="16"/>
        </w:rPr>
        <w:t>of</w:t>
      </w:r>
      <w:r>
        <w:rPr>
          <w:spacing w:val="-9"/>
          <w:sz w:val="16"/>
        </w:rPr>
        <w:t xml:space="preserve"> </w:t>
      </w:r>
      <w:r>
        <w:rPr>
          <w:sz w:val="16"/>
        </w:rPr>
        <w:t>Australia,</w:t>
      </w:r>
      <w:r>
        <w:rPr>
          <w:spacing w:val="-3"/>
          <w:sz w:val="16"/>
        </w:rPr>
        <w:t xml:space="preserve"> </w:t>
      </w:r>
      <w:r>
        <w:rPr>
          <w:sz w:val="16"/>
        </w:rPr>
        <w:t>UN</w:t>
      </w:r>
      <w:r>
        <w:rPr>
          <w:spacing w:val="-4"/>
          <w:sz w:val="16"/>
        </w:rPr>
        <w:t xml:space="preserve"> </w:t>
      </w:r>
      <w:r>
        <w:rPr>
          <w:sz w:val="16"/>
        </w:rPr>
        <w:t>Doc</w:t>
      </w:r>
      <w:r>
        <w:rPr>
          <w:spacing w:val="-4"/>
          <w:sz w:val="16"/>
        </w:rPr>
        <w:t xml:space="preserve"> </w:t>
      </w:r>
      <w:r>
        <w:rPr>
          <w:sz w:val="16"/>
        </w:rPr>
        <w:t>E/C.12/AUS/ CO/5, paras</w:t>
      </w:r>
      <w:r>
        <w:rPr>
          <w:spacing w:val="-3"/>
          <w:sz w:val="16"/>
        </w:rPr>
        <w:t xml:space="preserve"> </w:t>
      </w:r>
      <w:r>
        <w:rPr>
          <w:sz w:val="16"/>
        </w:rPr>
        <w:t>55-56.</w:t>
      </w:r>
    </w:p>
    <w:p w:rsidR="007A0A6C" w:rsidRDefault="00660E26">
      <w:pPr>
        <w:pStyle w:val="ListParagraph"/>
        <w:numPr>
          <w:ilvl w:val="0"/>
          <w:numId w:val="3"/>
        </w:numPr>
        <w:tabs>
          <w:tab w:val="left" w:pos="736"/>
        </w:tabs>
        <w:spacing w:before="99"/>
        <w:ind w:hanging="395"/>
        <w:rPr>
          <w:sz w:val="16"/>
        </w:rPr>
      </w:pPr>
      <w:r>
        <w:rPr>
          <w:sz w:val="16"/>
        </w:rPr>
        <w:t>Australia government response to LOIPR, para 275</w:t>
      </w:r>
      <w:r>
        <w:rPr>
          <w:spacing w:val="-5"/>
          <w:sz w:val="16"/>
        </w:rPr>
        <w:t xml:space="preserve"> </w:t>
      </w:r>
      <w:r>
        <w:rPr>
          <w:sz w:val="16"/>
        </w:rPr>
        <w:t>(b).</w:t>
      </w:r>
    </w:p>
    <w:p w:rsidR="007A0A6C" w:rsidRDefault="00660E26">
      <w:pPr>
        <w:pStyle w:val="ListParagraph"/>
        <w:numPr>
          <w:ilvl w:val="0"/>
          <w:numId w:val="3"/>
        </w:numPr>
        <w:tabs>
          <w:tab w:val="left" w:pos="736"/>
        </w:tabs>
        <w:ind w:hanging="395"/>
        <w:rPr>
          <w:sz w:val="16"/>
        </w:rPr>
      </w:pPr>
      <w:r>
        <w:rPr>
          <w:sz w:val="16"/>
        </w:rPr>
        <w:t>Australian</w:t>
      </w:r>
      <w:r>
        <w:rPr>
          <w:spacing w:val="-2"/>
          <w:sz w:val="16"/>
        </w:rPr>
        <w:t xml:space="preserve"> </w:t>
      </w:r>
      <w:r>
        <w:rPr>
          <w:sz w:val="16"/>
        </w:rPr>
        <w:t>Institute</w:t>
      </w:r>
      <w:r>
        <w:rPr>
          <w:spacing w:val="-1"/>
          <w:sz w:val="16"/>
        </w:rPr>
        <w:t xml:space="preserve"> </w:t>
      </w:r>
      <w:r>
        <w:rPr>
          <w:sz w:val="16"/>
        </w:rPr>
        <w:t>of</w:t>
      </w:r>
      <w:r>
        <w:rPr>
          <w:spacing w:val="-3"/>
          <w:sz w:val="16"/>
        </w:rPr>
        <w:t xml:space="preserve"> </w:t>
      </w:r>
      <w:r>
        <w:rPr>
          <w:sz w:val="16"/>
        </w:rPr>
        <w:t>Health</w:t>
      </w:r>
      <w:r>
        <w:rPr>
          <w:spacing w:val="-2"/>
          <w:sz w:val="16"/>
        </w:rPr>
        <w:t xml:space="preserve"> </w:t>
      </w:r>
      <w:r>
        <w:rPr>
          <w:sz w:val="16"/>
        </w:rPr>
        <w:t>and</w:t>
      </w:r>
      <w:r>
        <w:rPr>
          <w:spacing w:val="-3"/>
          <w:sz w:val="16"/>
        </w:rPr>
        <w:t xml:space="preserve"> </w:t>
      </w:r>
      <w:r>
        <w:rPr>
          <w:sz w:val="16"/>
        </w:rPr>
        <w:t>Welfare</w:t>
      </w:r>
      <w:r>
        <w:rPr>
          <w:spacing w:val="-2"/>
          <w:sz w:val="16"/>
        </w:rPr>
        <w:t xml:space="preserve"> </w:t>
      </w:r>
      <w:r>
        <w:rPr>
          <w:sz w:val="16"/>
        </w:rPr>
        <w:t>2018.</w:t>
      </w:r>
      <w:r>
        <w:rPr>
          <w:color w:val="215E9E"/>
          <w:spacing w:val="-10"/>
          <w:sz w:val="16"/>
        </w:rPr>
        <w:t xml:space="preserve"> </w:t>
      </w:r>
      <w:r>
        <w:rPr>
          <w:color w:val="215E9E"/>
          <w:sz w:val="16"/>
          <w:u w:val="single" w:color="215E9E"/>
        </w:rPr>
        <w:t>Australia’s</w:t>
      </w:r>
      <w:r>
        <w:rPr>
          <w:color w:val="215E9E"/>
          <w:spacing w:val="-2"/>
          <w:sz w:val="16"/>
          <w:u w:val="single" w:color="215E9E"/>
        </w:rPr>
        <w:t xml:space="preserve"> </w:t>
      </w:r>
      <w:r>
        <w:rPr>
          <w:color w:val="215E9E"/>
          <w:sz w:val="16"/>
          <w:u w:val="single" w:color="215E9E"/>
        </w:rPr>
        <w:t>health</w:t>
      </w:r>
      <w:r>
        <w:rPr>
          <w:color w:val="215E9E"/>
          <w:spacing w:val="-2"/>
          <w:sz w:val="16"/>
          <w:u w:val="single" w:color="215E9E"/>
        </w:rPr>
        <w:t xml:space="preserve"> </w:t>
      </w:r>
      <w:r>
        <w:rPr>
          <w:color w:val="215E9E"/>
          <w:sz w:val="16"/>
          <w:u w:val="single" w:color="215E9E"/>
        </w:rPr>
        <w:t>2018</w:t>
      </w:r>
      <w:r>
        <w:rPr>
          <w:sz w:val="16"/>
        </w:rPr>
        <w:t>.</w:t>
      </w:r>
      <w:r>
        <w:rPr>
          <w:spacing w:val="-10"/>
          <w:sz w:val="16"/>
        </w:rPr>
        <w:t xml:space="preserve"> </w:t>
      </w:r>
      <w:r>
        <w:rPr>
          <w:sz w:val="16"/>
        </w:rPr>
        <w:t>Australia’s</w:t>
      </w:r>
      <w:r>
        <w:rPr>
          <w:spacing w:val="-2"/>
          <w:sz w:val="16"/>
        </w:rPr>
        <w:t xml:space="preserve"> </w:t>
      </w:r>
      <w:r>
        <w:rPr>
          <w:sz w:val="16"/>
        </w:rPr>
        <w:t>health</w:t>
      </w:r>
      <w:r>
        <w:rPr>
          <w:spacing w:val="-2"/>
          <w:sz w:val="16"/>
        </w:rPr>
        <w:t xml:space="preserve"> </w:t>
      </w:r>
      <w:r>
        <w:rPr>
          <w:sz w:val="16"/>
        </w:rPr>
        <w:t>series</w:t>
      </w:r>
      <w:r>
        <w:rPr>
          <w:spacing w:val="-2"/>
          <w:sz w:val="16"/>
        </w:rPr>
        <w:t xml:space="preserve"> </w:t>
      </w:r>
      <w:r>
        <w:rPr>
          <w:sz w:val="16"/>
        </w:rPr>
        <w:t>no.</w:t>
      </w:r>
      <w:r>
        <w:rPr>
          <w:spacing w:val="-2"/>
          <w:sz w:val="16"/>
        </w:rPr>
        <w:t xml:space="preserve"> </w:t>
      </w:r>
      <w:r>
        <w:rPr>
          <w:sz w:val="16"/>
        </w:rPr>
        <w:t>16.</w:t>
      </w:r>
      <w:r>
        <w:rPr>
          <w:spacing w:val="-10"/>
          <w:sz w:val="16"/>
        </w:rPr>
        <w:t xml:space="preserve"> </w:t>
      </w:r>
      <w:r>
        <w:rPr>
          <w:sz w:val="16"/>
        </w:rPr>
        <w:t>AUS</w:t>
      </w:r>
      <w:r>
        <w:rPr>
          <w:spacing w:val="-2"/>
          <w:sz w:val="16"/>
        </w:rPr>
        <w:t xml:space="preserve"> </w:t>
      </w:r>
      <w:r>
        <w:rPr>
          <w:sz w:val="16"/>
        </w:rPr>
        <w:t>221.</w:t>
      </w:r>
      <w:r>
        <w:rPr>
          <w:spacing w:val="-2"/>
          <w:sz w:val="16"/>
        </w:rPr>
        <w:t xml:space="preserve"> </w:t>
      </w:r>
      <w:r>
        <w:rPr>
          <w:sz w:val="16"/>
        </w:rPr>
        <w:t>Canberra:</w:t>
      </w:r>
      <w:r>
        <w:rPr>
          <w:spacing w:val="-11"/>
          <w:sz w:val="16"/>
        </w:rPr>
        <w:t xml:space="preserve"> </w:t>
      </w:r>
      <w:r>
        <w:rPr>
          <w:sz w:val="16"/>
        </w:rPr>
        <w:t>AIHW.</w:t>
      </w:r>
    </w:p>
    <w:p w:rsidR="007A0A6C" w:rsidRDefault="00660E26">
      <w:pPr>
        <w:pStyle w:val="ListParagraph"/>
        <w:numPr>
          <w:ilvl w:val="0"/>
          <w:numId w:val="3"/>
        </w:numPr>
        <w:tabs>
          <w:tab w:val="left" w:pos="745"/>
        </w:tabs>
        <w:ind w:left="744" w:hanging="404"/>
        <w:rPr>
          <w:sz w:val="16"/>
        </w:rPr>
      </w:pPr>
      <w:r>
        <w:rPr>
          <w:sz w:val="16"/>
        </w:rPr>
        <w:t>National CRPD Survey (2019)</w:t>
      </w:r>
      <w:r>
        <w:rPr>
          <w:spacing w:val="-3"/>
          <w:sz w:val="16"/>
        </w:rPr>
        <w:t xml:space="preserve"> </w:t>
      </w:r>
      <w:r>
        <w:rPr>
          <w:sz w:val="16"/>
        </w:rPr>
        <w:t>Findings.</w:t>
      </w:r>
    </w:p>
    <w:p w:rsidR="007A0A6C" w:rsidRDefault="00660E26">
      <w:pPr>
        <w:pStyle w:val="ListParagraph"/>
        <w:numPr>
          <w:ilvl w:val="0"/>
          <w:numId w:val="3"/>
        </w:numPr>
        <w:tabs>
          <w:tab w:val="left" w:pos="736"/>
        </w:tabs>
        <w:ind w:hanging="395"/>
        <w:rPr>
          <w:sz w:val="16"/>
        </w:rPr>
      </w:pPr>
      <w:r>
        <w:rPr>
          <w:sz w:val="16"/>
        </w:rPr>
        <w:t>Australian</w:t>
      </w:r>
      <w:r>
        <w:rPr>
          <w:spacing w:val="-2"/>
          <w:sz w:val="16"/>
        </w:rPr>
        <w:t xml:space="preserve"> </w:t>
      </w:r>
      <w:r>
        <w:rPr>
          <w:sz w:val="16"/>
        </w:rPr>
        <w:t>Institute</w:t>
      </w:r>
      <w:r>
        <w:rPr>
          <w:spacing w:val="-1"/>
          <w:sz w:val="16"/>
        </w:rPr>
        <w:t xml:space="preserve"> </w:t>
      </w:r>
      <w:r>
        <w:rPr>
          <w:sz w:val="16"/>
        </w:rPr>
        <w:t>of</w:t>
      </w:r>
      <w:r>
        <w:rPr>
          <w:spacing w:val="-3"/>
          <w:sz w:val="16"/>
        </w:rPr>
        <w:t xml:space="preserve"> </w:t>
      </w:r>
      <w:r>
        <w:rPr>
          <w:sz w:val="16"/>
        </w:rPr>
        <w:t>Health</w:t>
      </w:r>
      <w:r>
        <w:rPr>
          <w:spacing w:val="-2"/>
          <w:sz w:val="16"/>
        </w:rPr>
        <w:t xml:space="preserve"> </w:t>
      </w:r>
      <w:r>
        <w:rPr>
          <w:sz w:val="16"/>
        </w:rPr>
        <w:t>and</w:t>
      </w:r>
      <w:r>
        <w:rPr>
          <w:spacing w:val="-3"/>
          <w:sz w:val="16"/>
        </w:rPr>
        <w:t xml:space="preserve"> </w:t>
      </w:r>
      <w:r>
        <w:rPr>
          <w:sz w:val="16"/>
        </w:rPr>
        <w:t>Welfare</w:t>
      </w:r>
      <w:r>
        <w:rPr>
          <w:spacing w:val="-2"/>
          <w:sz w:val="16"/>
        </w:rPr>
        <w:t xml:space="preserve"> </w:t>
      </w:r>
      <w:r>
        <w:rPr>
          <w:sz w:val="16"/>
        </w:rPr>
        <w:t>2018.</w:t>
      </w:r>
      <w:r>
        <w:rPr>
          <w:color w:val="215E9E"/>
          <w:spacing w:val="-10"/>
          <w:sz w:val="16"/>
        </w:rPr>
        <w:t xml:space="preserve"> </w:t>
      </w:r>
      <w:r>
        <w:rPr>
          <w:color w:val="215E9E"/>
          <w:sz w:val="16"/>
          <w:u w:val="single" w:color="215E9E"/>
        </w:rPr>
        <w:t>Australia’s</w:t>
      </w:r>
      <w:r>
        <w:rPr>
          <w:color w:val="215E9E"/>
          <w:spacing w:val="-2"/>
          <w:sz w:val="16"/>
          <w:u w:val="single" w:color="215E9E"/>
        </w:rPr>
        <w:t xml:space="preserve"> </w:t>
      </w:r>
      <w:r>
        <w:rPr>
          <w:color w:val="215E9E"/>
          <w:sz w:val="16"/>
          <w:u w:val="single" w:color="215E9E"/>
        </w:rPr>
        <w:t>health</w:t>
      </w:r>
      <w:r>
        <w:rPr>
          <w:color w:val="215E9E"/>
          <w:spacing w:val="-2"/>
          <w:sz w:val="16"/>
          <w:u w:val="single" w:color="215E9E"/>
        </w:rPr>
        <w:t xml:space="preserve"> </w:t>
      </w:r>
      <w:r>
        <w:rPr>
          <w:color w:val="215E9E"/>
          <w:sz w:val="16"/>
          <w:u w:val="single" w:color="215E9E"/>
        </w:rPr>
        <w:t>2018</w:t>
      </w:r>
      <w:r>
        <w:rPr>
          <w:sz w:val="16"/>
        </w:rPr>
        <w:t>.</w:t>
      </w:r>
      <w:r>
        <w:rPr>
          <w:spacing w:val="-10"/>
          <w:sz w:val="16"/>
        </w:rPr>
        <w:t xml:space="preserve"> </w:t>
      </w:r>
      <w:r>
        <w:rPr>
          <w:sz w:val="16"/>
        </w:rPr>
        <w:t>Australia’s</w:t>
      </w:r>
      <w:r>
        <w:rPr>
          <w:spacing w:val="-2"/>
          <w:sz w:val="16"/>
        </w:rPr>
        <w:t xml:space="preserve"> </w:t>
      </w:r>
      <w:r>
        <w:rPr>
          <w:sz w:val="16"/>
        </w:rPr>
        <w:t>health</w:t>
      </w:r>
      <w:r>
        <w:rPr>
          <w:spacing w:val="-2"/>
          <w:sz w:val="16"/>
        </w:rPr>
        <w:t xml:space="preserve"> </w:t>
      </w:r>
      <w:r>
        <w:rPr>
          <w:sz w:val="16"/>
        </w:rPr>
        <w:t>series</w:t>
      </w:r>
      <w:r>
        <w:rPr>
          <w:spacing w:val="-2"/>
          <w:sz w:val="16"/>
        </w:rPr>
        <w:t xml:space="preserve"> </w:t>
      </w:r>
      <w:r>
        <w:rPr>
          <w:sz w:val="16"/>
        </w:rPr>
        <w:t>no.</w:t>
      </w:r>
      <w:r>
        <w:rPr>
          <w:spacing w:val="-2"/>
          <w:sz w:val="16"/>
        </w:rPr>
        <w:t xml:space="preserve"> </w:t>
      </w:r>
      <w:r>
        <w:rPr>
          <w:sz w:val="16"/>
        </w:rPr>
        <w:t>16.</w:t>
      </w:r>
      <w:r>
        <w:rPr>
          <w:spacing w:val="-10"/>
          <w:sz w:val="16"/>
        </w:rPr>
        <w:t xml:space="preserve"> </w:t>
      </w:r>
      <w:r>
        <w:rPr>
          <w:sz w:val="16"/>
        </w:rPr>
        <w:t>AUS</w:t>
      </w:r>
      <w:r>
        <w:rPr>
          <w:spacing w:val="-2"/>
          <w:sz w:val="16"/>
        </w:rPr>
        <w:t xml:space="preserve"> </w:t>
      </w:r>
      <w:r>
        <w:rPr>
          <w:sz w:val="16"/>
        </w:rPr>
        <w:t>221.</w:t>
      </w:r>
      <w:r>
        <w:rPr>
          <w:spacing w:val="-2"/>
          <w:sz w:val="16"/>
        </w:rPr>
        <w:t xml:space="preserve"> </w:t>
      </w:r>
      <w:r>
        <w:rPr>
          <w:sz w:val="16"/>
        </w:rPr>
        <w:t>Canberra:</w:t>
      </w:r>
      <w:r>
        <w:rPr>
          <w:spacing w:val="-11"/>
          <w:sz w:val="16"/>
        </w:rPr>
        <w:t xml:space="preserve"> </w:t>
      </w:r>
      <w:r>
        <w:rPr>
          <w:sz w:val="16"/>
        </w:rPr>
        <w:t>AIHW.</w:t>
      </w:r>
    </w:p>
    <w:p w:rsidR="007A0A6C" w:rsidRDefault="00660E26">
      <w:pPr>
        <w:pStyle w:val="ListParagraph"/>
        <w:numPr>
          <w:ilvl w:val="0"/>
          <w:numId w:val="3"/>
        </w:numPr>
        <w:tabs>
          <w:tab w:val="left" w:pos="736"/>
        </w:tabs>
        <w:spacing w:line="261" w:lineRule="auto"/>
        <w:ind w:left="340" w:right="561" w:firstLine="0"/>
        <w:rPr>
          <w:sz w:val="16"/>
        </w:rPr>
      </w:pPr>
      <w:r>
        <w:rPr>
          <w:sz w:val="16"/>
        </w:rPr>
        <w:t>Approximately 450,000 people in Australia have intellectual disability. See: Council for Intellectual Disability (February 2019)</w:t>
      </w:r>
      <w:r>
        <w:rPr>
          <w:color w:val="215E9E"/>
          <w:sz w:val="16"/>
        </w:rPr>
        <w:t xml:space="preserve"> </w:t>
      </w:r>
      <w:hyperlink r:id="rId56">
        <w:r>
          <w:rPr>
            <w:color w:val="215E9E"/>
            <w:sz w:val="16"/>
            <w:u w:val="single" w:color="215E9E"/>
          </w:rPr>
          <w:t>The Health of</w:t>
        </w:r>
      </w:hyperlink>
      <w:hyperlink r:id="rId57">
        <w:r>
          <w:rPr>
            <w:color w:val="215E9E"/>
            <w:sz w:val="16"/>
            <w:u w:val="single" w:color="215E9E"/>
          </w:rPr>
          <w:t xml:space="preserve"> People with Intellectual</w:t>
        </w:r>
        <w:r>
          <w:rPr>
            <w:color w:val="215E9E"/>
            <w:spacing w:val="-2"/>
            <w:sz w:val="16"/>
            <w:u w:val="single" w:color="215E9E"/>
          </w:rPr>
          <w:t xml:space="preserve"> </w:t>
        </w:r>
        <w:r>
          <w:rPr>
            <w:color w:val="215E9E"/>
            <w:sz w:val="16"/>
            <w:u w:val="single" w:color="215E9E"/>
          </w:rPr>
          <w:t>Disability</w:t>
        </w:r>
      </w:hyperlink>
      <w:r>
        <w:rPr>
          <w:sz w:val="16"/>
        </w:rPr>
        <w:t>.</w:t>
      </w:r>
    </w:p>
    <w:p w:rsidR="007A0A6C" w:rsidRDefault="00660E26">
      <w:pPr>
        <w:pStyle w:val="ListParagraph"/>
        <w:numPr>
          <w:ilvl w:val="0"/>
          <w:numId w:val="3"/>
        </w:numPr>
        <w:tabs>
          <w:tab w:val="left" w:pos="745"/>
        </w:tabs>
        <w:spacing w:before="99"/>
        <w:ind w:left="744" w:hanging="404"/>
        <w:rPr>
          <w:sz w:val="16"/>
        </w:rPr>
      </w:pPr>
      <w:r>
        <w:rPr>
          <w:sz w:val="16"/>
        </w:rPr>
        <w:t>Council for Intellectual Disability (February 2019)</w:t>
      </w:r>
      <w:r>
        <w:rPr>
          <w:color w:val="215E9E"/>
          <w:sz w:val="16"/>
        </w:rPr>
        <w:t xml:space="preserve"> </w:t>
      </w:r>
      <w:r>
        <w:rPr>
          <w:color w:val="215E9E"/>
          <w:sz w:val="16"/>
          <w:u w:val="single" w:color="215E9E"/>
        </w:rPr>
        <w:t>The Health of People with Intellectual</w:t>
      </w:r>
      <w:r>
        <w:rPr>
          <w:color w:val="215E9E"/>
          <w:spacing w:val="-15"/>
          <w:sz w:val="16"/>
          <w:u w:val="single" w:color="215E9E"/>
        </w:rPr>
        <w:t xml:space="preserve"> </w:t>
      </w:r>
      <w:r>
        <w:rPr>
          <w:color w:val="215E9E"/>
          <w:sz w:val="16"/>
          <w:u w:val="single" w:color="215E9E"/>
        </w:rPr>
        <w:t>Disability</w:t>
      </w:r>
      <w:r>
        <w:rPr>
          <w:sz w:val="16"/>
        </w:rPr>
        <w:t>.</w:t>
      </w:r>
    </w:p>
    <w:p w:rsidR="007A0A6C" w:rsidRDefault="00660E26">
      <w:pPr>
        <w:pStyle w:val="ListParagraph"/>
        <w:numPr>
          <w:ilvl w:val="0"/>
          <w:numId w:val="3"/>
        </w:numPr>
        <w:tabs>
          <w:tab w:val="left" w:pos="745"/>
        </w:tabs>
        <w:spacing w:line="261" w:lineRule="auto"/>
        <w:ind w:left="340" w:right="701" w:firstLine="0"/>
        <w:rPr>
          <w:sz w:val="16"/>
        </w:rPr>
      </w:pPr>
      <w:r>
        <w:rPr>
          <w:sz w:val="16"/>
        </w:rPr>
        <w:t>For eg: People with disability detained under Forensic Orders are often not provided with access to medical and dental care. See also: Women</w:t>
      </w:r>
      <w:r>
        <w:rPr>
          <w:spacing w:val="-4"/>
          <w:sz w:val="16"/>
        </w:rPr>
        <w:t xml:space="preserve"> </w:t>
      </w:r>
      <w:r>
        <w:rPr>
          <w:sz w:val="16"/>
        </w:rPr>
        <w:t>With</w:t>
      </w:r>
      <w:r>
        <w:rPr>
          <w:spacing w:val="-3"/>
          <w:sz w:val="16"/>
        </w:rPr>
        <w:t xml:space="preserve"> </w:t>
      </w:r>
      <w:r>
        <w:rPr>
          <w:sz w:val="16"/>
        </w:rPr>
        <w:t>Disabilities</w:t>
      </w:r>
      <w:r>
        <w:rPr>
          <w:spacing w:val="-12"/>
          <w:sz w:val="16"/>
        </w:rPr>
        <w:t xml:space="preserve"> </w:t>
      </w:r>
      <w:r>
        <w:rPr>
          <w:sz w:val="16"/>
        </w:rPr>
        <w:t>Australia</w:t>
      </w:r>
      <w:r>
        <w:rPr>
          <w:spacing w:val="-2"/>
          <w:sz w:val="16"/>
        </w:rPr>
        <w:t xml:space="preserve"> </w:t>
      </w:r>
      <w:r>
        <w:rPr>
          <w:sz w:val="16"/>
        </w:rPr>
        <w:t>(WWDA)(2016)</w:t>
      </w:r>
      <w:r>
        <w:rPr>
          <w:color w:val="215E9E"/>
          <w:spacing w:val="-3"/>
          <w:sz w:val="16"/>
        </w:rPr>
        <w:t xml:space="preserve"> </w:t>
      </w:r>
      <w:r>
        <w:rPr>
          <w:color w:val="215E9E"/>
          <w:sz w:val="16"/>
          <w:u w:val="single" w:color="215E9E"/>
        </w:rPr>
        <w:t>‘WWDA</w:t>
      </w:r>
      <w:r>
        <w:rPr>
          <w:color w:val="215E9E"/>
          <w:spacing w:val="-12"/>
          <w:sz w:val="16"/>
          <w:u w:val="single" w:color="215E9E"/>
        </w:rPr>
        <w:t xml:space="preserve"> </w:t>
      </w:r>
      <w:r>
        <w:rPr>
          <w:color w:val="215E9E"/>
          <w:sz w:val="16"/>
          <w:u w:val="single" w:color="215E9E"/>
        </w:rPr>
        <w:t>Position</w:t>
      </w:r>
      <w:r>
        <w:rPr>
          <w:color w:val="215E9E"/>
          <w:spacing w:val="-3"/>
          <w:sz w:val="16"/>
          <w:u w:val="single" w:color="215E9E"/>
        </w:rPr>
        <w:t xml:space="preserve"> </w:t>
      </w:r>
      <w:r>
        <w:rPr>
          <w:color w:val="215E9E"/>
          <w:sz w:val="16"/>
          <w:u w:val="single" w:color="215E9E"/>
        </w:rPr>
        <w:t>Statement</w:t>
      </w:r>
      <w:r>
        <w:rPr>
          <w:color w:val="215E9E"/>
          <w:spacing w:val="-2"/>
          <w:sz w:val="16"/>
          <w:u w:val="single" w:color="215E9E"/>
        </w:rPr>
        <w:t xml:space="preserve"> </w:t>
      </w:r>
      <w:r>
        <w:rPr>
          <w:color w:val="215E9E"/>
          <w:sz w:val="16"/>
          <w:u w:val="single" w:color="215E9E"/>
        </w:rPr>
        <w:t>4:</w:t>
      </w:r>
      <w:r>
        <w:rPr>
          <w:color w:val="215E9E"/>
          <w:spacing w:val="-4"/>
          <w:sz w:val="16"/>
          <w:u w:val="single" w:color="215E9E"/>
        </w:rPr>
        <w:t xml:space="preserve"> </w:t>
      </w:r>
      <w:r>
        <w:rPr>
          <w:color w:val="215E9E"/>
          <w:sz w:val="16"/>
          <w:u w:val="single" w:color="215E9E"/>
        </w:rPr>
        <w:t>Sexual</w:t>
      </w:r>
      <w:r>
        <w:rPr>
          <w:color w:val="215E9E"/>
          <w:spacing w:val="-3"/>
          <w:sz w:val="16"/>
          <w:u w:val="single" w:color="215E9E"/>
        </w:rPr>
        <w:t xml:space="preserve"> </w:t>
      </w:r>
      <w:r>
        <w:rPr>
          <w:color w:val="215E9E"/>
          <w:sz w:val="16"/>
          <w:u w:val="single" w:color="215E9E"/>
        </w:rPr>
        <w:t>and</w:t>
      </w:r>
      <w:r>
        <w:rPr>
          <w:color w:val="215E9E"/>
          <w:spacing w:val="-4"/>
          <w:sz w:val="16"/>
          <w:u w:val="single" w:color="215E9E"/>
        </w:rPr>
        <w:t xml:space="preserve"> </w:t>
      </w:r>
      <w:r>
        <w:rPr>
          <w:color w:val="215E9E"/>
          <w:sz w:val="16"/>
          <w:u w:val="single" w:color="215E9E"/>
        </w:rPr>
        <w:t>Reproductive</w:t>
      </w:r>
      <w:r>
        <w:rPr>
          <w:color w:val="215E9E"/>
          <w:spacing w:val="-4"/>
          <w:sz w:val="16"/>
          <w:u w:val="single" w:color="215E9E"/>
        </w:rPr>
        <w:t xml:space="preserve"> </w:t>
      </w:r>
      <w:r>
        <w:rPr>
          <w:color w:val="215E9E"/>
          <w:sz w:val="16"/>
          <w:u w:val="single" w:color="215E9E"/>
        </w:rPr>
        <w:t>Rights</w:t>
      </w:r>
      <w:r>
        <w:rPr>
          <w:color w:val="215E9E"/>
          <w:sz w:val="16"/>
        </w:rPr>
        <w:t>’</w:t>
      </w:r>
      <w:r>
        <w:rPr>
          <w:sz w:val="16"/>
        </w:rPr>
        <w:t>.</w:t>
      </w:r>
      <w:r>
        <w:rPr>
          <w:spacing w:val="-3"/>
          <w:sz w:val="16"/>
        </w:rPr>
        <w:t xml:space="preserve"> </w:t>
      </w:r>
      <w:r>
        <w:rPr>
          <w:sz w:val="16"/>
        </w:rPr>
        <w:t>WWDA,</w:t>
      </w:r>
      <w:r>
        <w:rPr>
          <w:spacing w:val="-3"/>
          <w:sz w:val="16"/>
        </w:rPr>
        <w:t xml:space="preserve"> </w:t>
      </w:r>
      <w:r>
        <w:rPr>
          <w:sz w:val="16"/>
        </w:rPr>
        <w:t>Hobart,</w:t>
      </w:r>
      <w:r>
        <w:rPr>
          <w:spacing w:val="-6"/>
          <w:sz w:val="16"/>
        </w:rPr>
        <w:t xml:space="preserve"> </w:t>
      </w:r>
      <w:r>
        <w:rPr>
          <w:spacing w:val="-3"/>
          <w:sz w:val="16"/>
        </w:rPr>
        <w:t xml:space="preserve">Tasmania. </w:t>
      </w:r>
      <w:r>
        <w:rPr>
          <w:sz w:val="16"/>
        </w:rPr>
        <w:t>National CRPD Survey</w:t>
      </w:r>
      <w:r>
        <w:rPr>
          <w:spacing w:val="-3"/>
          <w:sz w:val="16"/>
        </w:rPr>
        <w:t xml:space="preserve"> </w:t>
      </w:r>
      <w:r>
        <w:rPr>
          <w:sz w:val="16"/>
        </w:rPr>
        <w:t>Findings.</w:t>
      </w:r>
    </w:p>
    <w:p w:rsidR="007A0A6C" w:rsidRDefault="00660E26">
      <w:pPr>
        <w:pStyle w:val="ListParagraph"/>
        <w:numPr>
          <w:ilvl w:val="0"/>
          <w:numId w:val="3"/>
        </w:numPr>
        <w:tabs>
          <w:tab w:val="left" w:pos="745"/>
        </w:tabs>
        <w:spacing w:before="99" w:line="261" w:lineRule="auto"/>
        <w:ind w:left="340" w:right="542" w:firstLine="0"/>
        <w:rPr>
          <w:sz w:val="16"/>
        </w:rPr>
      </w:pPr>
      <w:r>
        <w:rPr>
          <w:sz w:val="16"/>
        </w:rPr>
        <w:t>Indigenous people with disability experience severe levels of psychological distress at a rate three times higher than for non-Indigenous people.</w:t>
      </w:r>
      <w:r>
        <w:rPr>
          <w:spacing w:val="-5"/>
          <w:sz w:val="16"/>
        </w:rPr>
        <w:t xml:space="preserve"> </w:t>
      </w:r>
      <w:r>
        <w:rPr>
          <w:sz w:val="16"/>
        </w:rPr>
        <w:t>See:</w:t>
      </w:r>
      <w:r>
        <w:rPr>
          <w:spacing w:val="-12"/>
          <w:sz w:val="16"/>
        </w:rPr>
        <w:t xml:space="preserve"> </w:t>
      </w:r>
      <w:r>
        <w:rPr>
          <w:sz w:val="16"/>
        </w:rPr>
        <w:t>Australian</w:t>
      </w:r>
      <w:r>
        <w:rPr>
          <w:spacing w:val="-3"/>
          <w:sz w:val="16"/>
        </w:rPr>
        <w:t xml:space="preserve"> </w:t>
      </w:r>
      <w:r>
        <w:rPr>
          <w:sz w:val="16"/>
        </w:rPr>
        <w:t>Institute</w:t>
      </w:r>
      <w:r>
        <w:rPr>
          <w:spacing w:val="-3"/>
          <w:sz w:val="16"/>
        </w:rPr>
        <w:t xml:space="preserve"> </w:t>
      </w:r>
      <w:r>
        <w:rPr>
          <w:sz w:val="16"/>
        </w:rPr>
        <w:t>of</w:t>
      </w:r>
      <w:r>
        <w:rPr>
          <w:spacing w:val="-5"/>
          <w:sz w:val="16"/>
        </w:rPr>
        <w:t xml:space="preserve"> </w:t>
      </w:r>
      <w:r>
        <w:rPr>
          <w:sz w:val="16"/>
        </w:rPr>
        <w:t>Health</w:t>
      </w:r>
      <w:r>
        <w:rPr>
          <w:spacing w:val="-4"/>
          <w:sz w:val="16"/>
        </w:rPr>
        <w:t xml:space="preserve"> </w:t>
      </w:r>
      <w:r>
        <w:rPr>
          <w:sz w:val="16"/>
        </w:rPr>
        <w:t>and</w:t>
      </w:r>
      <w:r>
        <w:rPr>
          <w:spacing w:val="-4"/>
          <w:sz w:val="16"/>
        </w:rPr>
        <w:t xml:space="preserve"> </w:t>
      </w:r>
      <w:r>
        <w:rPr>
          <w:sz w:val="16"/>
        </w:rPr>
        <w:t>Welfare</w:t>
      </w:r>
      <w:r>
        <w:rPr>
          <w:spacing w:val="-5"/>
          <w:sz w:val="16"/>
        </w:rPr>
        <w:t xml:space="preserve"> </w:t>
      </w:r>
      <w:r>
        <w:rPr>
          <w:sz w:val="16"/>
        </w:rPr>
        <w:t>2018.</w:t>
      </w:r>
      <w:r>
        <w:rPr>
          <w:color w:val="215E9E"/>
          <w:spacing w:val="-11"/>
          <w:sz w:val="16"/>
        </w:rPr>
        <w:t xml:space="preserve"> </w:t>
      </w:r>
      <w:r>
        <w:rPr>
          <w:color w:val="215E9E"/>
          <w:sz w:val="16"/>
          <w:u w:val="single" w:color="215E9E"/>
        </w:rPr>
        <w:t>Australia’s</w:t>
      </w:r>
      <w:r>
        <w:rPr>
          <w:color w:val="215E9E"/>
          <w:spacing w:val="-4"/>
          <w:sz w:val="16"/>
          <w:u w:val="single" w:color="215E9E"/>
        </w:rPr>
        <w:t xml:space="preserve"> </w:t>
      </w:r>
      <w:r>
        <w:rPr>
          <w:color w:val="215E9E"/>
          <w:sz w:val="16"/>
          <w:u w:val="single" w:color="215E9E"/>
        </w:rPr>
        <w:t>health</w:t>
      </w:r>
      <w:r>
        <w:rPr>
          <w:color w:val="215E9E"/>
          <w:spacing w:val="-4"/>
          <w:sz w:val="16"/>
          <w:u w:val="single" w:color="215E9E"/>
        </w:rPr>
        <w:t xml:space="preserve"> </w:t>
      </w:r>
      <w:r>
        <w:rPr>
          <w:color w:val="215E9E"/>
          <w:sz w:val="16"/>
          <w:u w:val="single" w:color="215E9E"/>
        </w:rPr>
        <w:t>2018</w:t>
      </w:r>
      <w:r>
        <w:rPr>
          <w:sz w:val="16"/>
        </w:rPr>
        <w:t>.</w:t>
      </w:r>
      <w:r>
        <w:rPr>
          <w:spacing w:val="-12"/>
          <w:sz w:val="16"/>
        </w:rPr>
        <w:t xml:space="preserve"> </w:t>
      </w:r>
      <w:r>
        <w:rPr>
          <w:sz w:val="16"/>
        </w:rPr>
        <w:t>Australia’s</w:t>
      </w:r>
      <w:r>
        <w:rPr>
          <w:spacing w:val="-3"/>
          <w:sz w:val="16"/>
        </w:rPr>
        <w:t xml:space="preserve"> </w:t>
      </w:r>
      <w:r>
        <w:rPr>
          <w:sz w:val="16"/>
        </w:rPr>
        <w:t>health</w:t>
      </w:r>
      <w:r>
        <w:rPr>
          <w:spacing w:val="-4"/>
          <w:sz w:val="16"/>
        </w:rPr>
        <w:t xml:space="preserve"> </w:t>
      </w:r>
      <w:r>
        <w:rPr>
          <w:sz w:val="16"/>
        </w:rPr>
        <w:t>series</w:t>
      </w:r>
      <w:r>
        <w:rPr>
          <w:spacing w:val="-4"/>
          <w:sz w:val="16"/>
        </w:rPr>
        <w:t xml:space="preserve"> </w:t>
      </w:r>
      <w:r>
        <w:rPr>
          <w:sz w:val="16"/>
        </w:rPr>
        <w:t>no.</w:t>
      </w:r>
      <w:r>
        <w:rPr>
          <w:spacing w:val="-4"/>
          <w:sz w:val="16"/>
        </w:rPr>
        <w:t xml:space="preserve"> </w:t>
      </w:r>
      <w:r>
        <w:rPr>
          <w:sz w:val="16"/>
        </w:rPr>
        <w:t>16.</w:t>
      </w:r>
      <w:r>
        <w:rPr>
          <w:spacing w:val="-12"/>
          <w:sz w:val="16"/>
        </w:rPr>
        <w:t xml:space="preserve"> </w:t>
      </w:r>
      <w:r>
        <w:rPr>
          <w:sz w:val="16"/>
        </w:rPr>
        <w:t>AUS</w:t>
      </w:r>
      <w:r>
        <w:rPr>
          <w:spacing w:val="-3"/>
          <w:sz w:val="16"/>
        </w:rPr>
        <w:t xml:space="preserve"> </w:t>
      </w:r>
      <w:r>
        <w:rPr>
          <w:sz w:val="16"/>
        </w:rPr>
        <w:t>221.</w:t>
      </w:r>
      <w:r>
        <w:rPr>
          <w:spacing w:val="-5"/>
          <w:sz w:val="16"/>
        </w:rPr>
        <w:t xml:space="preserve"> </w:t>
      </w:r>
      <w:r>
        <w:rPr>
          <w:sz w:val="16"/>
        </w:rPr>
        <w:t>Canberra:</w:t>
      </w:r>
      <w:r>
        <w:rPr>
          <w:spacing w:val="-11"/>
          <w:sz w:val="16"/>
        </w:rPr>
        <w:t xml:space="preserve"> </w:t>
      </w:r>
      <w:r>
        <w:rPr>
          <w:sz w:val="16"/>
        </w:rPr>
        <w:t>AIHW.</w:t>
      </w:r>
    </w:p>
    <w:p w:rsidR="007A0A6C" w:rsidRDefault="00660E26">
      <w:pPr>
        <w:pStyle w:val="ListParagraph"/>
        <w:numPr>
          <w:ilvl w:val="0"/>
          <w:numId w:val="3"/>
        </w:numPr>
        <w:tabs>
          <w:tab w:val="left" w:pos="745"/>
        </w:tabs>
        <w:spacing w:before="99"/>
        <w:ind w:left="744" w:hanging="404"/>
        <w:rPr>
          <w:sz w:val="16"/>
        </w:rPr>
      </w:pPr>
      <w:r>
        <w:rPr>
          <w:sz w:val="16"/>
        </w:rPr>
        <w:t>Productivity Commission,</w:t>
      </w:r>
      <w:r>
        <w:rPr>
          <w:color w:val="215E9E"/>
          <w:sz w:val="16"/>
        </w:rPr>
        <w:t xml:space="preserve"> </w:t>
      </w:r>
      <w:r>
        <w:rPr>
          <w:color w:val="215E9E"/>
          <w:sz w:val="16"/>
          <w:u w:val="single" w:color="215E9E"/>
        </w:rPr>
        <w:t>National Disability Insurance Scheme (NDIS) Costs</w:t>
      </w:r>
      <w:r>
        <w:rPr>
          <w:sz w:val="16"/>
        </w:rPr>
        <w:t>, 19 October</w:t>
      </w:r>
      <w:r>
        <w:rPr>
          <w:spacing w:val="-7"/>
          <w:sz w:val="16"/>
        </w:rPr>
        <w:t xml:space="preserve"> </w:t>
      </w:r>
      <w:r>
        <w:rPr>
          <w:sz w:val="16"/>
        </w:rPr>
        <w:t>2017.</w:t>
      </w:r>
    </w:p>
    <w:p w:rsidR="007A0A6C" w:rsidRDefault="00660E26">
      <w:pPr>
        <w:pStyle w:val="ListParagraph"/>
        <w:numPr>
          <w:ilvl w:val="0"/>
          <w:numId w:val="3"/>
        </w:numPr>
        <w:tabs>
          <w:tab w:val="left" w:pos="745"/>
        </w:tabs>
        <w:spacing w:line="261" w:lineRule="auto"/>
        <w:ind w:left="340" w:right="625" w:firstLine="0"/>
        <w:rPr>
          <w:sz w:val="16"/>
        </w:rPr>
      </w:pPr>
      <w:r>
        <w:rPr>
          <w:sz w:val="16"/>
        </w:rPr>
        <w:t>Including for eg: forced sterilisation, forced abortion, forced contraception; female genital mutilation; menstrual suppression; chemical and physical restraint; forced institutionalisation; forced isolation and segregation; withholding of medications; indefinite detention; forced marriage; sexual slavery. See: Women With Disabilities Australia (WWDA) (August 2016)</w:t>
      </w:r>
      <w:r>
        <w:rPr>
          <w:color w:val="215E9E"/>
          <w:sz w:val="16"/>
        </w:rPr>
        <w:t xml:space="preserve"> </w:t>
      </w:r>
      <w:r>
        <w:rPr>
          <w:color w:val="215E9E"/>
          <w:sz w:val="16"/>
          <w:u w:val="single" w:color="215E9E"/>
        </w:rPr>
        <w:t>‘Improving Service Responses for Women with Disability Experiencing Violence’; Final Report</w:t>
      </w:r>
      <w:r>
        <w:rPr>
          <w:sz w:val="16"/>
        </w:rPr>
        <w:t xml:space="preserve">. WWDA, Hobart, </w:t>
      </w:r>
      <w:r>
        <w:rPr>
          <w:spacing w:val="-3"/>
          <w:sz w:val="16"/>
        </w:rPr>
        <w:t xml:space="preserve">Tasmania. </w:t>
      </w:r>
      <w:r>
        <w:rPr>
          <w:sz w:val="16"/>
        </w:rPr>
        <w:t>ISBN:</w:t>
      </w:r>
      <w:r>
        <w:rPr>
          <w:spacing w:val="-7"/>
          <w:sz w:val="16"/>
        </w:rPr>
        <w:t xml:space="preserve"> </w:t>
      </w:r>
      <w:r>
        <w:rPr>
          <w:sz w:val="16"/>
        </w:rPr>
        <w:t>978-0-9585268-5-2.</w:t>
      </w:r>
    </w:p>
    <w:p w:rsidR="007A0A6C" w:rsidRDefault="00660E26">
      <w:pPr>
        <w:pStyle w:val="ListParagraph"/>
        <w:numPr>
          <w:ilvl w:val="0"/>
          <w:numId w:val="3"/>
        </w:numPr>
        <w:tabs>
          <w:tab w:val="left" w:pos="736"/>
        </w:tabs>
        <w:spacing w:before="97"/>
        <w:ind w:hanging="395"/>
        <w:rPr>
          <w:sz w:val="16"/>
        </w:rPr>
      </w:pPr>
      <w:r>
        <w:rPr>
          <w:sz w:val="16"/>
        </w:rPr>
        <w:t>Australian</w:t>
      </w:r>
      <w:r>
        <w:rPr>
          <w:spacing w:val="-2"/>
          <w:sz w:val="16"/>
        </w:rPr>
        <w:t xml:space="preserve"> </w:t>
      </w:r>
      <w:r>
        <w:rPr>
          <w:sz w:val="16"/>
        </w:rPr>
        <w:t>Institute</w:t>
      </w:r>
      <w:r>
        <w:rPr>
          <w:spacing w:val="-1"/>
          <w:sz w:val="16"/>
        </w:rPr>
        <w:t xml:space="preserve"> </w:t>
      </w:r>
      <w:r>
        <w:rPr>
          <w:sz w:val="16"/>
        </w:rPr>
        <w:t>of</w:t>
      </w:r>
      <w:r>
        <w:rPr>
          <w:spacing w:val="-3"/>
          <w:sz w:val="16"/>
        </w:rPr>
        <w:t xml:space="preserve"> </w:t>
      </w:r>
      <w:r>
        <w:rPr>
          <w:sz w:val="16"/>
        </w:rPr>
        <w:t>Health</w:t>
      </w:r>
      <w:r>
        <w:rPr>
          <w:spacing w:val="-2"/>
          <w:sz w:val="16"/>
        </w:rPr>
        <w:t xml:space="preserve"> </w:t>
      </w:r>
      <w:r>
        <w:rPr>
          <w:sz w:val="16"/>
        </w:rPr>
        <w:t>and</w:t>
      </w:r>
      <w:r>
        <w:rPr>
          <w:spacing w:val="-3"/>
          <w:sz w:val="16"/>
        </w:rPr>
        <w:t xml:space="preserve"> </w:t>
      </w:r>
      <w:r>
        <w:rPr>
          <w:sz w:val="16"/>
        </w:rPr>
        <w:t>Welfare</w:t>
      </w:r>
      <w:r>
        <w:rPr>
          <w:spacing w:val="-2"/>
          <w:sz w:val="16"/>
        </w:rPr>
        <w:t xml:space="preserve"> </w:t>
      </w:r>
      <w:r>
        <w:rPr>
          <w:sz w:val="16"/>
        </w:rPr>
        <w:t>2018.</w:t>
      </w:r>
      <w:r>
        <w:rPr>
          <w:color w:val="215E9E"/>
          <w:spacing w:val="-10"/>
          <w:sz w:val="16"/>
        </w:rPr>
        <w:t xml:space="preserve"> </w:t>
      </w:r>
      <w:r>
        <w:rPr>
          <w:color w:val="215E9E"/>
          <w:sz w:val="16"/>
          <w:u w:val="single" w:color="215E9E"/>
        </w:rPr>
        <w:t>Australia’s</w:t>
      </w:r>
      <w:r>
        <w:rPr>
          <w:color w:val="215E9E"/>
          <w:spacing w:val="-2"/>
          <w:sz w:val="16"/>
          <w:u w:val="single" w:color="215E9E"/>
        </w:rPr>
        <w:t xml:space="preserve"> </w:t>
      </w:r>
      <w:r>
        <w:rPr>
          <w:color w:val="215E9E"/>
          <w:sz w:val="16"/>
          <w:u w:val="single" w:color="215E9E"/>
        </w:rPr>
        <w:t>health</w:t>
      </w:r>
      <w:r>
        <w:rPr>
          <w:color w:val="215E9E"/>
          <w:spacing w:val="-2"/>
          <w:sz w:val="16"/>
          <w:u w:val="single" w:color="215E9E"/>
        </w:rPr>
        <w:t xml:space="preserve"> </w:t>
      </w:r>
      <w:r>
        <w:rPr>
          <w:color w:val="215E9E"/>
          <w:sz w:val="16"/>
          <w:u w:val="single" w:color="215E9E"/>
        </w:rPr>
        <w:t>2018</w:t>
      </w:r>
      <w:r>
        <w:rPr>
          <w:sz w:val="16"/>
        </w:rPr>
        <w:t>.</w:t>
      </w:r>
      <w:r>
        <w:rPr>
          <w:spacing w:val="-10"/>
          <w:sz w:val="16"/>
        </w:rPr>
        <w:t xml:space="preserve"> </w:t>
      </w:r>
      <w:r>
        <w:rPr>
          <w:sz w:val="16"/>
        </w:rPr>
        <w:t>Australia’s</w:t>
      </w:r>
      <w:r>
        <w:rPr>
          <w:spacing w:val="-2"/>
          <w:sz w:val="16"/>
        </w:rPr>
        <w:t xml:space="preserve"> </w:t>
      </w:r>
      <w:r>
        <w:rPr>
          <w:sz w:val="16"/>
        </w:rPr>
        <w:t>health</w:t>
      </w:r>
      <w:r>
        <w:rPr>
          <w:spacing w:val="-2"/>
          <w:sz w:val="16"/>
        </w:rPr>
        <w:t xml:space="preserve"> </w:t>
      </w:r>
      <w:r>
        <w:rPr>
          <w:sz w:val="16"/>
        </w:rPr>
        <w:t>series</w:t>
      </w:r>
      <w:r>
        <w:rPr>
          <w:spacing w:val="-2"/>
          <w:sz w:val="16"/>
        </w:rPr>
        <w:t xml:space="preserve"> </w:t>
      </w:r>
      <w:r>
        <w:rPr>
          <w:sz w:val="16"/>
        </w:rPr>
        <w:t>no.</w:t>
      </w:r>
      <w:r>
        <w:rPr>
          <w:spacing w:val="-2"/>
          <w:sz w:val="16"/>
        </w:rPr>
        <w:t xml:space="preserve"> </w:t>
      </w:r>
      <w:r>
        <w:rPr>
          <w:sz w:val="16"/>
        </w:rPr>
        <w:t>16.</w:t>
      </w:r>
      <w:r>
        <w:rPr>
          <w:spacing w:val="-10"/>
          <w:sz w:val="16"/>
        </w:rPr>
        <w:t xml:space="preserve"> </w:t>
      </w:r>
      <w:r>
        <w:rPr>
          <w:sz w:val="16"/>
        </w:rPr>
        <w:t>AUS</w:t>
      </w:r>
      <w:r>
        <w:rPr>
          <w:spacing w:val="-2"/>
          <w:sz w:val="16"/>
        </w:rPr>
        <w:t xml:space="preserve"> </w:t>
      </w:r>
      <w:r>
        <w:rPr>
          <w:sz w:val="16"/>
        </w:rPr>
        <w:t>221.</w:t>
      </w:r>
      <w:r>
        <w:rPr>
          <w:spacing w:val="-2"/>
          <w:sz w:val="16"/>
        </w:rPr>
        <w:t xml:space="preserve"> </w:t>
      </w:r>
      <w:r>
        <w:rPr>
          <w:sz w:val="16"/>
        </w:rPr>
        <w:t>Canberra:</w:t>
      </w:r>
      <w:r>
        <w:rPr>
          <w:spacing w:val="-11"/>
          <w:sz w:val="16"/>
        </w:rPr>
        <w:t xml:space="preserve"> </w:t>
      </w:r>
      <w:r>
        <w:rPr>
          <w:sz w:val="16"/>
        </w:rPr>
        <w:t>AIHW.</w:t>
      </w:r>
    </w:p>
    <w:p w:rsidR="007A0A6C" w:rsidRDefault="00660E26">
      <w:pPr>
        <w:pStyle w:val="ListParagraph"/>
        <w:numPr>
          <w:ilvl w:val="0"/>
          <w:numId w:val="3"/>
        </w:numPr>
        <w:tabs>
          <w:tab w:val="left" w:pos="745"/>
        </w:tabs>
        <w:ind w:left="744" w:hanging="404"/>
        <w:rPr>
          <w:sz w:val="16"/>
        </w:rPr>
      </w:pPr>
      <w:r>
        <w:rPr>
          <w:sz w:val="16"/>
        </w:rPr>
        <w:t>Such as those on hospitals, the Medicare Benefits Schedule, and the Pharmaceutical Benefits</w:t>
      </w:r>
      <w:r>
        <w:rPr>
          <w:spacing w:val="-7"/>
          <w:sz w:val="16"/>
        </w:rPr>
        <w:t xml:space="preserve"> </w:t>
      </w:r>
      <w:r>
        <w:rPr>
          <w:sz w:val="16"/>
        </w:rPr>
        <w:t>Scheme.</w:t>
      </w:r>
    </w:p>
    <w:p w:rsidR="007A0A6C" w:rsidRDefault="00660E26">
      <w:pPr>
        <w:pStyle w:val="ListParagraph"/>
        <w:numPr>
          <w:ilvl w:val="0"/>
          <w:numId w:val="3"/>
        </w:numPr>
        <w:tabs>
          <w:tab w:val="left" w:pos="736"/>
        </w:tabs>
        <w:spacing w:before="117"/>
        <w:ind w:hanging="395"/>
        <w:rPr>
          <w:sz w:val="16"/>
        </w:rPr>
      </w:pPr>
      <w:r>
        <w:rPr>
          <w:sz w:val="16"/>
        </w:rPr>
        <w:t>Australian</w:t>
      </w:r>
      <w:r>
        <w:rPr>
          <w:spacing w:val="-2"/>
          <w:sz w:val="16"/>
        </w:rPr>
        <w:t xml:space="preserve"> </w:t>
      </w:r>
      <w:r>
        <w:rPr>
          <w:sz w:val="16"/>
        </w:rPr>
        <w:t>Institute</w:t>
      </w:r>
      <w:r>
        <w:rPr>
          <w:spacing w:val="-1"/>
          <w:sz w:val="16"/>
        </w:rPr>
        <w:t xml:space="preserve"> </w:t>
      </w:r>
      <w:r>
        <w:rPr>
          <w:sz w:val="16"/>
        </w:rPr>
        <w:t>of</w:t>
      </w:r>
      <w:r>
        <w:rPr>
          <w:spacing w:val="-3"/>
          <w:sz w:val="16"/>
        </w:rPr>
        <w:t xml:space="preserve"> </w:t>
      </w:r>
      <w:r>
        <w:rPr>
          <w:sz w:val="16"/>
        </w:rPr>
        <w:t>Health</w:t>
      </w:r>
      <w:r>
        <w:rPr>
          <w:spacing w:val="-2"/>
          <w:sz w:val="16"/>
        </w:rPr>
        <w:t xml:space="preserve"> </w:t>
      </w:r>
      <w:r>
        <w:rPr>
          <w:sz w:val="16"/>
        </w:rPr>
        <w:t>and</w:t>
      </w:r>
      <w:r>
        <w:rPr>
          <w:spacing w:val="-3"/>
          <w:sz w:val="16"/>
        </w:rPr>
        <w:t xml:space="preserve"> </w:t>
      </w:r>
      <w:r>
        <w:rPr>
          <w:sz w:val="16"/>
        </w:rPr>
        <w:t>Welfare</w:t>
      </w:r>
      <w:r>
        <w:rPr>
          <w:spacing w:val="-2"/>
          <w:sz w:val="16"/>
        </w:rPr>
        <w:t xml:space="preserve"> </w:t>
      </w:r>
      <w:r>
        <w:rPr>
          <w:sz w:val="16"/>
        </w:rPr>
        <w:t>2018.</w:t>
      </w:r>
      <w:r>
        <w:rPr>
          <w:color w:val="215E9E"/>
          <w:spacing w:val="-10"/>
          <w:sz w:val="16"/>
        </w:rPr>
        <w:t xml:space="preserve"> </w:t>
      </w:r>
      <w:r>
        <w:rPr>
          <w:color w:val="215E9E"/>
          <w:sz w:val="16"/>
          <w:u w:val="single" w:color="215E9E"/>
        </w:rPr>
        <w:t>Australia’s</w:t>
      </w:r>
      <w:r>
        <w:rPr>
          <w:color w:val="215E9E"/>
          <w:spacing w:val="-2"/>
          <w:sz w:val="16"/>
          <w:u w:val="single" w:color="215E9E"/>
        </w:rPr>
        <w:t xml:space="preserve"> </w:t>
      </w:r>
      <w:r>
        <w:rPr>
          <w:color w:val="215E9E"/>
          <w:sz w:val="16"/>
          <w:u w:val="single" w:color="215E9E"/>
        </w:rPr>
        <w:t>health</w:t>
      </w:r>
      <w:r>
        <w:rPr>
          <w:color w:val="215E9E"/>
          <w:spacing w:val="-2"/>
          <w:sz w:val="16"/>
          <w:u w:val="single" w:color="215E9E"/>
        </w:rPr>
        <w:t xml:space="preserve"> </w:t>
      </w:r>
      <w:r>
        <w:rPr>
          <w:color w:val="215E9E"/>
          <w:sz w:val="16"/>
          <w:u w:val="single" w:color="215E9E"/>
        </w:rPr>
        <w:t>2018</w:t>
      </w:r>
      <w:r>
        <w:rPr>
          <w:sz w:val="16"/>
        </w:rPr>
        <w:t>.</w:t>
      </w:r>
      <w:r>
        <w:rPr>
          <w:spacing w:val="-10"/>
          <w:sz w:val="16"/>
        </w:rPr>
        <w:t xml:space="preserve"> </w:t>
      </w:r>
      <w:r>
        <w:rPr>
          <w:sz w:val="16"/>
        </w:rPr>
        <w:t>Australia’s</w:t>
      </w:r>
      <w:r>
        <w:rPr>
          <w:spacing w:val="-2"/>
          <w:sz w:val="16"/>
        </w:rPr>
        <w:t xml:space="preserve"> </w:t>
      </w:r>
      <w:r>
        <w:rPr>
          <w:sz w:val="16"/>
        </w:rPr>
        <w:t>health</w:t>
      </w:r>
      <w:r>
        <w:rPr>
          <w:spacing w:val="-2"/>
          <w:sz w:val="16"/>
        </w:rPr>
        <w:t xml:space="preserve"> </w:t>
      </w:r>
      <w:r>
        <w:rPr>
          <w:sz w:val="16"/>
        </w:rPr>
        <w:t>series</w:t>
      </w:r>
      <w:r>
        <w:rPr>
          <w:spacing w:val="-2"/>
          <w:sz w:val="16"/>
        </w:rPr>
        <w:t xml:space="preserve"> </w:t>
      </w:r>
      <w:r>
        <w:rPr>
          <w:sz w:val="16"/>
        </w:rPr>
        <w:t>no.</w:t>
      </w:r>
      <w:r>
        <w:rPr>
          <w:spacing w:val="-2"/>
          <w:sz w:val="16"/>
        </w:rPr>
        <w:t xml:space="preserve"> </w:t>
      </w:r>
      <w:r>
        <w:rPr>
          <w:sz w:val="16"/>
        </w:rPr>
        <w:t>16.</w:t>
      </w:r>
      <w:r>
        <w:rPr>
          <w:spacing w:val="-10"/>
          <w:sz w:val="16"/>
        </w:rPr>
        <w:t xml:space="preserve"> </w:t>
      </w:r>
      <w:r>
        <w:rPr>
          <w:sz w:val="16"/>
        </w:rPr>
        <w:t>AUS</w:t>
      </w:r>
      <w:r>
        <w:rPr>
          <w:spacing w:val="-2"/>
          <w:sz w:val="16"/>
        </w:rPr>
        <w:t xml:space="preserve"> </w:t>
      </w:r>
      <w:r>
        <w:rPr>
          <w:sz w:val="16"/>
        </w:rPr>
        <w:t>221.</w:t>
      </w:r>
      <w:r>
        <w:rPr>
          <w:spacing w:val="-2"/>
          <w:sz w:val="16"/>
        </w:rPr>
        <w:t xml:space="preserve"> </w:t>
      </w:r>
      <w:r>
        <w:rPr>
          <w:sz w:val="16"/>
        </w:rPr>
        <w:t>Canberra:</w:t>
      </w:r>
      <w:r>
        <w:rPr>
          <w:spacing w:val="-11"/>
          <w:sz w:val="16"/>
        </w:rPr>
        <w:t xml:space="preserve"> </w:t>
      </w:r>
      <w:r>
        <w:rPr>
          <w:sz w:val="16"/>
        </w:rPr>
        <w:t>AIHW.</w:t>
      </w:r>
    </w:p>
    <w:p w:rsidR="007A0A6C" w:rsidRDefault="00660E26">
      <w:pPr>
        <w:pStyle w:val="ListParagraph"/>
        <w:numPr>
          <w:ilvl w:val="0"/>
          <w:numId w:val="3"/>
        </w:numPr>
        <w:tabs>
          <w:tab w:val="left" w:pos="745"/>
        </w:tabs>
        <w:ind w:left="744" w:hanging="404"/>
        <w:rPr>
          <w:sz w:val="16"/>
        </w:rPr>
      </w:pPr>
      <w:r>
        <w:rPr>
          <w:sz w:val="16"/>
        </w:rPr>
        <w:t>Joint Standing Committee on the National Disability Insurance Scheme (March 2019)</w:t>
      </w:r>
      <w:r>
        <w:rPr>
          <w:color w:val="215E9E"/>
          <w:sz w:val="16"/>
        </w:rPr>
        <w:t xml:space="preserve"> </w:t>
      </w:r>
      <w:r>
        <w:rPr>
          <w:color w:val="215E9E"/>
          <w:sz w:val="16"/>
          <w:u w:val="single" w:color="215E9E"/>
        </w:rPr>
        <w:t>Progress</w:t>
      </w:r>
      <w:r>
        <w:rPr>
          <w:color w:val="215E9E"/>
          <w:spacing w:val="-9"/>
          <w:sz w:val="16"/>
          <w:u w:val="single" w:color="215E9E"/>
        </w:rPr>
        <w:t xml:space="preserve"> </w:t>
      </w:r>
      <w:r>
        <w:rPr>
          <w:color w:val="215E9E"/>
          <w:sz w:val="16"/>
          <w:u w:val="single" w:color="215E9E"/>
        </w:rPr>
        <w:t>Report</w:t>
      </w:r>
      <w:r>
        <w:rPr>
          <w:sz w:val="16"/>
        </w:rPr>
        <w:t>.</w:t>
      </w:r>
    </w:p>
    <w:p w:rsidR="007A0A6C" w:rsidRDefault="007A0A6C">
      <w:pPr>
        <w:rPr>
          <w:sz w:val="16"/>
        </w:rPr>
        <w:sectPr w:rsidR="007A0A6C">
          <w:pgSz w:w="11910" w:h="16840"/>
          <w:pgMar w:top="600" w:right="440" w:bottom="540" w:left="380" w:header="0" w:footer="343" w:gutter="0"/>
          <w:cols w:space="720"/>
        </w:sectPr>
      </w:pPr>
    </w:p>
    <w:p w:rsidR="007A0A6C" w:rsidRDefault="00660E26">
      <w:pPr>
        <w:pStyle w:val="ListParagraph"/>
        <w:numPr>
          <w:ilvl w:val="0"/>
          <w:numId w:val="3"/>
        </w:numPr>
        <w:tabs>
          <w:tab w:val="left" w:pos="742"/>
        </w:tabs>
        <w:spacing w:before="68" w:line="261" w:lineRule="auto"/>
        <w:ind w:left="340" w:right="337" w:firstLine="0"/>
        <w:rPr>
          <w:sz w:val="16"/>
        </w:rPr>
      </w:pPr>
      <w:r>
        <w:rPr>
          <w:sz w:val="16"/>
        </w:rPr>
        <w:lastRenderedPageBreak/>
        <w:t>The lack of community based therapy services seriously inhibits the ability of these services to meet the needs of those needing assistance to improve, maintain or minimise deterioration in their level of</w:t>
      </w:r>
      <w:r>
        <w:rPr>
          <w:spacing w:val="-8"/>
          <w:sz w:val="16"/>
        </w:rPr>
        <w:t xml:space="preserve"> </w:t>
      </w:r>
      <w:r>
        <w:rPr>
          <w:sz w:val="16"/>
        </w:rPr>
        <w:t>functioning.</w:t>
      </w:r>
    </w:p>
    <w:p w:rsidR="007A0A6C" w:rsidRDefault="00660E26">
      <w:pPr>
        <w:pStyle w:val="ListParagraph"/>
        <w:numPr>
          <w:ilvl w:val="0"/>
          <w:numId w:val="3"/>
        </w:numPr>
        <w:tabs>
          <w:tab w:val="left" w:pos="745"/>
        </w:tabs>
        <w:spacing w:before="99"/>
        <w:ind w:left="744" w:hanging="404"/>
        <w:rPr>
          <w:sz w:val="16"/>
        </w:rPr>
      </w:pPr>
      <w:r>
        <w:rPr>
          <w:sz w:val="16"/>
        </w:rPr>
        <w:t>Council of Australian Governments;</w:t>
      </w:r>
      <w:r>
        <w:rPr>
          <w:color w:val="215E9E"/>
          <w:sz w:val="16"/>
        </w:rPr>
        <w:t xml:space="preserve"> </w:t>
      </w:r>
      <w:r>
        <w:rPr>
          <w:color w:val="215E9E"/>
          <w:sz w:val="16"/>
          <w:u w:val="single" w:color="215E9E"/>
        </w:rPr>
        <w:t>Principles to Determine the Responsibilities of the NDIS and other Service</w:t>
      </w:r>
      <w:r>
        <w:rPr>
          <w:color w:val="215E9E"/>
          <w:spacing w:val="-27"/>
          <w:sz w:val="16"/>
          <w:u w:val="single" w:color="215E9E"/>
        </w:rPr>
        <w:t xml:space="preserve"> </w:t>
      </w:r>
      <w:r>
        <w:rPr>
          <w:color w:val="215E9E"/>
          <w:sz w:val="16"/>
          <w:u w:val="single" w:color="215E9E"/>
        </w:rPr>
        <w:t>Systems</w:t>
      </w:r>
      <w:r>
        <w:rPr>
          <w:sz w:val="16"/>
        </w:rPr>
        <w:t>.</w:t>
      </w:r>
    </w:p>
    <w:p w:rsidR="007A0A6C" w:rsidRDefault="00660E26">
      <w:pPr>
        <w:pStyle w:val="ListParagraph"/>
        <w:numPr>
          <w:ilvl w:val="0"/>
          <w:numId w:val="3"/>
        </w:numPr>
        <w:tabs>
          <w:tab w:val="left" w:pos="745"/>
        </w:tabs>
        <w:spacing w:line="261" w:lineRule="auto"/>
        <w:ind w:left="340" w:right="494" w:firstLine="0"/>
        <w:rPr>
          <w:sz w:val="16"/>
        </w:rPr>
      </w:pPr>
      <w:r>
        <w:rPr>
          <w:sz w:val="16"/>
        </w:rPr>
        <w:t>Joint Standing Committee on the National Disability Insurance Scheme (September 2018)</w:t>
      </w:r>
      <w:r>
        <w:rPr>
          <w:color w:val="215E9E"/>
          <w:sz w:val="16"/>
        </w:rPr>
        <w:t xml:space="preserve"> </w:t>
      </w:r>
      <w:r>
        <w:rPr>
          <w:color w:val="215E9E"/>
          <w:sz w:val="16"/>
          <w:u w:val="single" w:color="215E9E"/>
        </w:rPr>
        <w:t>Market readiness for provision of services under the</w:t>
      </w:r>
      <w:r>
        <w:rPr>
          <w:color w:val="215E9E"/>
          <w:spacing w:val="-1"/>
          <w:sz w:val="16"/>
          <w:u w:val="single" w:color="215E9E"/>
        </w:rPr>
        <w:t xml:space="preserve"> </w:t>
      </w:r>
      <w:r>
        <w:rPr>
          <w:color w:val="215E9E"/>
          <w:sz w:val="16"/>
          <w:u w:val="single" w:color="215E9E"/>
        </w:rPr>
        <w:t>NDIS</w:t>
      </w:r>
      <w:r>
        <w:rPr>
          <w:sz w:val="16"/>
        </w:rPr>
        <w:t>.</w:t>
      </w:r>
    </w:p>
    <w:p w:rsidR="007A0A6C" w:rsidRDefault="00660E26">
      <w:pPr>
        <w:pStyle w:val="ListParagraph"/>
        <w:numPr>
          <w:ilvl w:val="0"/>
          <w:numId w:val="3"/>
        </w:numPr>
        <w:tabs>
          <w:tab w:val="left" w:pos="745"/>
        </w:tabs>
        <w:spacing w:before="99" w:line="261" w:lineRule="auto"/>
        <w:ind w:left="340" w:right="294" w:firstLine="0"/>
        <w:rPr>
          <w:sz w:val="16"/>
        </w:rPr>
      </w:pPr>
      <w:r>
        <w:rPr>
          <w:sz w:val="16"/>
        </w:rPr>
        <w:t>For example, the NDIS eligibility criteria do not adequately consider the episodic nature of psychosocial disability/mental illness, and the focus on diagnosis rather than physical and psychosocial impact disqualifies many with a demonstrable need for assistance under the Scheme. See: Commonwealth</w:t>
      </w:r>
      <w:r>
        <w:rPr>
          <w:spacing w:val="-4"/>
          <w:sz w:val="16"/>
        </w:rPr>
        <w:t xml:space="preserve"> </w:t>
      </w:r>
      <w:r>
        <w:rPr>
          <w:sz w:val="16"/>
        </w:rPr>
        <w:t>of</w:t>
      </w:r>
      <w:r>
        <w:rPr>
          <w:spacing w:val="-10"/>
          <w:sz w:val="16"/>
        </w:rPr>
        <w:t xml:space="preserve"> </w:t>
      </w:r>
      <w:r>
        <w:rPr>
          <w:sz w:val="16"/>
        </w:rPr>
        <w:t>Australia</w:t>
      </w:r>
      <w:r>
        <w:rPr>
          <w:spacing w:val="-3"/>
          <w:sz w:val="16"/>
        </w:rPr>
        <w:t xml:space="preserve"> </w:t>
      </w:r>
      <w:r>
        <w:rPr>
          <w:sz w:val="16"/>
        </w:rPr>
        <w:t>(2017)</w:t>
      </w:r>
      <w:r>
        <w:rPr>
          <w:spacing w:val="-2"/>
          <w:sz w:val="16"/>
        </w:rPr>
        <w:t xml:space="preserve"> </w:t>
      </w:r>
      <w:r>
        <w:rPr>
          <w:sz w:val="16"/>
        </w:rPr>
        <w:t>Joint</w:t>
      </w:r>
      <w:r>
        <w:rPr>
          <w:spacing w:val="-2"/>
          <w:sz w:val="16"/>
        </w:rPr>
        <w:t xml:space="preserve"> </w:t>
      </w:r>
      <w:r>
        <w:rPr>
          <w:sz w:val="16"/>
        </w:rPr>
        <w:t>Standing</w:t>
      </w:r>
      <w:r>
        <w:rPr>
          <w:spacing w:val="-3"/>
          <w:sz w:val="16"/>
        </w:rPr>
        <w:t xml:space="preserve"> </w:t>
      </w:r>
      <w:r>
        <w:rPr>
          <w:sz w:val="16"/>
        </w:rPr>
        <w:t>Committee</w:t>
      </w:r>
      <w:r>
        <w:rPr>
          <w:spacing w:val="-3"/>
          <w:sz w:val="16"/>
        </w:rPr>
        <w:t xml:space="preserve"> </w:t>
      </w:r>
      <w:r>
        <w:rPr>
          <w:sz w:val="16"/>
        </w:rPr>
        <w:t>on</w:t>
      </w:r>
      <w:r>
        <w:rPr>
          <w:spacing w:val="-3"/>
          <w:sz w:val="16"/>
        </w:rPr>
        <w:t xml:space="preserve"> </w:t>
      </w:r>
      <w:r>
        <w:rPr>
          <w:sz w:val="16"/>
        </w:rPr>
        <w:t>the</w:t>
      </w:r>
      <w:r>
        <w:rPr>
          <w:spacing w:val="-2"/>
          <w:sz w:val="16"/>
        </w:rPr>
        <w:t xml:space="preserve"> </w:t>
      </w:r>
      <w:r>
        <w:rPr>
          <w:sz w:val="16"/>
        </w:rPr>
        <w:t>National</w:t>
      </w:r>
      <w:r>
        <w:rPr>
          <w:spacing w:val="-3"/>
          <w:sz w:val="16"/>
        </w:rPr>
        <w:t xml:space="preserve"> </w:t>
      </w:r>
      <w:r>
        <w:rPr>
          <w:sz w:val="16"/>
        </w:rPr>
        <w:t>Disability</w:t>
      </w:r>
      <w:r>
        <w:rPr>
          <w:spacing w:val="-4"/>
          <w:sz w:val="16"/>
        </w:rPr>
        <w:t xml:space="preserve"> </w:t>
      </w:r>
      <w:r>
        <w:rPr>
          <w:sz w:val="16"/>
        </w:rPr>
        <w:t>Insurance</w:t>
      </w:r>
      <w:r>
        <w:rPr>
          <w:spacing w:val="-2"/>
          <w:sz w:val="16"/>
        </w:rPr>
        <w:t xml:space="preserve"> </w:t>
      </w:r>
      <w:r>
        <w:rPr>
          <w:sz w:val="16"/>
        </w:rPr>
        <w:t>Scheme;</w:t>
      </w:r>
      <w:r>
        <w:rPr>
          <w:color w:val="215E9E"/>
          <w:spacing w:val="-1"/>
          <w:sz w:val="16"/>
        </w:rPr>
        <w:t xml:space="preserve"> </w:t>
      </w:r>
      <w:r>
        <w:rPr>
          <w:color w:val="215E9E"/>
          <w:sz w:val="16"/>
          <w:u w:val="single" w:color="215E9E"/>
        </w:rPr>
        <w:t>Provision</w:t>
      </w:r>
      <w:r>
        <w:rPr>
          <w:color w:val="215E9E"/>
          <w:spacing w:val="-2"/>
          <w:sz w:val="16"/>
          <w:u w:val="single" w:color="215E9E"/>
        </w:rPr>
        <w:t xml:space="preserve"> </w:t>
      </w:r>
      <w:r>
        <w:rPr>
          <w:color w:val="215E9E"/>
          <w:sz w:val="16"/>
          <w:u w:val="single" w:color="215E9E"/>
        </w:rPr>
        <w:t>of</w:t>
      </w:r>
      <w:r>
        <w:rPr>
          <w:color w:val="215E9E"/>
          <w:spacing w:val="-4"/>
          <w:sz w:val="16"/>
          <w:u w:val="single" w:color="215E9E"/>
        </w:rPr>
        <w:t xml:space="preserve"> </w:t>
      </w:r>
      <w:r>
        <w:rPr>
          <w:color w:val="215E9E"/>
          <w:sz w:val="16"/>
          <w:u w:val="single" w:color="215E9E"/>
        </w:rPr>
        <w:t>services</w:t>
      </w:r>
      <w:r>
        <w:rPr>
          <w:color w:val="215E9E"/>
          <w:spacing w:val="-2"/>
          <w:sz w:val="16"/>
          <w:u w:val="single" w:color="215E9E"/>
        </w:rPr>
        <w:t xml:space="preserve"> </w:t>
      </w:r>
      <w:r>
        <w:rPr>
          <w:color w:val="215E9E"/>
          <w:sz w:val="16"/>
          <w:u w:val="single" w:color="215E9E"/>
        </w:rPr>
        <w:t>under</w:t>
      </w:r>
      <w:r>
        <w:rPr>
          <w:color w:val="215E9E"/>
          <w:spacing w:val="-3"/>
          <w:sz w:val="16"/>
          <w:u w:val="single" w:color="215E9E"/>
        </w:rPr>
        <w:t xml:space="preserve"> </w:t>
      </w:r>
      <w:r>
        <w:rPr>
          <w:color w:val="215E9E"/>
          <w:sz w:val="16"/>
          <w:u w:val="single" w:color="215E9E"/>
        </w:rPr>
        <w:t>the</w:t>
      </w:r>
      <w:r>
        <w:rPr>
          <w:color w:val="215E9E"/>
          <w:spacing w:val="-2"/>
          <w:sz w:val="16"/>
          <w:u w:val="single" w:color="215E9E"/>
        </w:rPr>
        <w:t xml:space="preserve"> </w:t>
      </w:r>
      <w:r>
        <w:rPr>
          <w:color w:val="215E9E"/>
          <w:sz w:val="16"/>
          <w:u w:val="single" w:color="215E9E"/>
        </w:rPr>
        <w:t>NDIS</w:t>
      </w:r>
      <w:r>
        <w:rPr>
          <w:color w:val="215E9E"/>
          <w:spacing w:val="-4"/>
          <w:sz w:val="16"/>
          <w:u w:val="single" w:color="215E9E"/>
        </w:rPr>
        <w:t xml:space="preserve"> </w:t>
      </w:r>
      <w:r>
        <w:rPr>
          <w:color w:val="215E9E"/>
          <w:sz w:val="16"/>
          <w:u w:val="single" w:color="215E9E"/>
        </w:rPr>
        <w:t>for people with psychosocial disabilities related to a mental health</w:t>
      </w:r>
      <w:r>
        <w:rPr>
          <w:color w:val="215E9E"/>
          <w:spacing w:val="-9"/>
          <w:sz w:val="16"/>
          <w:u w:val="single" w:color="215E9E"/>
        </w:rPr>
        <w:t xml:space="preserve"> </w:t>
      </w:r>
      <w:r>
        <w:rPr>
          <w:color w:val="215E9E"/>
          <w:sz w:val="16"/>
          <w:u w:val="single" w:color="215E9E"/>
        </w:rPr>
        <w:t>condition</w:t>
      </w:r>
      <w:r>
        <w:rPr>
          <w:sz w:val="16"/>
        </w:rPr>
        <w:t>.</w:t>
      </w:r>
    </w:p>
    <w:p w:rsidR="007A0A6C" w:rsidRDefault="00660E26">
      <w:pPr>
        <w:pStyle w:val="ListParagraph"/>
        <w:numPr>
          <w:ilvl w:val="0"/>
          <w:numId w:val="3"/>
        </w:numPr>
        <w:tabs>
          <w:tab w:val="left" w:pos="745"/>
        </w:tabs>
        <w:spacing w:before="98" w:line="261" w:lineRule="auto"/>
        <w:ind w:left="340" w:right="503" w:firstLine="0"/>
        <w:rPr>
          <w:sz w:val="16"/>
        </w:rPr>
      </w:pPr>
      <w:r>
        <w:rPr>
          <w:sz w:val="16"/>
        </w:rPr>
        <w:t>Commonwealth of Australia (2017) Joint Standing Committee on the National Disability Insurance Scheme;</w:t>
      </w:r>
      <w:r>
        <w:rPr>
          <w:color w:val="215E9E"/>
          <w:sz w:val="16"/>
        </w:rPr>
        <w:t xml:space="preserve"> </w:t>
      </w:r>
      <w:r>
        <w:rPr>
          <w:color w:val="215E9E"/>
          <w:sz w:val="16"/>
          <w:u w:val="single" w:color="215E9E"/>
        </w:rPr>
        <w:t>Provision of services under the NDIS for people with psychosocial disabilities related to a mental health</w:t>
      </w:r>
      <w:r>
        <w:rPr>
          <w:color w:val="215E9E"/>
          <w:spacing w:val="-11"/>
          <w:sz w:val="16"/>
          <w:u w:val="single" w:color="215E9E"/>
        </w:rPr>
        <w:t xml:space="preserve"> </w:t>
      </w:r>
      <w:r>
        <w:rPr>
          <w:color w:val="215E9E"/>
          <w:sz w:val="16"/>
          <w:u w:val="single" w:color="215E9E"/>
        </w:rPr>
        <w:t>condition</w:t>
      </w:r>
      <w:r>
        <w:rPr>
          <w:sz w:val="16"/>
        </w:rPr>
        <w:t>.</w:t>
      </w:r>
    </w:p>
    <w:p w:rsidR="007A0A6C" w:rsidRDefault="00660E26">
      <w:pPr>
        <w:pStyle w:val="ListParagraph"/>
        <w:numPr>
          <w:ilvl w:val="0"/>
          <w:numId w:val="3"/>
        </w:numPr>
        <w:tabs>
          <w:tab w:val="left" w:pos="745"/>
        </w:tabs>
        <w:spacing w:before="99" w:line="261" w:lineRule="auto"/>
        <w:ind w:left="340" w:right="503" w:firstLine="0"/>
        <w:rPr>
          <w:sz w:val="16"/>
        </w:rPr>
      </w:pPr>
      <w:r>
        <w:rPr>
          <w:sz w:val="16"/>
        </w:rPr>
        <w:t>Commonwealth of Australia (2017) Joint Standing Committee on the National Disability Insurance Scheme;</w:t>
      </w:r>
      <w:r>
        <w:rPr>
          <w:color w:val="215E9E"/>
          <w:sz w:val="16"/>
        </w:rPr>
        <w:t xml:space="preserve"> </w:t>
      </w:r>
      <w:r>
        <w:rPr>
          <w:color w:val="215E9E"/>
          <w:sz w:val="16"/>
          <w:u w:val="single" w:color="215E9E"/>
        </w:rPr>
        <w:t>Provision of services under the NDIS for people with psychosocial disabilities related to a mental health</w:t>
      </w:r>
      <w:r>
        <w:rPr>
          <w:color w:val="215E9E"/>
          <w:spacing w:val="-11"/>
          <w:sz w:val="16"/>
          <w:u w:val="single" w:color="215E9E"/>
        </w:rPr>
        <w:t xml:space="preserve"> </w:t>
      </w:r>
      <w:r>
        <w:rPr>
          <w:color w:val="215E9E"/>
          <w:sz w:val="16"/>
          <w:u w:val="single" w:color="215E9E"/>
        </w:rPr>
        <w:t>condition</w:t>
      </w:r>
      <w:r>
        <w:rPr>
          <w:sz w:val="16"/>
        </w:rPr>
        <w:t>.</w:t>
      </w:r>
    </w:p>
    <w:p w:rsidR="007A0A6C" w:rsidRDefault="00660E26">
      <w:pPr>
        <w:pStyle w:val="ListParagraph"/>
        <w:numPr>
          <w:ilvl w:val="0"/>
          <w:numId w:val="3"/>
        </w:numPr>
        <w:tabs>
          <w:tab w:val="left" w:pos="745"/>
        </w:tabs>
        <w:spacing w:before="99" w:line="261" w:lineRule="auto"/>
        <w:ind w:left="340" w:right="296" w:firstLine="0"/>
        <w:rPr>
          <w:sz w:val="16"/>
        </w:rPr>
      </w:pPr>
      <w:r>
        <w:rPr>
          <w:sz w:val="16"/>
        </w:rPr>
        <w:t xml:space="preserve">39.8% for people with a disability compared to 79.4% for people without a disability. Compared with other OECD countries, Australia has one of the lowest employment participation rates for people with a disability. See: Price Waterhouse Coopers </w:t>
      </w:r>
      <w:r>
        <w:rPr>
          <w:spacing w:val="-3"/>
          <w:sz w:val="16"/>
        </w:rPr>
        <w:t>(2011)</w:t>
      </w:r>
      <w:r>
        <w:rPr>
          <w:color w:val="215E9E"/>
          <w:spacing w:val="-3"/>
          <w:sz w:val="16"/>
        </w:rPr>
        <w:t xml:space="preserve"> </w:t>
      </w:r>
      <w:r>
        <w:rPr>
          <w:color w:val="215E9E"/>
          <w:sz w:val="16"/>
          <w:u w:val="single" w:color="215E9E"/>
        </w:rPr>
        <w:t>Disability Expectations: Investing in a</w:t>
      </w:r>
      <w:r>
        <w:rPr>
          <w:color w:val="215E9E"/>
          <w:spacing w:val="-4"/>
          <w:sz w:val="16"/>
          <w:u w:val="single" w:color="215E9E"/>
        </w:rPr>
        <w:t xml:space="preserve"> </w:t>
      </w:r>
      <w:r>
        <w:rPr>
          <w:color w:val="215E9E"/>
          <w:sz w:val="16"/>
          <w:u w:val="single" w:color="215E9E"/>
        </w:rPr>
        <w:t>better</w:t>
      </w:r>
      <w:r>
        <w:rPr>
          <w:color w:val="215E9E"/>
          <w:spacing w:val="-3"/>
          <w:sz w:val="16"/>
          <w:u w:val="single" w:color="215E9E"/>
        </w:rPr>
        <w:t xml:space="preserve"> </w:t>
      </w:r>
      <w:r>
        <w:rPr>
          <w:color w:val="215E9E"/>
          <w:sz w:val="16"/>
          <w:u w:val="single" w:color="215E9E"/>
        </w:rPr>
        <w:t>life,</w:t>
      </w:r>
      <w:r>
        <w:rPr>
          <w:color w:val="215E9E"/>
          <w:spacing w:val="-3"/>
          <w:sz w:val="16"/>
          <w:u w:val="single" w:color="215E9E"/>
        </w:rPr>
        <w:t xml:space="preserve"> </w:t>
      </w:r>
      <w:r>
        <w:rPr>
          <w:color w:val="215E9E"/>
          <w:sz w:val="16"/>
          <w:u w:val="single" w:color="215E9E"/>
        </w:rPr>
        <w:t>a</w:t>
      </w:r>
      <w:r>
        <w:rPr>
          <w:color w:val="215E9E"/>
          <w:spacing w:val="-3"/>
          <w:sz w:val="16"/>
          <w:u w:val="single" w:color="215E9E"/>
        </w:rPr>
        <w:t xml:space="preserve"> </w:t>
      </w:r>
      <w:r>
        <w:rPr>
          <w:color w:val="215E9E"/>
          <w:sz w:val="16"/>
          <w:u w:val="single" w:color="215E9E"/>
        </w:rPr>
        <w:t>stronger</w:t>
      </w:r>
      <w:r>
        <w:rPr>
          <w:color w:val="215E9E"/>
          <w:spacing w:val="-11"/>
          <w:sz w:val="16"/>
          <w:u w:val="single" w:color="215E9E"/>
        </w:rPr>
        <w:t xml:space="preserve"> </w:t>
      </w:r>
      <w:r>
        <w:rPr>
          <w:color w:val="215E9E"/>
          <w:sz w:val="16"/>
          <w:u w:val="single" w:color="215E9E"/>
        </w:rPr>
        <w:t>Australia</w:t>
      </w:r>
      <w:r>
        <w:rPr>
          <w:sz w:val="16"/>
        </w:rPr>
        <w:t>.</w:t>
      </w:r>
      <w:r>
        <w:rPr>
          <w:spacing w:val="-2"/>
          <w:sz w:val="16"/>
        </w:rPr>
        <w:t xml:space="preserve"> </w:t>
      </w:r>
      <w:r>
        <w:rPr>
          <w:sz w:val="16"/>
        </w:rPr>
        <w:t>See</w:t>
      </w:r>
      <w:r>
        <w:rPr>
          <w:spacing w:val="-2"/>
          <w:sz w:val="16"/>
        </w:rPr>
        <w:t xml:space="preserve"> </w:t>
      </w:r>
      <w:r>
        <w:rPr>
          <w:sz w:val="16"/>
        </w:rPr>
        <w:t>also:</w:t>
      </w:r>
      <w:r>
        <w:rPr>
          <w:spacing w:val="-11"/>
          <w:sz w:val="16"/>
        </w:rPr>
        <w:t xml:space="preserve"> </w:t>
      </w:r>
      <w:r>
        <w:rPr>
          <w:sz w:val="16"/>
        </w:rPr>
        <w:t>Australian</w:t>
      </w:r>
      <w:r>
        <w:rPr>
          <w:spacing w:val="-2"/>
          <w:sz w:val="16"/>
        </w:rPr>
        <w:t xml:space="preserve"> </w:t>
      </w:r>
      <w:r>
        <w:rPr>
          <w:sz w:val="16"/>
        </w:rPr>
        <w:t>Institute</w:t>
      </w:r>
      <w:r>
        <w:rPr>
          <w:spacing w:val="-2"/>
          <w:sz w:val="16"/>
        </w:rPr>
        <w:t xml:space="preserve"> </w:t>
      </w:r>
      <w:r>
        <w:rPr>
          <w:sz w:val="16"/>
        </w:rPr>
        <w:t>of</w:t>
      </w:r>
      <w:r>
        <w:rPr>
          <w:spacing w:val="-3"/>
          <w:sz w:val="16"/>
        </w:rPr>
        <w:t xml:space="preserve"> </w:t>
      </w:r>
      <w:r>
        <w:rPr>
          <w:sz w:val="16"/>
        </w:rPr>
        <w:t>Health</w:t>
      </w:r>
      <w:r>
        <w:rPr>
          <w:spacing w:val="-4"/>
          <w:sz w:val="16"/>
        </w:rPr>
        <w:t xml:space="preserve"> </w:t>
      </w:r>
      <w:r>
        <w:rPr>
          <w:sz w:val="16"/>
        </w:rPr>
        <w:t>and</w:t>
      </w:r>
      <w:r>
        <w:rPr>
          <w:spacing w:val="-3"/>
          <w:sz w:val="16"/>
        </w:rPr>
        <w:t xml:space="preserve"> </w:t>
      </w:r>
      <w:r>
        <w:rPr>
          <w:sz w:val="16"/>
        </w:rPr>
        <w:t>Welfare</w:t>
      </w:r>
      <w:r>
        <w:rPr>
          <w:spacing w:val="-3"/>
          <w:sz w:val="16"/>
        </w:rPr>
        <w:t xml:space="preserve"> </w:t>
      </w:r>
      <w:r>
        <w:rPr>
          <w:sz w:val="16"/>
        </w:rPr>
        <w:t>2017.</w:t>
      </w:r>
      <w:r>
        <w:rPr>
          <w:color w:val="215E9E"/>
          <w:spacing w:val="-11"/>
          <w:sz w:val="16"/>
        </w:rPr>
        <w:t xml:space="preserve"> </w:t>
      </w:r>
      <w:r>
        <w:rPr>
          <w:color w:val="215E9E"/>
          <w:sz w:val="16"/>
          <w:u w:val="single" w:color="215E9E"/>
        </w:rPr>
        <w:t>Australia’s</w:t>
      </w:r>
      <w:r>
        <w:rPr>
          <w:color w:val="215E9E"/>
          <w:spacing w:val="-2"/>
          <w:sz w:val="16"/>
          <w:u w:val="single" w:color="215E9E"/>
        </w:rPr>
        <w:t xml:space="preserve"> </w:t>
      </w:r>
      <w:r>
        <w:rPr>
          <w:color w:val="215E9E"/>
          <w:sz w:val="16"/>
          <w:u w:val="single" w:color="215E9E"/>
        </w:rPr>
        <w:t>welfare</w:t>
      </w:r>
      <w:r>
        <w:rPr>
          <w:color w:val="215E9E"/>
          <w:spacing w:val="-3"/>
          <w:sz w:val="16"/>
          <w:u w:val="single" w:color="215E9E"/>
        </w:rPr>
        <w:t xml:space="preserve"> </w:t>
      </w:r>
      <w:r>
        <w:rPr>
          <w:color w:val="215E9E"/>
          <w:sz w:val="16"/>
          <w:u w:val="single" w:color="215E9E"/>
        </w:rPr>
        <w:t>2017</w:t>
      </w:r>
      <w:r>
        <w:rPr>
          <w:sz w:val="16"/>
        </w:rPr>
        <w:t>.</w:t>
      </w:r>
      <w:r>
        <w:rPr>
          <w:spacing w:val="-11"/>
          <w:sz w:val="16"/>
        </w:rPr>
        <w:t xml:space="preserve"> </w:t>
      </w:r>
      <w:r>
        <w:rPr>
          <w:sz w:val="16"/>
        </w:rPr>
        <w:t>Australia’s</w:t>
      </w:r>
      <w:r>
        <w:rPr>
          <w:spacing w:val="-2"/>
          <w:sz w:val="16"/>
        </w:rPr>
        <w:t xml:space="preserve"> </w:t>
      </w:r>
      <w:r>
        <w:rPr>
          <w:sz w:val="16"/>
        </w:rPr>
        <w:t>welfare</w:t>
      </w:r>
      <w:r>
        <w:rPr>
          <w:spacing w:val="-3"/>
          <w:sz w:val="16"/>
        </w:rPr>
        <w:t xml:space="preserve"> </w:t>
      </w:r>
      <w:r>
        <w:rPr>
          <w:sz w:val="16"/>
        </w:rPr>
        <w:t>series</w:t>
      </w:r>
      <w:r>
        <w:rPr>
          <w:spacing w:val="-2"/>
          <w:sz w:val="16"/>
        </w:rPr>
        <w:t xml:space="preserve"> </w:t>
      </w:r>
      <w:r>
        <w:rPr>
          <w:sz w:val="16"/>
        </w:rPr>
        <w:t>no.</w:t>
      </w:r>
    </w:p>
    <w:p w:rsidR="007A0A6C" w:rsidRDefault="00660E26">
      <w:pPr>
        <w:spacing w:line="261" w:lineRule="auto"/>
        <w:ind w:left="340" w:right="247"/>
        <w:rPr>
          <w:sz w:val="16"/>
        </w:rPr>
      </w:pPr>
      <w:r>
        <w:rPr>
          <w:sz w:val="16"/>
        </w:rPr>
        <w:t>13. AUS 214. Canberra: AIHW. Many young people with disability do not enter the labour force over the first seven post-school years and are more likely to experience long-term unemployment than those without a disability. See: Australian Human Rights Commission (2016)</w:t>
      </w:r>
      <w:r>
        <w:rPr>
          <w:color w:val="215E9E"/>
          <w:sz w:val="16"/>
        </w:rPr>
        <w:t xml:space="preserve"> </w:t>
      </w:r>
      <w:r>
        <w:rPr>
          <w:color w:val="215E9E"/>
          <w:sz w:val="16"/>
          <w:u w:val="single" w:color="215E9E"/>
        </w:rPr>
        <w:t>Willing to Work: National Inquiry into Employment Discrimination Against Older Australians and Australians with Disability</w:t>
      </w:r>
      <w:r>
        <w:rPr>
          <w:sz w:val="16"/>
        </w:rPr>
        <w:t>, AHRC, Sydney.</w:t>
      </w:r>
    </w:p>
    <w:p w:rsidR="007A0A6C" w:rsidRDefault="00660E26">
      <w:pPr>
        <w:pStyle w:val="ListParagraph"/>
        <w:numPr>
          <w:ilvl w:val="0"/>
          <w:numId w:val="3"/>
        </w:numPr>
        <w:tabs>
          <w:tab w:val="left" w:pos="736"/>
        </w:tabs>
        <w:spacing w:before="97"/>
        <w:ind w:hanging="395"/>
        <w:rPr>
          <w:sz w:val="16"/>
        </w:rPr>
      </w:pPr>
      <w:r>
        <w:rPr>
          <w:sz w:val="16"/>
        </w:rPr>
        <w:t>Australian</w:t>
      </w:r>
      <w:r>
        <w:rPr>
          <w:spacing w:val="-4"/>
          <w:sz w:val="16"/>
        </w:rPr>
        <w:t xml:space="preserve"> </w:t>
      </w:r>
      <w:r>
        <w:rPr>
          <w:sz w:val="16"/>
        </w:rPr>
        <w:t>Institute</w:t>
      </w:r>
      <w:r>
        <w:rPr>
          <w:spacing w:val="-4"/>
          <w:sz w:val="16"/>
        </w:rPr>
        <w:t xml:space="preserve"> </w:t>
      </w:r>
      <w:r>
        <w:rPr>
          <w:sz w:val="16"/>
        </w:rPr>
        <w:t>of</w:t>
      </w:r>
      <w:r>
        <w:rPr>
          <w:spacing w:val="-5"/>
          <w:sz w:val="16"/>
        </w:rPr>
        <w:t xml:space="preserve"> </w:t>
      </w:r>
      <w:r>
        <w:rPr>
          <w:sz w:val="16"/>
        </w:rPr>
        <w:t>Health</w:t>
      </w:r>
      <w:r>
        <w:rPr>
          <w:spacing w:val="-5"/>
          <w:sz w:val="16"/>
        </w:rPr>
        <w:t xml:space="preserve"> </w:t>
      </w:r>
      <w:r>
        <w:rPr>
          <w:sz w:val="16"/>
        </w:rPr>
        <w:t>and</w:t>
      </w:r>
      <w:r>
        <w:rPr>
          <w:spacing w:val="-4"/>
          <w:sz w:val="16"/>
        </w:rPr>
        <w:t xml:space="preserve"> </w:t>
      </w:r>
      <w:r>
        <w:rPr>
          <w:sz w:val="16"/>
        </w:rPr>
        <w:t>Welfare</w:t>
      </w:r>
      <w:r>
        <w:rPr>
          <w:spacing w:val="-5"/>
          <w:sz w:val="16"/>
        </w:rPr>
        <w:t xml:space="preserve"> </w:t>
      </w:r>
      <w:r>
        <w:rPr>
          <w:sz w:val="16"/>
        </w:rPr>
        <w:t>2017.</w:t>
      </w:r>
      <w:r>
        <w:rPr>
          <w:color w:val="215E9E"/>
          <w:spacing w:val="-12"/>
          <w:sz w:val="16"/>
        </w:rPr>
        <w:t xml:space="preserve"> </w:t>
      </w:r>
      <w:r>
        <w:rPr>
          <w:color w:val="215E9E"/>
          <w:sz w:val="16"/>
          <w:u w:val="single" w:color="215E9E"/>
        </w:rPr>
        <w:t>Australia’s</w:t>
      </w:r>
      <w:r>
        <w:rPr>
          <w:color w:val="215E9E"/>
          <w:spacing w:val="-4"/>
          <w:sz w:val="16"/>
          <w:u w:val="single" w:color="215E9E"/>
        </w:rPr>
        <w:t xml:space="preserve"> </w:t>
      </w:r>
      <w:r>
        <w:rPr>
          <w:color w:val="215E9E"/>
          <w:sz w:val="16"/>
          <w:u w:val="single" w:color="215E9E"/>
        </w:rPr>
        <w:t>welfare</w:t>
      </w:r>
      <w:r>
        <w:rPr>
          <w:color w:val="215E9E"/>
          <w:spacing w:val="-5"/>
          <w:sz w:val="16"/>
          <w:u w:val="single" w:color="215E9E"/>
        </w:rPr>
        <w:t xml:space="preserve"> </w:t>
      </w:r>
      <w:r>
        <w:rPr>
          <w:color w:val="215E9E"/>
          <w:sz w:val="16"/>
          <w:u w:val="single" w:color="215E9E"/>
        </w:rPr>
        <w:t>2017</w:t>
      </w:r>
      <w:r>
        <w:rPr>
          <w:sz w:val="16"/>
        </w:rPr>
        <w:t>.</w:t>
      </w:r>
      <w:r>
        <w:rPr>
          <w:spacing w:val="-12"/>
          <w:sz w:val="16"/>
        </w:rPr>
        <w:t xml:space="preserve"> </w:t>
      </w:r>
      <w:r>
        <w:rPr>
          <w:sz w:val="16"/>
        </w:rPr>
        <w:t>Australia’s</w:t>
      </w:r>
      <w:r>
        <w:rPr>
          <w:spacing w:val="-4"/>
          <w:sz w:val="16"/>
        </w:rPr>
        <w:t xml:space="preserve"> </w:t>
      </w:r>
      <w:r>
        <w:rPr>
          <w:sz w:val="16"/>
        </w:rPr>
        <w:t>welfare</w:t>
      </w:r>
      <w:r>
        <w:rPr>
          <w:spacing w:val="-4"/>
          <w:sz w:val="16"/>
        </w:rPr>
        <w:t xml:space="preserve"> </w:t>
      </w:r>
      <w:r>
        <w:rPr>
          <w:sz w:val="16"/>
        </w:rPr>
        <w:t>series</w:t>
      </w:r>
      <w:r>
        <w:rPr>
          <w:spacing w:val="-4"/>
          <w:sz w:val="16"/>
        </w:rPr>
        <w:t xml:space="preserve"> </w:t>
      </w:r>
      <w:r>
        <w:rPr>
          <w:sz w:val="16"/>
        </w:rPr>
        <w:t>no.</w:t>
      </w:r>
      <w:r>
        <w:rPr>
          <w:spacing w:val="-5"/>
          <w:sz w:val="16"/>
        </w:rPr>
        <w:t xml:space="preserve"> </w:t>
      </w:r>
      <w:r>
        <w:rPr>
          <w:sz w:val="16"/>
        </w:rPr>
        <w:t>13.</w:t>
      </w:r>
      <w:r>
        <w:rPr>
          <w:spacing w:val="-12"/>
          <w:sz w:val="16"/>
        </w:rPr>
        <w:t xml:space="preserve"> </w:t>
      </w:r>
      <w:r>
        <w:rPr>
          <w:sz w:val="16"/>
        </w:rPr>
        <w:t>AUS</w:t>
      </w:r>
      <w:r>
        <w:rPr>
          <w:spacing w:val="-4"/>
          <w:sz w:val="16"/>
        </w:rPr>
        <w:t xml:space="preserve"> </w:t>
      </w:r>
      <w:r>
        <w:rPr>
          <w:sz w:val="16"/>
        </w:rPr>
        <w:t>214.</w:t>
      </w:r>
      <w:r>
        <w:rPr>
          <w:spacing w:val="-4"/>
          <w:sz w:val="16"/>
        </w:rPr>
        <w:t xml:space="preserve"> </w:t>
      </w:r>
      <w:r>
        <w:rPr>
          <w:sz w:val="16"/>
        </w:rPr>
        <w:t>Canberra:</w:t>
      </w:r>
      <w:r>
        <w:rPr>
          <w:spacing w:val="-12"/>
          <w:sz w:val="16"/>
        </w:rPr>
        <w:t xml:space="preserve"> </w:t>
      </w:r>
      <w:r>
        <w:rPr>
          <w:sz w:val="16"/>
        </w:rPr>
        <w:t>AIHW.</w:t>
      </w:r>
    </w:p>
    <w:p w:rsidR="007A0A6C" w:rsidRDefault="00660E26">
      <w:pPr>
        <w:pStyle w:val="ListParagraph"/>
        <w:numPr>
          <w:ilvl w:val="0"/>
          <w:numId w:val="3"/>
        </w:numPr>
        <w:tabs>
          <w:tab w:val="left" w:pos="736"/>
        </w:tabs>
        <w:ind w:hanging="395"/>
        <w:rPr>
          <w:sz w:val="16"/>
        </w:rPr>
      </w:pPr>
      <w:r>
        <w:rPr>
          <w:sz w:val="16"/>
        </w:rPr>
        <w:t>Australian</w:t>
      </w:r>
      <w:r>
        <w:rPr>
          <w:spacing w:val="-4"/>
          <w:sz w:val="16"/>
        </w:rPr>
        <w:t xml:space="preserve"> </w:t>
      </w:r>
      <w:r>
        <w:rPr>
          <w:sz w:val="16"/>
        </w:rPr>
        <w:t>Institute</w:t>
      </w:r>
      <w:r>
        <w:rPr>
          <w:spacing w:val="-4"/>
          <w:sz w:val="16"/>
        </w:rPr>
        <w:t xml:space="preserve"> </w:t>
      </w:r>
      <w:r>
        <w:rPr>
          <w:sz w:val="16"/>
        </w:rPr>
        <w:t>of</w:t>
      </w:r>
      <w:r>
        <w:rPr>
          <w:spacing w:val="-5"/>
          <w:sz w:val="16"/>
        </w:rPr>
        <w:t xml:space="preserve"> </w:t>
      </w:r>
      <w:r>
        <w:rPr>
          <w:sz w:val="16"/>
        </w:rPr>
        <w:t>Health</w:t>
      </w:r>
      <w:r>
        <w:rPr>
          <w:spacing w:val="-5"/>
          <w:sz w:val="16"/>
        </w:rPr>
        <w:t xml:space="preserve"> </w:t>
      </w:r>
      <w:r>
        <w:rPr>
          <w:sz w:val="16"/>
        </w:rPr>
        <w:t>and</w:t>
      </w:r>
      <w:r>
        <w:rPr>
          <w:spacing w:val="-4"/>
          <w:sz w:val="16"/>
        </w:rPr>
        <w:t xml:space="preserve"> </w:t>
      </w:r>
      <w:r>
        <w:rPr>
          <w:sz w:val="16"/>
        </w:rPr>
        <w:t>Welfare</w:t>
      </w:r>
      <w:r>
        <w:rPr>
          <w:spacing w:val="-5"/>
          <w:sz w:val="16"/>
        </w:rPr>
        <w:t xml:space="preserve"> </w:t>
      </w:r>
      <w:r>
        <w:rPr>
          <w:sz w:val="16"/>
        </w:rPr>
        <w:t>2017.</w:t>
      </w:r>
      <w:r>
        <w:rPr>
          <w:color w:val="215E9E"/>
          <w:spacing w:val="-12"/>
          <w:sz w:val="16"/>
        </w:rPr>
        <w:t xml:space="preserve"> </w:t>
      </w:r>
      <w:r>
        <w:rPr>
          <w:color w:val="215E9E"/>
          <w:sz w:val="16"/>
          <w:u w:val="single" w:color="215E9E"/>
        </w:rPr>
        <w:t>Australia’s</w:t>
      </w:r>
      <w:r>
        <w:rPr>
          <w:color w:val="215E9E"/>
          <w:spacing w:val="-4"/>
          <w:sz w:val="16"/>
          <w:u w:val="single" w:color="215E9E"/>
        </w:rPr>
        <w:t xml:space="preserve"> </w:t>
      </w:r>
      <w:r>
        <w:rPr>
          <w:color w:val="215E9E"/>
          <w:sz w:val="16"/>
          <w:u w:val="single" w:color="215E9E"/>
        </w:rPr>
        <w:t>welfare</w:t>
      </w:r>
      <w:r>
        <w:rPr>
          <w:color w:val="215E9E"/>
          <w:spacing w:val="-5"/>
          <w:sz w:val="16"/>
          <w:u w:val="single" w:color="215E9E"/>
        </w:rPr>
        <w:t xml:space="preserve"> </w:t>
      </w:r>
      <w:r>
        <w:rPr>
          <w:color w:val="215E9E"/>
          <w:sz w:val="16"/>
          <w:u w:val="single" w:color="215E9E"/>
        </w:rPr>
        <w:t>2017</w:t>
      </w:r>
      <w:r>
        <w:rPr>
          <w:sz w:val="16"/>
        </w:rPr>
        <w:t>.</w:t>
      </w:r>
      <w:r>
        <w:rPr>
          <w:spacing w:val="-12"/>
          <w:sz w:val="16"/>
        </w:rPr>
        <w:t xml:space="preserve"> </w:t>
      </w:r>
      <w:r>
        <w:rPr>
          <w:sz w:val="16"/>
        </w:rPr>
        <w:t>Australia’s</w:t>
      </w:r>
      <w:r>
        <w:rPr>
          <w:spacing w:val="-4"/>
          <w:sz w:val="16"/>
        </w:rPr>
        <w:t xml:space="preserve"> </w:t>
      </w:r>
      <w:r>
        <w:rPr>
          <w:sz w:val="16"/>
        </w:rPr>
        <w:t>welfare</w:t>
      </w:r>
      <w:r>
        <w:rPr>
          <w:spacing w:val="-4"/>
          <w:sz w:val="16"/>
        </w:rPr>
        <w:t xml:space="preserve"> </w:t>
      </w:r>
      <w:r>
        <w:rPr>
          <w:sz w:val="16"/>
        </w:rPr>
        <w:t>series</w:t>
      </w:r>
      <w:r>
        <w:rPr>
          <w:spacing w:val="-4"/>
          <w:sz w:val="16"/>
        </w:rPr>
        <w:t xml:space="preserve"> </w:t>
      </w:r>
      <w:r>
        <w:rPr>
          <w:sz w:val="16"/>
        </w:rPr>
        <w:t>no.</w:t>
      </w:r>
      <w:r>
        <w:rPr>
          <w:spacing w:val="-5"/>
          <w:sz w:val="16"/>
        </w:rPr>
        <w:t xml:space="preserve"> </w:t>
      </w:r>
      <w:r>
        <w:rPr>
          <w:sz w:val="16"/>
        </w:rPr>
        <w:t>13.</w:t>
      </w:r>
      <w:r>
        <w:rPr>
          <w:spacing w:val="-12"/>
          <w:sz w:val="16"/>
        </w:rPr>
        <w:t xml:space="preserve"> </w:t>
      </w:r>
      <w:r>
        <w:rPr>
          <w:sz w:val="16"/>
        </w:rPr>
        <w:t>AUS</w:t>
      </w:r>
      <w:r>
        <w:rPr>
          <w:spacing w:val="-4"/>
          <w:sz w:val="16"/>
        </w:rPr>
        <w:t xml:space="preserve"> </w:t>
      </w:r>
      <w:r>
        <w:rPr>
          <w:sz w:val="16"/>
        </w:rPr>
        <w:t>214.</w:t>
      </w:r>
      <w:r>
        <w:rPr>
          <w:spacing w:val="-4"/>
          <w:sz w:val="16"/>
        </w:rPr>
        <w:t xml:space="preserve"> </w:t>
      </w:r>
      <w:r>
        <w:rPr>
          <w:sz w:val="16"/>
        </w:rPr>
        <w:t>Canberra:</w:t>
      </w:r>
      <w:r>
        <w:rPr>
          <w:spacing w:val="-12"/>
          <w:sz w:val="16"/>
        </w:rPr>
        <w:t xml:space="preserve"> </w:t>
      </w:r>
      <w:r>
        <w:rPr>
          <w:sz w:val="16"/>
        </w:rPr>
        <w:t>AIHW.</w:t>
      </w:r>
    </w:p>
    <w:p w:rsidR="007A0A6C" w:rsidRDefault="00660E26">
      <w:pPr>
        <w:pStyle w:val="ListParagraph"/>
        <w:numPr>
          <w:ilvl w:val="0"/>
          <w:numId w:val="3"/>
        </w:numPr>
        <w:tabs>
          <w:tab w:val="left" w:pos="745"/>
        </w:tabs>
        <w:ind w:left="744" w:hanging="404"/>
        <w:rPr>
          <w:sz w:val="16"/>
        </w:rPr>
      </w:pPr>
      <w:r>
        <w:rPr>
          <w:sz w:val="16"/>
        </w:rPr>
        <w:t>National CRPD Survey (2019)</w:t>
      </w:r>
      <w:r>
        <w:rPr>
          <w:spacing w:val="-3"/>
          <w:sz w:val="16"/>
        </w:rPr>
        <w:t xml:space="preserve"> </w:t>
      </w:r>
      <w:r>
        <w:rPr>
          <w:sz w:val="16"/>
        </w:rPr>
        <w:t>Findings.</w:t>
      </w:r>
    </w:p>
    <w:p w:rsidR="007A0A6C" w:rsidRDefault="00660E26">
      <w:pPr>
        <w:pStyle w:val="ListParagraph"/>
        <w:numPr>
          <w:ilvl w:val="0"/>
          <w:numId w:val="3"/>
        </w:numPr>
        <w:tabs>
          <w:tab w:val="left" w:pos="736"/>
        </w:tabs>
        <w:spacing w:line="261" w:lineRule="auto"/>
        <w:ind w:left="340" w:right="364" w:firstLine="0"/>
        <w:rPr>
          <w:sz w:val="16"/>
        </w:rPr>
      </w:pPr>
      <w:r>
        <w:rPr>
          <w:sz w:val="16"/>
        </w:rPr>
        <w:t>Australian Human Rights Commission (2016)</w:t>
      </w:r>
      <w:r>
        <w:rPr>
          <w:color w:val="215E9E"/>
          <w:sz w:val="16"/>
        </w:rPr>
        <w:t xml:space="preserve"> </w:t>
      </w:r>
      <w:r>
        <w:rPr>
          <w:color w:val="215E9E"/>
          <w:sz w:val="16"/>
          <w:u w:val="single" w:color="215E9E"/>
        </w:rPr>
        <w:t>Willing to Work: National Inquiry into Employment Discrimination Against Older Australians and Australians with Disability</w:t>
      </w:r>
      <w:r>
        <w:rPr>
          <w:sz w:val="16"/>
        </w:rPr>
        <w:t>, AHRC,</w:t>
      </w:r>
      <w:r>
        <w:rPr>
          <w:spacing w:val="-11"/>
          <w:sz w:val="16"/>
        </w:rPr>
        <w:t xml:space="preserve"> </w:t>
      </w:r>
      <w:r>
        <w:rPr>
          <w:sz w:val="16"/>
        </w:rPr>
        <w:t>Sydney.</w:t>
      </w:r>
    </w:p>
    <w:p w:rsidR="007A0A6C" w:rsidRDefault="00660E26">
      <w:pPr>
        <w:pStyle w:val="ListParagraph"/>
        <w:numPr>
          <w:ilvl w:val="0"/>
          <w:numId w:val="3"/>
        </w:numPr>
        <w:tabs>
          <w:tab w:val="left" w:pos="736"/>
        </w:tabs>
        <w:spacing w:before="99"/>
        <w:ind w:hanging="395"/>
        <w:rPr>
          <w:sz w:val="16"/>
        </w:rPr>
      </w:pPr>
      <w:r>
        <w:rPr>
          <w:sz w:val="16"/>
        </w:rPr>
        <w:t>Australian Government,</w:t>
      </w:r>
      <w:r>
        <w:rPr>
          <w:color w:val="215E9E"/>
          <w:sz w:val="16"/>
        </w:rPr>
        <w:t xml:space="preserve"> </w:t>
      </w:r>
      <w:r>
        <w:rPr>
          <w:color w:val="215E9E"/>
          <w:sz w:val="16"/>
          <w:u w:val="single" w:color="215E9E"/>
        </w:rPr>
        <w:t>Disability Employment Services</w:t>
      </w:r>
      <w:r>
        <w:rPr>
          <w:sz w:val="16"/>
        </w:rPr>
        <w:t>. Department of Social</w:t>
      </w:r>
      <w:r>
        <w:rPr>
          <w:spacing w:val="-6"/>
          <w:sz w:val="16"/>
        </w:rPr>
        <w:t xml:space="preserve"> </w:t>
      </w:r>
      <w:r>
        <w:rPr>
          <w:sz w:val="16"/>
        </w:rPr>
        <w:t>Services.</w:t>
      </w:r>
    </w:p>
    <w:p w:rsidR="007A0A6C" w:rsidRDefault="00660E26">
      <w:pPr>
        <w:pStyle w:val="ListParagraph"/>
        <w:numPr>
          <w:ilvl w:val="0"/>
          <w:numId w:val="3"/>
        </w:numPr>
        <w:tabs>
          <w:tab w:val="left" w:pos="745"/>
        </w:tabs>
        <w:ind w:left="744" w:hanging="404"/>
        <w:rPr>
          <w:sz w:val="16"/>
        </w:rPr>
      </w:pPr>
      <w:r>
        <w:rPr>
          <w:sz w:val="16"/>
        </w:rPr>
        <w:t>Disabled People’s Organisations Australia (DPOA)</w:t>
      </w:r>
      <w:r>
        <w:rPr>
          <w:color w:val="215E9E"/>
          <w:sz w:val="16"/>
        </w:rPr>
        <w:t xml:space="preserve"> </w:t>
      </w:r>
      <w:r>
        <w:rPr>
          <w:color w:val="215E9E"/>
          <w:sz w:val="16"/>
          <w:u w:val="single" w:color="215E9E"/>
        </w:rPr>
        <w:t>Factsheet: Employment of Persons with Disability</w:t>
      </w:r>
      <w:r>
        <w:rPr>
          <w:sz w:val="16"/>
        </w:rPr>
        <w:t>. DPOA,</w:t>
      </w:r>
      <w:r>
        <w:rPr>
          <w:spacing w:val="-25"/>
          <w:sz w:val="16"/>
        </w:rPr>
        <w:t xml:space="preserve"> </w:t>
      </w:r>
      <w:r>
        <w:rPr>
          <w:sz w:val="16"/>
        </w:rPr>
        <w:t>Sydney.</w:t>
      </w:r>
    </w:p>
    <w:p w:rsidR="007A0A6C" w:rsidRDefault="00660E26">
      <w:pPr>
        <w:pStyle w:val="ListParagraph"/>
        <w:numPr>
          <w:ilvl w:val="0"/>
          <w:numId w:val="3"/>
        </w:numPr>
        <w:tabs>
          <w:tab w:val="left" w:pos="742"/>
        </w:tabs>
        <w:spacing w:line="261" w:lineRule="auto"/>
        <w:ind w:left="340" w:right="643" w:firstLine="0"/>
        <w:rPr>
          <w:sz w:val="16"/>
        </w:rPr>
      </w:pPr>
      <w:r>
        <w:rPr>
          <w:sz w:val="16"/>
        </w:rPr>
        <w:t>The</w:t>
      </w:r>
      <w:r>
        <w:rPr>
          <w:spacing w:val="-4"/>
          <w:sz w:val="16"/>
        </w:rPr>
        <w:t xml:space="preserve"> </w:t>
      </w:r>
      <w:r>
        <w:rPr>
          <w:sz w:val="16"/>
        </w:rPr>
        <w:t>Committee</w:t>
      </w:r>
      <w:r>
        <w:rPr>
          <w:spacing w:val="-5"/>
          <w:sz w:val="16"/>
        </w:rPr>
        <w:t xml:space="preserve"> </w:t>
      </w:r>
      <w:r>
        <w:rPr>
          <w:sz w:val="16"/>
        </w:rPr>
        <w:t>on</w:t>
      </w:r>
      <w:r>
        <w:rPr>
          <w:spacing w:val="-5"/>
          <w:sz w:val="16"/>
        </w:rPr>
        <w:t xml:space="preserve"> </w:t>
      </w:r>
      <w:r>
        <w:rPr>
          <w:sz w:val="16"/>
        </w:rPr>
        <w:t>Economic,</w:t>
      </w:r>
      <w:r>
        <w:rPr>
          <w:spacing w:val="-4"/>
          <w:sz w:val="16"/>
        </w:rPr>
        <w:t xml:space="preserve"> </w:t>
      </w:r>
      <w:r>
        <w:rPr>
          <w:sz w:val="16"/>
        </w:rPr>
        <w:t>Social</w:t>
      </w:r>
      <w:r>
        <w:rPr>
          <w:spacing w:val="-4"/>
          <w:sz w:val="16"/>
        </w:rPr>
        <w:t xml:space="preserve"> </w:t>
      </w:r>
      <w:r>
        <w:rPr>
          <w:sz w:val="16"/>
        </w:rPr>
        <w:t>and</w:t>
      </w:r>
      <w:r>
        <w:rPr>
          <w:spacing w:val="-5"/>
          <w:sz w:val="16"/>
        </w:rPr>
        <w:t xml:space="preserve"> </w:t>
      </w:r>
      <w:r>
        <w:rPr>
          <w:sz w:val="16"/>
        </w:rPr>
        <w:t>Cultural</w:t>
      </w:r>
      <w:r>
        <w:rPr>
          <w:spacing w:val="-5"/>
          <w:sz w:val="16"/>
        </w:rPr>
        <w:t xml:space="preserve"> </w:t>
      </w:r>
      <w:r>
        <w:rPr>
          <w:sz w:val="16"/>
        </w:rPr>
        <w:t>Rights</w:t>
      </w:r>
      <w:r>
        <w:rPr>
          <w:spacing w:val="-5"/>
          <w:sz w:val="16"/>
        </w:rPr>
        <w:t xml:space="preserve"> </w:t>
      </w:r>
      <w:r>
        <w:rPr>
          <w:sz w:val="16"/>
        </w:rPr>
        <w:t>has</w:t>
      </w:r>
      <w:r>
        <w:rPr>
          <w:spacing w:val="-5"/>
          <w:sz w:val="16"/>
        </w:rPr>
        <w:t xml:space="preserve"> </w:t>
      </w:r>
      <w:r>
        <w:rPr>
          <w:sz w:val="16"/>
        </w:rPr>
        <w:t>specifically</w:t>
      </w:r>
      <w:r>
        <w:rPr>
          <w:spacing w:val="-4"/>
          <w:sz w:val="16"/>
        </w:rPr>
        <w:t xml:space="preserve"> </w:t>
      </w:r>
      <w:r>
        <w:rPr>
          <w:sz w:val="16"/>
        </w:rPr>
        <w:t>addressed</w:t>
      </w:r>
      <w:r>
        <w:rPr>
          <w:spacing w:val="-5"/>
          <w:sz w:val="16"/>
        </w:rPr>
        <w:t xml:space="preserve"> </w:t>
      </w:r>
      <w:r>
        <w:rPr>
          <w:sz w:val="16"/>
        </w:rPr>
        <w:t>segregated</w:t>
      </w:r>
      <w:r>
        <w:rPr>
          <w:spacing w:val="-4"/>
          <w:sz w:val="16"/>
        </w:rPr>
        <w:t xml:space="preserve"> </w:t>
      </w:r>
      <w:r>
        <w:rPr>
          <w:sz w:val="16"/>
        </w:rPr>
        <w:t>employment</w:t>
      </w:r>
      <w:r>
        <w:rPr>
          <w:spacing w:val="-5"/>
          <w:sz w:val="16"/>
        </w:rPr>
        <w:t xml:space="preserve"> </w:t>
      </w:r>
      <w:r>
        <w:rPr>
          <w:sz w:val="16"/>
        </w:rPr>
        <w:t>of</w:t>
      </w:r>
      <w:r>
        <w:rPr>
          <w:spacing w:val="-5"/>
          <w:sz w:val="16"/>
        </w:rPr>
        <w:t xml:space="preserve"> </w:t>
      </w:r>
      <w:r>
        <w:rPr>
          <w:sz w:val="16"/>
        </w:rPr>
        <w:t>people</w:t>
      </w:r>
      <w:r>
        <w:rPr>
          <w:spacing w:val="-4"/>
          <w:sz w:val="16"/>
        </w:rPr>
        <w:t xml:space="preserve"> </w:t>
      </w:r>
      <w:r>
        <w:rPr>
          <w:sz w:val="16"/>
        </w:rPr>
        <w:t>with</w:t>
      </w:r>
      <w:r>
        <w:rPr>
          <w:spacing w:val="-5"/>
          <w:sz w:val="16"/>
        </w:rPr>
        <w:t xml:space="preserve"> </w:t>
      </w:r>
      <w:r>
        <w:rPr>
          <w:sz w:val="16"/>
        </w:rPr>
        <w:t>disability,</w:t>
      </w:r>
      <w:r>
        <w:rPr>
          <w:spacing w:val="-4"/>
          <w:sz w:val="16"/>
        </w:rPr>
        <w:t xml:space="preserve"> </w:t>
      </w:r>
      <w:r>
        <w:rPr>
          <w:sz w:val="16"/>
        </w:rPr>
        <w:t>and clarified that segregated employment and wage discrimination is in contravention of the Covenant on Economic, Social and Cultural Rights (ICESCR).</w:t>
      </w:r>
    </w:p>
    <w:p w:rsidR="007A0A6C" w:rsidRDefault="00660E26">
      <w:pPr>
        <w:pStyle w:val="ListParagraph"/>
        <w:numPr>
          <w:ilvl w:val="0"/>
          <w:numId w:val="3"/>
        </w:numPr>
        <w:tabs>
          <w:tab w:val="left" w:pos="742"/>
        </w:tabs>
        <w:spacing w:before="98" w:line="261" w:lineRule="auto"/>
        <w:ind w:left="340" w:right="454" w:firstLine="0"/>
        <w:rPr>
          <w:sz w:val="16"/>
        </w:rPr>
      </w:pPr>
      <w:r>
        <w:rPr>
          <w:sz w:val="16"/>
        </w:rPr>
        <w:t xml:space="preserve">The scheme was established by the Australian Government following the Federal Court finding in December 2012 that the </w:t>
      </w:r>
      <w:r>
        <w:rPr>
          <w:spacing w:val="-4"/>
          <w:sz w:val="16"/>
        </w:rPr>
        <w:t xml:space="preserve">BSWAT </w:t>
      </w:r>
      <w:r>
        <w:rPr>
          <w:sz w:val="16"/>
        </w:rPr>
        <w:t>indirectly discriminated against two Australian Disability Enterprises (ADEs) employees with an intellectual disability. See: The</w:t>
      </w:r>
      <w:r>
        <w:rPr>
          <w:color w:val="215E9E"/>
          <w:sz w:val="16"/>
        </w:rPr>
        <w:t xml:space="preserve"> </w:t>
      </w:r>
      <w:r>
        <w:rPr>
          <w:color w:val="215E9E"/>
          <w:sz w:val="16"/>
          <w:u w:val="single" w:color="215E9E"/>
        </w:rPr>
        <w:t xml:space="preserve">Business Services Wage Assessment </w:t>
      </w:r>
      <w:r>
        <w:rPr>
          <w:color w:val="215E9E"/>
          <w:spacing w:val="-5"/>
          <w:sz w:val="16"/>
          <w:u w:val="single" w:color="215E9E"/>
        </w:rPr>
        <w:t xml:space="preserve">Tool </w:t>
      </w:r>
      <w:r>
        <w:rPr>
          <w:color w:val="215E9E"/>
          <w:spacing w:val="-3"/>
          <w:sz w:val="16"/>
          <w:u w:val="single" w:color="215E9E"/>
        </w:rPr>
        <w:t xml:space="preserve">(BSWAT) </w:t>
      </w:r>
      <w:r>
        <w:rPr>
          <w:color w:val="215E9E"/>
          <w:sz w:val="16"/>
          <w:u w:val="single" w:color="215E9E"/>
        </w:rPr>
        <w:t>Payment</w:t>
      </w:r>
      <w:r>
        <w:rPr>
          <w:color w:val="215E9E"/>
          <w:spacing w:val="4"/>
          <w:sz w:val="16"/>
          <w:u w:val="single" w:color="215E9E"/>
        </w:rPr>
        <w:t xml:space="preserve"> </w:t>
      </w:r>
      <w:r>
        <w:rPr>
          <w:color w:val="215E9E"/>
          <w:sz w:val="16"/>
          <w:u w:val="single" w:color="215E9E"/>
        </w:rPr>
        <w:t>Scheme</w:t>
      </w:r>
      <w:r>
        <w:rPr>
          <w:sz w:val="16"/>
        </w:rPr>
        <w:t>.</w:t>
      </w:r>
    </w:p>
    <w:p w:rsidR="007A0A6C" w:rsidRDefault="00660E26">
      <w:pPr>
        <w:pStyle w:val="ListParagraph"/>
        <w:numPr>
          <w:ilvl w:val="0"/>
          <w:numId w:val="3"/>
        </w:numPr>
        <w:tabs>
          <w:tab w:val="left" w:pos="745"/>
        </w:tabs>
        <w:spacing w:before="98" w:line="261" w:lineRule="auto"/>
        <w:ind w:left="340" w:right="792" w:firstLine="0"/>
        <w:rPr>
          <w:sz w:val="16"/>
        </w:rPr>
      </w:pPr>
      <w:r>
        <w:rPr>
          <w:sz w:val="16"/>
        </w:rPr>
        <w:t xml:space="preserve">Who met a range of criteria and whose wages were assessed and paid using the </w:t>
      </w:r>
      <w:r>
        <w:rPr>
          <w:spacing w:val="-4"/>
          <w:sz w:val="16"/>
        </w:rPr>
        <w:t xml:space="preserve">BSWAT </w:t>
      </w:r>
      <w:r>
        <w:rPr>
          <w:sz w:val="16"/>
        </w:rPr>
        <w:t>between 2004 and 2014. See: The</w:t>
      </w:r>
      <w:r>
        <w:rPr>
          <w:color w:val="215E9E"/>
          <w:sz w:val="16"/>
        </w:rPr>
        <w:t xml:space="preserve"> </w:t>
      </w:r>
      <w:r>
        <w:rPr>
          <w:color w:val="215E9E"/>
          <w:sz w:val="16"/>
          <w:u w:val="single" w:color="215E9E"/>
        </w:rPr>
        <w:t xml:space="preserve">Business Services Wage Assessment </w:t>
      </w:r>
      <w:r>
        <w:rPr>
          <w:color w:val="215E9E"/>
          <w:spacing w:val="-5"/>
          <w:sz w:val="16"/>
          <w:u w:val="single" w:color="215E9E"/>
        </w:rPr>
        <w:t xml:space="preserve">Tool </w:t>
      </w:r>
      <w:r>
        <w:rPr>
          <w:color w:val="215E9E"/>
          <w:spacing w:val="-3"/>
          <w:sz w:val="16"/>
          <w:u w:val="single" w:color="215E9E"/>
        </w:rPr>
        <w:t xml:space="preserve">(BSWAT) </w:t>
      </w:r>
      <w:r>
        <w:rPr>
          <w:color w:val="215E9E"/>
          <w:sz w:val="16"/>
          <w:u w:val="single" w:color="215E9E"/>
        </w:rPr>
        <w:t>Payment</w:t>
      </w:r>
      <w:r>
        <w:rPr>
          <w:color w:val="215E9E"/>
          <w:spacing w:val="-6"/>
          <w:sz w:val="16"/>
          <w:u w:val="single" w:color="215E9E"/>
        </w:rPr>
        <w:t xml:space="preserve"> </w:t>
      </w:r>
      <w:r>
        <w:rPr>
          <w:color w:val="215E9E"/>
          <w:sz w:val="16"/>
          <w:u w:val="single" w:color="215E9E"/>
        </w:rPr>
        <w:t>Scheme</w:t>
      </w:r>
      <w:r>
        <w:rPr>
          <w:sz w:val="16"/>
        </w:rPr>
        <w:t>.</w:t>
      </w:r>
    </w:p>
    <w:p w:rsidR="007A0A6C" w:rsidRDefault="00660E26">
      <w:pPr>
        <w:pStyle w:val="ListParagraph"/>
        <w:numPr>
          <w:ilvl w:val="0"/>
          <w:numId w:val="3"/>
        </w:numPr>
        <w:tabs>
          <w:tab w:val="left" w:pos="742"/>
        </w:tabs>
        <w:spacing w:before="99" w:line="261" w:lineRule="auto"/>
        <w:ind w:left="340" w:right="460" w:firstLine="0"/>
        <w:rPr>
          <w:sz w:val="16"/>
        </w:rPr>
      </w:pPr>
      <w:r>
        <w:rPr>
          <w:sz w:val="16"/>
        </w:rPr>
        <w:t>The</w:t>
      </w:r>
      <w:r>
        <w:rPr>
          <w:color w:val="215E9E"/>
          <w:spacing w:val="-4"/>
          <w:sz w:val="16"/>
        </w:rPr>
        <w:t xml:space="preserve"> </w:t>
      </w:r>
      <w:r>
        <w:rPr>
          <w:color w:val="215E9E"/>
          <w:sz w:val="16"/>
          <w:u w:val="single" w:color="215E9E"/>
        </w:rPr>
        <w:t>Supported</w:t>
      </w:r>
      <w:r>
        <w:rPr>
          <w:color w:val="215E9E"/>
          <w:spacing w:val="-4"/>
          <w:sz w:val="16"/>
          <w:u w:val="single" w:color="215E9E"/>
        </w:rPr>
        <w:t xml:space="preserve"> </w:t>
      </w:r>
      <w:r>
        <w:rPr>
          <w:color w:val="215E9E"/>
          <w:sz w:val="16"/>
          <w:u w:val="single" w:color="215E9E"/>
        </w:rPr>
        <w:t>Wage</w:t>
      </w:r>
      <w:r>
        <w:rPr>
          <w:color w:val="215E9E"/>
          <w:spacing w:val="-4"/>
          <w:sz w:val="16"/>
          <w:u w:val="single" w:color="215E9E"/>
        </w:rPr>
        <w:t xml:space="preserve"> </w:t>
      </w:r>
      <w:r>
        <w:rPr>
          <w:color w:val="215E9E"/>
          <w:sz w:val="16"/>
          <w:u w:val="single" w:color="215E9E"/>
        </w:rPr>
        <w:t>System</w:t>
      </w:r>
      <w:r>
        <w:rPr>
          <w:color w:val="215E9E"/>
          <w:spacing w:val="-3"/>
          <w:sz w:val="16"/>
        </w:rPr>
        <w:t xml:space="preserve"> </w:t>
      </w:r>
      <w:r>
        <w:rPr>
          <w:sz w:val="16"/>
        </w:rPr>
        <w:t>is</w:t>
      </w:r>
      <w:r>
        <w:rPr>
          <w:spacing w:val="-4"/>
          <w:sz w:val="16"/>
        </w:rPr>
        <w:t xml:space="preserve"> </w:t>
      </w:r>
      <w:r>
        <w:rPr>
          <w:sz w:val="16"/>
        </w:rPr>
        <w:t>a</w:t>
      </w:r>
      <w:r>
        <w:rPr>
          <w:spacing w:val="-4"/>
          <w:sz w:val="16"/>
        </w:rPr>
        <w:t xml:space="preserve"> </w:t>
      </w:r>
      <w:r>
        <w:rPr>
          <w:sz w:val="16"/>
        </w:rPr>
        <w:t>process</w:t>
      </w:r>
      <w:r>
        <w:rPr>
          <w:spacing w:val="-4"/>
          <w:sz w:val="16"/>
        </w:rPr>
        <w:t xml:space="preserve"> </w:t>
      </w:r>
      <w:r>
        <w:rPr>
          <w:sz w:val="16"/>
        </w:rPr>
        <w:t>that</w:t>
      </w:r>
      <w:r>
        <w:rPr>
          <w:spacing w:val="-3"/>
          <w:sz w:val="16"/>
        </w:rPr>
        <w:t xml:space="preserve"> </w:t>
      </w:r>
      <w:r>
        <w:rPr>
          <w:sz w:val="16"/>
        </w:rPr>
        <w:t>allows</w:t>
      </w:r>
      <w:r>
        <w:rPr>
          <w:spacing w:val="-4"/>
          <w:sz w:val="16"/>
        </w:rPr>
        <w:t xml:space="preserve"> </w:t>
      </w:r>
      <w:r>
        <w:rPr>
          <w:sz w:val="16"/>
        </w:rPr>
        <w:t>employers</w:t>
      </w:r>
      <w:r>
        <w:rPr>
          <w:spacing w:val="-4"/>
          <w:sz w:val="16"/>
        </w:rPr>
        <w:t xml:space="preserve"> </w:t>
      </w:r>
      <w:r>
        <w:rPr>
          <w:sz w:val="16"/>
        </w:rPr>
        <w:t>to</w:t>
      </w:r>
      <w:r>
        <w:rPr>
          <w:spacing w:val="-3"/>
          <w:sz w:val="16"/>
        </w:rPr>
        <w:t xml:space="preserve"> </w:t>
      </w:r>
      <w:r>
        <w:rPr>
          <w:sz w:val="16"/>
        </w:rPr>
        <w:t>pay</w:t>
      </w:r>
      <w:r>
        <w:rPr>
          <w:spacing w:val="-4"/>
          <w:sz w:val="16"/>
        </w:rPr>
        <w:t xml:space="preserve"> </w:t>
      </w:r>
      <w:r>
        <w:rPr>
          <w:sz w:val="16"/>
        </w:rPr>
        <w:t>a</w:t>
      </w:r>
      <w:r>
        <w:rPr>
          <w:spacing w:val="-4"/>
          <w:sz w:val="16"/>
        </w:rPr>
        <w:t xml:space="preserve"> </w:t>
      </w:r>
      <w:r>
        <w:rPr>
          <w:sz w:val="16"/>
        </w:rPr>
        <w:t>productivity-based</w:t>
      </w:r>
      <w:r>
        <w:rPr>
          <w:spacing w:val="-4"/>
          <w:sz w:val="16"/>
        </w:rPr>
        <w:t xml:space="preserve"> </w:t>
      </w:r>
      <w:r>
        <w:rPr>
          <w:sz w:val="16"/>
        </w:rPr>
        <w:t>wage</w:t>
      </w:r>
      <w:r>
        <w:rPr>
          <w:spacing w:val="-4"/>
          <w:sz w:val="16"/>
        </w:rPr>
        <w:t xml:space="preserve"> </w:t>
      </w:r>
      <w:r>
        <w:rPr>
          <w:sz w:val="16"/>
        </w:rPr>
        <w:t>for</w:t>
      </w:r>
      <w:r>
        <w:rPr>
          <w:spacing w:val="-3"/>
          <w:sz w:val="16"/>
        </w:rPr>
        <w:t xml:space="preserve"> </w:t>
      </w:r>
      <w:r>
        <w:rPr>
          <w:sz w:val="16"/>
        </w:rPr>
        <w:t>people</w:t>
      </w:r>
      <w:r>
        <w:rPr>
          <w:spacing w:val="-4"/>
          <w:sz w:val="16"/>
        </w:rPr>
        <w:t xml:space="preserve"> </w:t>
      </w:r>
      <w:r>
        <w:rPr>
          <w:sz w:val="16"/>
        </w:rPr>
        <w:t>with</w:t>
      </w:r>
      <w:r>
        <w:rPr>
          <w:spacing w:val="-4"/>
          <w:sz w:val="16"/>
        </w:rPr>
        <w:t xml:space="preserve"> </w:t>
      </w:r>
      <w:r>
        <w:rPr>
          <w:sz w:val="16"/>
        </w:rPr>
        <w:t>disability</w:t>
      </w:r>
      <w:r>
        <w:rPr>
          <w:spacing w:val="-4"/>
          <w:sz w:val="16"/>
        </w:rPr>
        <w:t xml:space="preserve"> </w:t>
      </w:r>
      <w:r>
        <w:rPr>
          <w:sz w:val="16"/>
        </w:rPr>
        <w:t>that</w:t>
      </w:r>
      <w:r>
        <w:rPr>
          <w:spacing w:val="-3"/>
          <w:sz w:val="16"/>
        </w:rPr>
        <w:t xml:space="preserve"> </w:t>
      </w:r>
      <w:r>
        <w:rPr>
          <w:sz w:val="16"/>
        </w:rPr>
        <w:t>matches</w:t>
      </w:r>
      <w:r>
        <w:rPr>
          <w:spacing w:val="-3"/>
          <w:sz w:val="16"/>
        </w:rPr>
        <w:t xml:space="preserve"> </w:t>
      </w:r>
      <w:r>
        <w:rPr>
          <w:sz w:val="16"/>
        </w:rPr>
        <w:t>an independently assessed productivity</w:t>
      </w:r>
      <w:r>
        <w:rPr>
          <w:spacing w:val="-4"/>
          <w:sz w:val="16"/>
        </w:rPr>
        <w:t xml:space="preserve"> </w:t>
      </w:r>
      <w:r>
        <w:rPr>
          <w:sz w:val="16"/>
        </w:rPr>
        <w:t>rate.</w:t>
      </w:r>
    </w:p>
    <w:p w:rsidR="007A0A6C" w:rsidRDefault="00660E26">
      <w:pPr>
        <w:pStyle w:val="ListParagraph"/>
        <w:numPr>
          <w:ilvl w:val="0"/>
          <w:numId w:val="3"/>
        </w:numPr>
        <w:tabs>
          <w:tab w:val="left" w:pos="745"/>
        </w:tabs>
        <w:spacing w:before="99"/>
        <w:ind w:left="744" w:hanging="404"/>
        <w:rPr>
          <w:sz w:val="16"/>
        </w:rPr>
      </w:pPr>
      <w:r>
        <w:rPr>
          <w:sz w:val="16"/>
        </w:rPr>
        <w:t>Productivity Commission (July 2018) National Disability Agreement Review,</w:t>
      </w:r>
      <w:r>
        <w:rPr>
          <w:color w:val="215E9E"/>
          <w:sz w:val="16"/>
        </w:rPr>
        <w:t xml:space="preserve"> </w:t>
      </w:r>
      <w:r>
        <w:rPr>
          <w:color w:val="215E9E"/>
          <w:sz w:val="16"/>
          <w:u w:val="single" w:color="215E9E"/>
        </w:rPr>
        <w:t>Issues</w:t>
      </w:r>
      <w:r>
        <w:rPr>
          <w:color w:val="215E9E"/>
          <w:spacing w:val="-17"/>
          <w:sz w:val="16"/>
          <w:u w:val="single" w:color="215E9E"/>
        </w:rPr>
        <w:t xml:space="preserve"> </w:t>
      </w:r>
      <w:r>
        <w:rPr>
          <w:color w:val="215E9E"/>
          <w:sz w:val="16"/>
          <w:u w:val="single" w:color="215E9E"/>
        </w:rPr>
        <w:t>Paper</w:t>
      </w:r>
      <w:r>
        <w:rPr>
          <w:sz w:val="16"/>
        </w:rPr>
        <w:t>.</w:t>
      </w:r>
    </w:p>
    <w:p w:rsidR="007A0A6C" w:rsidRDefault="00660E26">
      <w:pPr>
        <w:pStyle w:val="ListParagraph"/>
        <w:numPr>
          <w:ilvl w:val="0"/>
          <w:numId w:val="3"/>
        </w:numPr>
        <w:tabs>
          <w:tab w:val="left" w:pos="745"/>
        </w:tabs>
        <w:spacing w:line="261" w:lineRule="auto"/>
        <w:ind w:left="340" w:right="404" w:firstLine="0"/>
        <w:rPr>
          <w:sz w:val="16"/>
        </w:rPr>
      </w:pPr>
      <w:r>
        <w:rPr>
          <w:sz w:val="16"/>
        </w:rPr>
        <w:t>Working-age women with disability who are in the labour force have lower incomes from employment; are more concentrated than other women and men in precarious, informal, subsistence and vulnerable employment, and are much more likely to be in lower paid jobs than men  with disability. See: Women with Disabilities Australia (WWDA), (2014)</w:t>
      </w:r>
      <w:r>
        <w:rPr>
          <w:color w:val="215E9E"/>
          <w:sz w:val="16"/>
        </w:rPr>
        <w:t xml:space="preserve"> </w:t>
      </w:r>
      <w:r>
        <w:rPr>
          <w:color w:val="215E9E"/>
          <w:sz w:val="16"/>
          <w:u w:val="single" w:color="215E9E"/>
        </w:rPr>
        <w:t>‘Gender Blind, Gender Neutral’: The effectiveness of the National Disability Strategy in improving the lives of women and girls with disabilities</w:t>
      </w:r>
      <w:r>
        <w:rPr>
          <w:sz w:val="16"/>
        </w:rPr>
        <w:t xml:space="preserve">. WWDA, Hobart, </w:t>
      </w:r>
      <w:r>
        <w:rPr>
          <w:spacing w:val="-3"/>
          <w:sz w:val="16"/>
        </w:rPr>
        <w:t xml:space="preserve">Tasmania, </w:t>
      </w:r>
      <w:r>
        <w:rPr>
          <w:sz w:val="16"/>
        </w:rPr>
        <w:t>ISBN:</w:t>
      </w:r>
      <w:r>
        <w:rPr>
          <w:spacing w:val="-26"/>
          <w:sz w:val="16"/>
        </w:rPr>
        <w:t xml:space="preserve"> </w:t>
      </w:r>
      <w:r>
        <w:rPr>
          <w:sz w:val="16"/>
        </w:rPr>
        <w:t>978-0-9585268-2-1.</w:t>
      </w:r>
    </w:p>
    <w:p w:rsidR="007A0A6C" w:rsidRDefault="00660E26">
      <w:pPr>
        <w:pStyle w:val="ListParagraph"/>
        <w:numPr>
          <w:ilvl w:val="0"/>
          <w:numId w:val="3"/>
        </w:numPr>
        <w:tabs>
          <w:tab w:val="left" w:pos="745"/>
        </w:tabs>
        <w:spacing w:before="98"/>
        <w:ind w:left="744" w:hanging="404"/>
        <w:rPr>
          <w:sz w:val="16"/>
        </w:rPr>
      </w:pPr>
      <w:r>
        <w:rPr>
          <w:sz w:val="16"/>
        </w:rPr>
        <w:t>Department of Social Services (DSS)</w:t>
      </w:r>
      <w:r>
        <w:rPr>
          <w:color w:val="215E9E"/>
          <w:sz w:val="16"/>
        </w:rPr>
        <w:t xml:space="preserve"> </w:t>
      </w:r>
      <w:r>
        <w:rPr>
          <w:color w:val="215E9E"/>
          <w:sz w:val="16"/>
          <w:u w:val="single" w:color="215E9E"/>
        </w:rPr>
        <w:t>National Disability Strategy, Second Implementation Plan: Driving Action</w:t>
      </w:r>
      <w:r>
        <w:rPr>
          <w:color w:val="215E9E"/>
          <w:spacing w:val="-27"/>
          <w:sz w:val="16"/>
          <w:u w:val="single" w:color="215E9E"/>
        </w:rPr>
        <w:t xml:space="preserve"> </w:t>
      </w:r>
      <w:r>
        <w:rPr>
          <w:color w:val="215E9E"/>
          <w:sz w:val="16"/>
          <w:u w:val="single" w:color="215E9E"/>
        </w:rPr>
        <w:t>2015–2018</w:t>
      </w:r>
      <w:r>
        <w:rPr>
          <w:sz w:val="16"/>
        </w:rPr>
        <w:t>.</w:t>
      </w:r>
    </w:p>
    <w:p w:rsidR="007A0A6C" w:rsidRDefault="00660E26">
      <w:pPr>
        <w:pStyle w:val="ListParagraph"/>
        <w:numPr>
          <w:ilvl w:val="0"/>
          <w:numId w:val="3"/>
        </w:numPr>
        <w:tabs>
          <w:tab w:val="left" w:pos="745"/>
        </w:tabs>
        <w:spacing w:line="261" w:lineRule="auto"/>
        <w:ind w:left="340" w:right="600" w:firstLine="0"/>
        <w:rPr>
          <w:sz w:val="16"/>
        </w:rPr>
      </w:pPr>
      <w:r>
        <w:rPr>
          <w:sz w:val="16"/>
        </w:rPr>
        <w:t xml:space="preserve">More than double the OECD average of 22%. See for eg: Price Waterhouse Coopers (PWC) </w:t>
      </w:r>
      <w:r>
        <w:rPr>
          <w:spacing w:val="-3"/>
          <w:sz w:val="16"/>
        </w:rPr>
        <w:t>(2011)</w:t>
      </w:r>
      <w:r>
        <w:rPr>
          <w:color w:val="215E9E"/>
          <w:spacing w:val="-3"/>
          <w:sz w:val="16"/>
        </w:rPr>
        <w:t xml:space="preserve"> </w:t>
      </w:r>
      <w:r>
        <w:rPr>
          <w:color w:val="215E9E"/>
          <w:sz w:val="16"/>
          <w:u w:val="single" w:color="215E9E"/>
        </w:rPr>
        <w:t>Disability expectations: Investing in a better life, a stronger</w:t>
      </w:r>
      <w:r>
        <w:rPr>
          <w:color w:val="215E9E"/>
          <w:spacing w:val="-13"/>
          <w:sz w:val="16"/>
          <w:u w:val="single" w:color="215E9E"/>
        </w:rPr>
        <w:t xml:space="preserve"> </w:t>
      </w:r>
      <w:r>
        <w:rPr>
          <w:color w:val="215E9E"/>
          <w:sz w:val="16"/>
          <w:u w:val="single" w:color="215E9E"/>
        </w:rPr>
        <w:t>Australia</w:t>
      </w:r>
      <w:r>
        <w:rPr>
          <w:sz w:val="16"/>
        </w:rPr>
        <w:t>.</w:t>
      </w:r>
    </w:p>
    <w:p w:rsidR="007A0A6C" w:rsidRDefault="007A0A6C">
      <w:pPr>
        <w:pStyle w:val="BodyText"/>
        <w:spacing w:after="1"/>
        <w:ind w:left="0"/>
        <w:rPr>
          <w:sz w:val="9"/>
        </w:rPr>
      </w:pPr>
    </w:p>
    <w:tbl>
      <w:tblPr>
        <w:tblW w:w="0" w:type="auto"/>
        <w:tblInd w:w="297" w:type="dxa"/>
        <w:tblLayout w:type="fixed"/>
        <w:tblCellMar>
          <w:left w:w="0" w:type="dxa"/>
          <w:right w:w="0" w:type="dxa"/>
        </w:tblCellMar>
        <w:tblLook w:val="01E0" w:firstRow="1" w:lastRow="1" w:firstColumn="1" w:lastColumn="1" w:noHBand="0" w:noVBand="0"/>
      </w:tblPr>
      <w:tblGrid>
        <w:gridCol w:w="381"/>
        <w:gridCol w:w="9999"/>
      </w:tblGrid>
      <w:tr w:rsidR="007A0A6C">
        <w:trPr>
          <w:trHeight w:val="239"/>
        </w:trPr>
        <w:tc>
          <w:tcPr>
            <w:tcW w:w="381" w:type="dxa"/>
          </w:tcPr>
          <w:p w:rsidR="007A0A6C" w:rsidRDefault="00660E26">
            <w:pPr>
              <w:pStyle w:val="TableParagraph"/>
              <w:spacing w:before="0" w:line="179" w:lineRule="exact"/>
              <w:ind w:right="43"/>
              <w:jc w:val="center"/>
              <w:rPr>
                <w:sz w:val="16"/>
              </w:rPr>
            </w:pPr>
            <w:r>
              <w:rPr>
                <w:sz w:val="16"/>
              </w:rPr>
              <w:t>243</w:t>
            </w:r>
          </w:p>
        </w:tc>
        <w:tc>
          <w:tcPr>
            <w:tcW w:w="9999" w:type="dxa"/>
          </w:tcPr>
          <w:p w:rsidR="007A0A6C" w:rsidRDefault="00660E26">
            <w:pPr>
              <w:pStyle w:val="TableParagraph"/>
              <w:spacing w:before="0" w:line="179" w:lineRule="exact"/>
              <w:ind w:left="64"/>
              <w:rPr>
                <w:sz w:val="16"/>
              </w:rPr>
            </w:pPr>
            <w:r>
              <w:rPr>
                <w:sz w:val="16"/>
              </w:rPr>
              <w:t xml:space="preserve">Australian Institute of Health and Welfare 2017. </w:t>
            </w:r>
            <w:r>
              <w:rPr>
                <w:color w:val="215E9E"/>
                <w:sz w:val="16"/>
                <w:u w:val="single" w:color="215E9E"/>
              </w:rPr>
              <w:t>Australia’s welfare 2017</w:t>
            </w:r>
            <w:r>
              <w:rPr>
                <w:sz w:val="16"/>
              </w:rPr>
              <w:t>. Australia’s welfare series no. 13. AUS 214. Canberra: AIHW.</w:t>
            </w:r>
          </w:p>
        </w:tc>
      </w:tr>
      <w:tr w:rsidR="007A0A6C">
        <w:trPr>
          <w:trHeight w:val="300"/>
        </w:trPr>
        <w:tc>
          <w:tcPr>
            <w:tcW w:w="381" w:type="dxa"/>
          </w:tcPr>
          <w:p w:rsidR="007A0A6C" w:rsidRDefault="00660E26">
            <w:pPr>
              <w:pStyle w:val="TableParagraph"/>
              <w:ind w:right="43"/>
              <w:jc w:val="center"/>
              <w:rPr>
                <w:sz w:val="16"/>
              </w:rPr>
            </w:pPr>
            <w:r>
              <w:rPr>
                <w:sz w:val="16"/>
              </w:rPr>
              <w:t>244</w:t>
            </w:r>
          </w:p>
        </w:tc>
        <w:tc>
          <w:tcPr>
            <w:tcW w:w="9999" w:type="dxa"/>
          </w:tcPr>
          <w:p w:rsidR="007A0A6C" w:rsidRDefault="00660E26">
            <w:pPr>
              <w:pStyle w:val="TableParagraph"/>
              <w:ind w:left="73"/>
              <w:rPr>
                <w:sz w:val="16"/>
              </w:rPr>
            </w:pPr>
            <w:r>
              <w:rPr>
                <w:sz w:val="16"/>
              </w:rPr>
              <w:t>National CRPD Survey (2019) Findings.</w:t>
            </w:r>
          </w:p>
        </w:tc>
      </w:tr>
      <w:tr w:rsidR="007A0A6C">
        <w:trPr>
          <w:trHeight w:val="300"/>
        </w:trPr>
        <w:tc>
          <w:tcPr>
            <w:tcW w:w="381" w:type="dxa"/>
          </w:tcPr>
          <w:p w:rsidR="007A0A6C" w:rsidRDefault="00660E26">
            <w:pPr>
              <w:pStyle w:val="TableParagraph"/>
              <w:ind w:right="43"/>
              <w:jc w:val="center"/>
              <w:rPr>
                <w:sz w:val="16"/>
              </w:rPr>
            </w:pPr>
            <w:r>
              <w:rPr>
                <w:sz w:val="16"/>
              </w:rPr>
              <w:t>245</w:t>
            </w:r>
          </w:p>
        </w:tc>
        <w:tc>
          <w:tcPr>
            <w:tcW w:w="9999" w:type="dxa"/>
          </w:tcPr>
          <w:p w:rsidR="007A0A6C" w:rsidRDefault="00660E26">
            <w:pPr>
              <w:pStyle w:val="TableParagraph"/>
              <w:ind w:left="64"/>
              <w:rPr>
                <w:sz w:val="16"/>
              </w:rPr>
            </w:pPr>
            <w:r>
              <w:rPr>
                <w:sz w:val="16"/>
              </w:rPr>
              <w:t xml:space="preserve">Australian Institute of Health and Welfare 2017. </w:t>
            </w:r>
            <w:r>
              <w:rPr>
                <w:color w:val="215E9E"/>
                <w:sz w:val="16"/>
                <w:u w:val="single" w:color="215E9E"/>
              </w:rPr>
              <w:t>Australia’s welfare 2017</w:t>
            </w:r>
            <w:r>
              <w:rPr>
                <w:sz w:val="16"/>
              </w:rPr>
              <w:t>. Australia’s welfare series no. 13. AUS 214. Canberra: AIHW.</w:t>
            </w:r>
          </w:p>
        </w:tc>
      </w:tr>
      <w:tr w:rsidR="007A0A6C">
        <w:trPr>
          <w:trHeight w:val="300"/>
        </w:trPr>
        <w:tc>
          <w:tcPr>
            <w:tcW w:w="381" w:type="dxa"/>
          </w:tcPr>
          <w:p w:rsidR="007A0A6C" w:rsidRDefault="00660E26">
            <w:pPr>
              <w:pStyle w:val="TableParagraph"/>
              <w:ind w:right="43"/>
              <w:jc w:val="center"/>
              <w:rPr>
                <w:sz w:val="16"/>
              </w:rPr>
            </w:pPr>
            <w:r>
              <w:rPr>
                <w:sz w:val="16"/>
              </w:rPr>
              <w:t>245</w:t>
            </w:r>
          </w:p>
        </w:tc>
        <w:tc>
          <w:tcPr>
            <w:tcW w:w="9999" w:type="dxa"/>
          </w:tcPr>
          <w:p w:rsidR="007A0A6C" w:rsidRDefault="00660E26">
            <w:pPr>
              <w:pStyle w:val="TableParagraph"/>
              <w:ind w:left="64"/>
              <w:rPr>
                <w:sz w:val="16"/>
              </w:rPr>
            </w:pPr>
            <w:r>
              <w:rPr>
                <w:sz w:val="16"/>
              </w:rPr>
              <w:t xml:space="preserve">Australian Institute of Health and Welfare 2017. </w:t>
            </w:r>
            <w:r>
              <w:rPr>
                <w:color w:val="215E9E"/>
                <w:sz w:val="16"/>
                <w:u w:val="single" w:color="215E9E"/>
              </w:rPr>
              <w:t>Australia’s welfare 2017</w:t>
            </w:r>
            <w:r>
              <w:rPr>
                <w:sz w:val="16"/>
              </w:rPr>
              <w:t>. Australia’s welfare series no. 13. AUS 214. Canberra: AIHW.</w:t>
            </w:r>
          </w:p>
        </w:tc>
      </w:tr>
      <w:tr w:rsidR="007A0A6C">
        <w:trPr>
          <w:trHeight w:val="300"/>
        </w:trPr>
        <w:tc>
          <w:tcPr>
            <w:tcW w:w="381" w:type="dxa"/>
          </w:tcPr>
          <w:p w:rsidR="007A0A6C" w:rsidRDefault="00660E26">
            <w:pPr>
              <w:pStyle w:val="TableParagraph"/>
              <w:ind w:right="43"/>
              <w:jc w:val="center"/>
              <w:rPr>
                <w:sz w:val="16"/>
              </w:rPr>
            </w:pPr>
            <w:r>
              <w:rPr>
                <w:sz w:val="16"/>
              </w:rPr>
              <w:t>247</w:t>
            </w:r>
          </w:p>
        </w:tc>
        <w:tc>
          <w:tcPr>
            <w:tcW w:w="9999" w:type="dxa"/>
          </w:tcPr>
          <w:p w:rsidR="007A0A6C" w:rsidRDefault="00660E26">
            <w:pPr>
              <w:pStyle w:val="TableParagraph"/>
              <w:ind w:left="64"/>
              <w:rPr>
                <w:sz w:val="16"/>
              </w:rPr>
            </w:pPr>
            <w:r>
              <w:rPr>
                <w:sz w:val="16"/>
              </w:rPr>
              <w:t>Australian Government (2016) National Disability Strategy 2010-2020: Progress Report to COAG.</w:t>
            </w:r>
          </w:p>
        </w:tc>
      </w:tr>
      <w:tr w:rsidR="007A0A6C">
        <w:trPr>
          <w:trHeight w:val="239"/>
        </w:trPr>
        <w:tc>
          <w:tcPr>
            <w:tcW w:w="381" w:type="dxa"/>
          </w:tcPr>
          <w:p w:rsidR="007A0A6C" w:rsidRDefault="00660E26">
            <w:pPr>
              <w:pStyle w:val="TableParagraph"/>
              <w:spacing w:line="164" w:lineRule="exact"/>
              <w:ind w:right="43"/>
              <w:jc w:val="center"/>
              <w:rPr>
                <w:sz w:val="16"/>
              </w:rPr>
            </w:pPr>
            <w:r>
              <w:rPr>
                <w:sz w:val="16"/>
              </w:rPr>
              <w:t>248</w:t>
            </w:r>
          </w:p>
        </w:tc>
        <w:tc>
          <w:tcPr>
            <w:tcW w:w="9999" w:type="dxa"/>
          </w:tcPr>
          <w:p w:rsidR="007A0A6C" w:rsidRDefault="00660E26">
            <w:pPr>
              <w:pStyle w:val="TableParagraph"/>
              <w:spacing w:line="164" w:lineRule="exact"/>
              <w:ind w:left="70"/>
              <w:rPr>
                <w:sz w:val="16"/>
              </w:rPr>
            </w:pPr>
            <w:r>
              <w:rPr>
                <w:sz w:val="16"/>
              </w:rPr>
              <w:t>The Disability Support Pension (DSP) provides financial support to working age Australians who are permanently blind or have a permanent</w:t>
            </w:r>
          </w:p>
        </w:tc>
      </w:tr>
    </w:tbl>
    <w:p w:rsidR="007A0A6C" w:rsidRDefault="00660E26">
      <w:pPr>
        <w:spacing w:before="16" w:line="261" w:lineRule="auto"/>
        <w:ind w:left="340" w:right="404"/>
        <w:rPr>
          <w:sz w:val="16"/>
        </w:rPr>
      </w:pPr>
      <w:r>
        <w:rPr>
          <w:sz w:val="16"/>
        </w:rPr>
        <w:t xml:space="preserve">physical, intellectual or psychiatric impairment that prevents or limits their capacity to work. See: Australian National Audit Office (2016) </w:t>
      </w:r>
      <w:r>
        <w:rPr>
          <w:color w:val="215E9E"/>
          <w:sz w:val="16"/>
          <w:u w:val="single" w:color="215E9E"/>
        </w:rPr>
        <w:t>Qualifying</w:t>
      </w:r>
      <w:r>
        <w:rPr>
          <w:color w:val="215E9E"/>
          <w:sz w:val="16"/>
        </w:rPr>
        <w:t xml:space="preserve"> </w:t>
      </w:r>
      <w:r>
        <w:rPr>
          <w:color w:val="215E9E"/>
          <w:sz w:val="16"/>
          <w:u w:val="single" w:color="215E9E"/>
        </w:rPr>
        <w:t>for the Disability Support Pension</w:t>
      </w:r>
      <w:r>
        <w:rPr>
          <w:sz w:val="16"/>
        </w:rPr>
        <w:t>. The Disability Support Pension (DSP) is inadequate to support people with disability and consequently leads</w:t>
      </w:r>
    </w:p>
    <w:p w:rsidR="007A0A6C" w:rsidRDefault="00660E26">
      <w:pPr>
        <w:spacing w:line="261" w:lineRule="auto"/>
        <w:ind w:left="340" w:right="270"/>
        <w:rPr>
          <w:sz w:val="16"/>
        </w:rPr>
      </w:pPr>
      <w:r>
        <w:rPr>
          <w:sz w:val="16"/>
        </w:rPr>
        <w:t xml:space="preserve">to a lower standard of living, poverty, and the inability to realise other fundamental human rights. Changes to the DSP eligibility since 2013 have already left many people with disability struggling to survive on the Newstart or Youth Allowance, payments that are below the poverty line and in no way accounts for the additional costs associated with disability. Income support pensions have fallen significantly relative to average and minimum wages over the last two decades. See: Disabled People’s Organisations Australia (DPOA)(2016) </w:t>
      </w:r>
      <w:r>
        <w:rPr>
          <w:color w:val="215E9E"/>
          <w:sz w:val="16"/>
          <w:u w:val="single" w:color="215E9E"/>
        </w:rPr>
        <w:t>Election Platform 2016: Building a Disability</w:t>
      </w:r>
      <w:r>
        <w:rPr>
          <w:color w:val="215E9E"/>
          <w:sz w:val="16"/>
        </w:rPr>
        <w:t xml:space="preserve"> </w:t>
      </w:r>
      <w:r>
        <w:rPr>
          <w:color w:val="215E9E"/>
          <w:sz w:val="16"/>
          <w:u w:val="single" w:color="215E9E"/>
        </w:rPr>
        <w:t>Inclusive Australia</w:t>
      </w:r>
      <w:r>
        <w:rPr>
          <w:sz w:val="16"/>
        </w:rPr>
        <w:t xml:space="preserve">. See also: Australian NGO Coalition Submission (2017) </w:t>
      </w:r>
      <w:r>
        <w:rPr>
          <w:color w:val="215E9E"/>
          <w:sz w:val="16"/>
          <w:u w:val="single" w:color="215E9E"/>
        </w:rPr>
        <w:t>Review of Australia Fifth Periodic Report under the International</w:t>
      </w:r>
      <w:r>
        <w:rPr>
          <w:color w:val="215E9E"/>
          <w:sz w:val="16"/>
        </w:rPr>
        <w:t xml:space="preserve"> </w:t>
      </w:r>
      <w:r>
        <w:rPr>
          <w:color w:val="215E9E"/>
          <w:sz w:val="16"/>
          <w:u w:val="single" w:color="215E9E"/>
        </w:rPr>
        <w:t>Covenant on Economic, Social and Cultural Rights</w:t>
      </w:r>
      <w:r>
        <w:rPr>
          <w:sz w:val="16"/>
        </w:rPr>
        <w:t>.</w:t>
      </w:r>
    </w:p>
    <w:p w:rsidR="007A0A6C" w:rsidRDefault="00660E26">
      <w:pPr>
        <w:pStyle w:val="ListParagraph"/>
        <w:numPr>
          <w:ilvl w:val="0"/>
          <w:numId w:val="2"/>
        </w:numPr>
        <w:tabs>
          <w:tab w:val="left" w:pos="745"/>
        </w:tabs>
        <w:spacing w:before="95"/>
        <w:ind w:hanging="404"/>
        <w:rPr>
          <w:sz w:val="16"/>
        </w:rPr>
      </w:pPr>
      <w:r>
        <w:rPr>
          <w:sz w:val="16"/>
        </w:rPr>
        <w:t>See: Australian National Audit Office (2016)</w:t>
      </w:r>
      <w:r>
        <w:rPr>
          <w:color w:val="215E9E"/>
          <w:sz w:val="16"/>
        </w:rPr>
        <w:t xml:space="preserve"> </w:t>
      </w:r>
      <w:r>
        <w:rPr>
          <w:color w:val="215E9E"/>
          <w:sz w:val="16"/>
          <w:u w:val="single" w:color="215E9E"/>
        </w:rPr>
        <w:t>Qualifying for the Disability Support</w:t>
      </w:r>
      <w:r>
        <w:rPr>
          <w:color w:val="215E9E"/>
          <w:spacing w:val="-22"/>
          <w:sz w:val="16"/>
          <w:u w:val="single" w:color="215E9E"/>
        </w:rPr>
        <w:t xml:space="preserve"> </w:t>
      </w:r>
      <w:r>
        <w:rPr>
          <w:color w:val="215E9E"/>
          <w:sz w:val="16"/>
          <w:u w:val="single" w:color="215E9E"/>
        </w:rPr>
        <w:t>Pension</w:t>
      </w:r>
      <w:r>
        <w:rPr>
          <w:sz w:val="16"/>
        </w:rPr>
        <w:t>.</w:t>
      </w:r>
    </w:p>
    <w:p w:rsidR="007A0A6C" w:rsidRDefault="00660E26">
      <w:pPr>
        <w:pStyle w:val="ListParagraph"/>
        <w:numPr>
          <w:ilvl w:val="0"/>
          <w:numId w:val="2"/>
        </w:numPr>
        <w:tabs>
          <w:tab w:val="left" w:pos="745"/>
        </w:tabs>
        <w:ind w:hanging="404"/>
        <w:rPr>
          <w:sz w:val="16"/>
        </w:rPr>
      </w:pPr>
      <w:r>
        <w:rPr>
          <w:sz w:val="16"/>
        </w:rPr>
        <w:t>Disability Rights Now (2012)</w:t>
      </w:r>
      <w:r>
        <w:rPr>
          <w:color w:val="215E9E"/>
          <w:sz w:val="16"/>
        </w:rPr>
        <w:t xml:space="preserve"> </w:t>
      </w:r>
      <w:r>
        <w:rPr>
          <w:color w:val="215E9E"/>
          <w:sz w:val="16"/>
          <w:u w:val="single" w:color="215E9E"/>
        </w:rPr>
        <w:t>CRPD Civil Society Report on</w:t>
      </w:r>
      <w:r>
        <w:rPr>
          <w:color w:val="215E9E"/>
          <w:spacing w:val="-17"/>
          <w:sz w:val="16"/>
          <w:u w:val="single" w:color="215E9E"/>
        </w:rPr>
        <w:t xml:space="preserve"> </w:t>
      </w:r>
      <w:r>
        <w:rPr>
          <w:color w:val="215E9E"/>
          <w:sz w:val="16"/>
          <w:u w:val="single" w:color="215E9E"/>
        </w:rPr>
        <w:t>Australia</w:t>
      </w:r>
      <w:r>
        <w:rPr>
          <w:sz w:val="16"/>
        </w:rPr>
        <w:t>.</w:t>
      </w:r>
    </w:p>
    <w:p w:rsidR="007A0A6C" w:rsidRDefault="00660E26">
      <w:pPr>
        <w:pStyle w:val="ListParagraph"/>
        <w:numPr>
          <w:ilvl w:val="0"/>
          <w:numId w:val="2"/>
        </w:numPr>
        <w:tabs>
          <w:tab w:val="left" w:pos="745"/>
        </w:tabs>
        <w:ind w:hanging="404"/>
        <w:rPr>
          <w:sz w:val="16"/>
        </w:rPr>
      </w:pPr>
      <w:r>
        <w:rPr>
          <w:sz w:val="16"/>
        </w:rPr>
        <w:t>National Social Security Rights Network (Jan 02, 2017),</w:t>
      </w:r>
      <w:r>
        <w:rPr>
          <w:color w:val="215E9E"/>
          <w:sz w:val="16"/>
        </w:rPr>
        <w:t xml:space="preserve"> </w:t>
      </w:r>
      <w:r>
        <w:rPr>
          <w:color w:val="215E9E"/>
          <w:sz w:val="16"/>
          <w:u w:val="single" w:color="215E9E"/>
        </w:rPr>
        <w:t>1-in-4 on Newstart has a significant</w:t>
      </w:r>
      <w:r>
        <w:rPr>
          <w:color w:val="215E9E"/>
          <w:spacing w:val="-19"/>
          <w:sz w:val="16"/>
          <w:u w:val="single" w:color="215E9E"/>
        </w:rPr>
        <w:t xml:space="preserve"> </w:t>
      </w:r>
      <w:r>
        <w:rPr>
          <w:color w:val="215E9E"/>
          <w:sz w:val="16"/>
          <w:u w:val="single" w:color="215E9E"/>
        </w:rPr>
        <w:t>disability</w:t>
      </w:r>
      <w:r>
        <w:rPr>
          <w:sz w:val="16"/>
        </w:rPr>
        <w:t>.</w:t>
      </w:r>
    </w:p>
    <w:p w:rsidR="007A0A6C" w:rsidRDefault="00660E26">
      <w:pPr>
        <w:pStyle w:val="ListParagraph"/>
        <w:numPr>
          <w:ilvl w:val="0"/>
          <w:numId w:val="2"/>
        </w:numPr>
        <w:tabs>
          <w:tab w:val="left" w:pos="745"/>
        </w:tabs>
        <w:ind w:hanging="404"/>
        <w:rPr>
          <w:sz w:val="16"/>
        </w:rPr>
      </w:pPr>
      <w:r>
        <w:rPr>
          <w:sz w:val="16"/>
        </w:rPr>
        <w:t>Henriques-Gomes,</w:t>
      </w:r>
      <w:r>
        <w:rPr>
          <w:spacing w:val="-3"/>
          <w:sz w:val="16"/>
        </w:rPr>
        <w:t xml:space="preserve"> </w:t>
      </w:r>
      <w:r>
        <w:rPr>
          <w:sz w:val="16"/>
        </w:rPr>
        <w:t>L.</w:t>
      </w:r>
      <w:r>
        <w:rPr>
          <w:spacing w:val="-2"/>
          <w:sz w:val="16"/>
        </w:rPr>
        <w:t xml:space="preserve"> </w:t>
      </w:r>
      <w:r>
        <w:rPr>
          <w:sz w:val="16"/>
        </w:rPr>
        <w:t>(10</w:t>
      </w:r>
      <w:r>
        <w:rPr>
          <w:spacing w:val="-10"/>
          <w:sz w:val="16"/>
        </w:rPr>
        <w:t xml:space="preserve"> </w:t>
      </w:r>
      <w:r>
        <w:rPr>
          <w:sz w:val="16"/>
        </w:rPr>
        <w:t>Apr</w:t>
      </w:r>
      <w:r>
        <w:rPr>
          <w:spacing w:val="-2"/>
          <w:sz w:val="16"/>
        </w:rPr>
        <w:t xml:space="preserve"> </w:t>
      </w:r>
      <w:r>
        <w:rPr>
          <w:sz w:val="16"/>
        </w:rPr>
        <w:t>2019)</w:t>
      </w:r>
      <w:r>
        <w:rPr>
          <w:color w:val="215E9E"/>
          <w:spacing w:val="-1"/>
          <w:sz w:val="16"/>
        </w:rPr>
        <w:t xml:space="preserve"> </w:t>
      </w:r>
      <w:r>
        <w:rPr>
          <w:color w:val="215E9E"/>
          <w:sz w:val="16"/>
          <w:u w:val="single" w:color="215E9E"/>
        </w:rPr>
        <w:t>Record</w:t>
      </w:r>
      <w:r>
        <w:rPr>
          <w:color w:val="215E9E"/>
          <w:spacing w:val="-2"/>
          <w:sz w:val="16"/>
          <w:u w:val="single" w:color="215E9E"/>
        </w:rPr>
        <w:t xml:space="preserve"> </w:t>
      </w:r>
      <w:r>
        <w:rPr>
          <w:color w:val="215E9E"/>
          <w:sz w:val="16"/>
          <w:u w:val="single" w:color="215E9E"/>
        </w:rPr>
        <w:t>number</w:t>
      </w:r>
      <w:r>
        <w:rPr>
          <w:color w:val="215E9E"/>
          <w:spacing w:val="-3"/>
          <w:sz w:val="16"/>
          <w:u w:val="single" w:color="215E9E"/>
        </w:rPr>
        <w:t xml:space="preserve"> </w:t>
      </w:r>
      <w:r>
        <w:rPr>
          <w:color w:val="215E9E"/>
          <w:sz w:val="16"/>
          <w:u w:val="single" w:color="215E9E"/>
        </w:rPr>
        <w:t>of</w:t>
      </w:r>
      <w:r>
        <w:rPr>
          <w:color w:val="215E9E"/>
          <w:spacing w:val="-2"/>
          <w:sz w:val="16"/>
          <w:u w:val="single" w:color="215E9E"/>
        </w:rPr>
        <w:t xml:space="preserve"> </w:t>
      </w:r>
      <w:r>
        <w:rPr>
          <w:color w:val="215E9E"/>
          <w:sz w:val="16"/>
          <w:u w:val="single" w:color="215E9E"/>
        </w:rPr>
        <w:t>sick</w:t>
      </w:r>
      <w:r>
        <w:rPr>
          <w:color w:val="215E9E"/>
          <w:spacing w:val="-1"/>
          <w:sz w:val="16"/>
          <w:u w:val="single" w:color="215E9E"/>
        </w:rPr>
        <w:t xml:space="preserve"> </w:t>
      </w:r>
      <w:r>
        <w:rPr>
          <w:color w:val="215E9E"/>
          <w:sz w:val="16"/>
          <w:u w:val="single" w:color="215E9E"/>
        </w:rPr>
        <w:t>or</w:t>
      </w:r>
      <w:r>
        <w:rPr>
          <w:color w:val="215E9E"/>
          <w:spacing w:val="-3"/>
          <w:sz w:val="16"/>
          <w:u w:val="single" w:color="215E9E"/>
        </w:rPr>
        <w:t xml:space="preserve"> </w:t>
      </w:r>
      <w:r>
        <w:rPr>
          <w:color w:val="215E9E"/>
          <w:sz w:val="16"/>
          <w:u w:val="single" w:color="215E9E"/>
        </w:rPr>
        <w:t>disabled</w:t>
      </w:r>
      <w:r>
        <w:rPr>
          <w:color w:val="215E9E"/>
          <w:spacing w:val="-2"/>
          <w:sz w:val="16"/>
          <w:u w:val="single" w:color="215E9E"/>
        </w:rPr>
        <w:t xml:space="preserve"> </w:t>
      </w:r>
      <w:r>
        <w:rPr>
          <w:color w:val="215E9E"/>
          <w:sz w:val="16"/>
          <w:u w:val="single" w:color="215E9E"/>
        </w:rPr>
        <w:t>Newstart</w:t>
      </w:r>
      <w:r>
        <w:rPr>
          <w:color w:val="215E9E"/>
          <w:spacing w:val="-3"/>
          <w:sz w:val="16"/>
          <w:u w:val="single" w:color="215E9E"/>
        </w:rPr>
        <w:t xml:space="preserve"> </w:t>
      </w:r>
      <w:r>
        <w:rPr>
          <w:color w:val="215E9E"/>
          <w:sz w:val="16"/>
          <w:u w:val="single" w:color="215E9E"/>
        </w:rPr>
        <w:t>recipients</w:t>
      </w:r>
      <w:r>
        <w:rPr>
          <w:color w:val="215E9E"/>
          <w:spacing w:val="-1"/>
          <w:sz w:val="16"/>
          <w:u w:val="single" w:color="215E9E"/>
        </w:rPr>
        <w:t xml:space="preserve"> </w:t>
      </w:r>
      <w:r>
        <w:rPr>
          <w:color w:val="215E9E"/>
          <w:sz w:val="16"/>
          <w:u w:val="single" w:color="215E9E"/>
        </w:rPr>
        <w:t>as</w:t>
      </w:r>
      <w:r>
        <w:rPr>
          <w:color w:val="215E9E"/>
          <w:spacing w:val="-2"/>
          <w:sz w:val="16"/>
          <w:u w:val="single" w:color="215E9E"/>
        </w:rPr>
        <w:t xml:space="preserve"> </w:t>
      </w:r>
      <w:r>
        <w:rPr>
          <w:color w:val="215E9E"/>
          <w:sz w:val="16"/>
          <w:u w:val="single" w:color="215E9E"/>
        </w:rPr>
        <w:t>Coalition</w:t>
      </w:r>
      <w:r>
        <w:rPr>
          <w:color w:val="215E9E"/>
          <w:spacing w:val="-3"/>
          <w:sz w:val="16"/>
          <w:u w:val="single" w:color="215E9E"/>
        </w:rPr>
        <w:t xml:space="preserve"> </w:t>
      </w:r>
      <w:r>
        <w:rPr>
          <w:color w:val="215E9E"/>
          <w:sz w:val="16"/>
          <w:u w:val="single" w:color="215E9E"/>
        </w:rPr>
        <w:t>seeks</w:t>
      </w:r>
      <w:r>
        <w:rPr>
          <w:color w:val="215E9E"/>
          <w:spacing w:val="-1"/>
          <w:sz w:val="16"/>
          <w:u w:val="single" w:color="215E9E"/>
        </w:rPr>
        <w:t xml:space="preserve"> </w:t>
      </w:r>
      <w:r>
        <w:rPr>
          <w:color w:val="215E9E"/>
          <w:sz w:val="16"/>
          <w:u w:val="single" w:color="215E9E"/>
        </w:rPr>
        <w:t>savings</w:t>
      </w:r>
      <w:r>
        <w:rPr>
          <w:sz w:val="16"/>
        </w:rPr>
        <w:t>.</w:t>
      </w:r>
      <w:r>
        <w:rPr>
          <w:spacing w:val="-4"/>
          <w:sz w:val="16"/>
        </w:rPr>
        <w:t xml:space="preserve"> </w:t>
      </w:r>
      <w:r>
        <w:rPr>
          <w:sz w:val="16"/>
        </w:rPr>
        <w:t>The</w:t>
      </w:r>
      <w:r>
        <w:rPr>
          <w:spacing w:val="-2"/>
          <w:sz w:val="16"/>
        </w:rPr>
        <w:t xml:space="preserve"> </w:t>
      </w:r>
      <w:r>
        <w:rPr>
          <w:sz w:val="16"/>
        </w:rPr>
        <w:t>Guardian.</w:t>
      </w:r>
    </w:p>
    <w:p w:rsidR="007A0A6C" w:rsidRDefault="007A0A6C">
      <w:pPr>
        <w:rPr>
          <w:sz w:val="16"/>
        </w:rPr>
        <w:sectPr w:rsidR="007A0A6C">
          <w:pgSz w:w="11910" w:h="16840"/>
          <w:pgMar w:top="600" w:right="440" w:bottom="540" w:left="380" w:header="0" w:footer="343" w:gutter="0"/>
          <w:cols w:space="720"/>
        </w:sectPr>
      </w:pPr>
    </w:p>
    <w:p w:rsidR="007A0A6C" w:rsidRDefault="00660E26">
      <w:pPr>
        <w:pStyle w:val="ListParagraph"/>
        <w:numPr>
          <w:ilvl w:val="0"/>
          <w:numId w:val="2"/>
        </w:numPr>
        <w:tabs>
          <w:tab w:val="left" w:pos="745"/>
        </w:tabs>
        <w:spacing w:before="68"/>
        <w:ind w:hanging="404"/>
        <w:rPr>
          <w:sz w:val="16"/>
        </w:rPr>
      </w:pPr>
      <w:r>
        <w:rPr>
          <w:sz w:val="16"/>
        </w:rPr>
        <w:lastRenderedPageBreak/>
        <w:t>Naujokas,</w:t>
      </w:r>
      <w:r>
        <w:rPr>
          <w:spacing w:val="-2"/>
          <w:sz w:val="16"/>
        </w:rPr>
        <w:t xml:space="preserve"> </w:t>
      </w:r>
      <w:r>
        <w:rPr>
          <w:sz w:val="16"/>
        </w:rPr>
        <w:t>N.</w:t>
      </w:r>
      <w:r>
        <w:rPr>
          <w:spacing w:val="-2"/>
          <w:sz w:val="16"/>
        </w:rPr>
        <w:t xml:space="preserve"> </w:t>
      </w:r>
      <w:r>
        <w:rPr>
          <w:sz w:val="16"/>
        </w:rPr>
        <w:t>(7</w:t>
      </w:r>
      <w:r>
        <w:rPr>
          <w:spacing w:val="-1"/>
          <w:sz w:val="16"/>
        </w:rPr>
        <w:t xml:space="preserve"> </w:t>
      </w:r>
      <w:r>
        <w:rPr>
          <w:sz w:val="16"/>
        </w:rPr>
        <w:t>May</w:t>
      </w:r>
      <w:r>
        <w:rPr>
          <w:spacing w:val="-1"/>
          <w:sz w:val="16"/>
        </w:rPr>
        <w:t xml:space="preserve"> </w:t>
      </w:r>
      <w:r>
        <w:rPr>
          <w:sz w:val="16"/>
        </w:rPr>
        <w:t>2019)</w:t>
      </w:r>
      <w:r>
        <w:rPr>
          <w:color w:val="215E9E"/>
          <w:spacing w:val="-9"/>
          <w:sz w:val="16"/>
        </w:rPr>
        <w:t xml:space="preserve"> </w:t>
      </w:r>
      <w:r>
        <w:rPr>
          <w:color w:val="215E9E"/>
          <w:sz w:val="16"/>
          <w:u w:val="single" w:color="215E9E"/>
        </w:rPr>
        <w:t>Ask</w:t>
      </w:r>
      <w:r>
        <w:rPr>
          <w:color w:val="215E9E"/>
          <w:spacing w:val="-1"/>
          <w:sz w:val="16"/>
          <w:u w:val="single" w:color="215E9E"/>
        </w:rPr>
        <w:t xml:space="preserve"> </w:t>
      </w:r>
      <w:r>
        <w:rPr>
          <w:color w:val="215E9E"/>
          <w:sz w:val="16"/>
          <w:u w:val="single" w:color="215E9E"/>
        </w:rPr>
        <w:t>a</w:t>
      </w:r>
      <w:r>
        <w:rPr>
          <w:color w:val="215E9E"/>
          <w:spacing w:val="-2"/>
          <w:sz w:val="16"/>
          <w:u w:val="single" w:color="215E9E"/>
        </w:rPr>
        <w:t xml:space="preserve"> </w:t>
      </w:r>
      <w:r>
        <w:rPr>
          <w:color w:val="215E9E"/>
          <w:sz w:val="16"/>
          <w:u w:val="single" w:color="215E9E"/>
        </w:rPr>
        <w:t>policy</w:t>
      </w:r>
      <w:r>
        <w:rPr>
          <w:color w:val="215E9E"/>
          <w:spacing w:val="-1"/>
          <w:sz w:val="16"/>
          <w:u w:val="single" w:color="215E9E"/>
        </w:rPr>
        <w:t xml:space="preserve"> </w:t>
      </w:r>
      <w:r>
        <w:rPr>
          <w:color w:val="215E9E"/>
          <w:sz w:val="16"/>
          <w:u w:val="single" w:color="215E9E"/>
        </w:rPr>
        <w:t>expert:</w:t>
      </w:r>
      <w:r>
        <w:rPr>
          <w:color w:val="215E9E"/>
          <w:spacing w:val="-2"/>
          <w:sz w:val="16"/>
          <w:u w:val="single" w:color="215E9E"/>
        </w:rPr>
        <w:t xml:space="preserve"> </w:t>
      </w:r>
      <w:r>
        <w:rPr>
          <w:color w:val="215E9E"/>
          <w:sz w:val="16"/>
          <w:u w:val="single" w:color="215E9E"/>
        </w:rPr>
        <w:t>why</w:t>
      </w:r>
      <w:r>
        <w:rPr>
          <w:color w:val="215E9E"/>
          <w:spacing w:val="-2"/>
          <w:sz w:val="16"/>
          <w:u w:val="single" w:color="215E9E"/>
        </w:rPr>
        <w:t xml:space="preserve"> </w:t>
      </w:r>
      <w:r>
        <w:rPr>
          <w:color w:val="215E9E"/>
          <w:sz w:val="16"/>
          <w:u w:val="single" w:color="215E9E"/>
        </w:rPr>
        <w:t>is</w:t>
      </w:r>
      <w:r>
        <w:rPr>
          <w:color w:val="215E9E"/>
          <w:spacing w:val="-2"/>
          <w:sz w:val="16"/>
          <w:u w:val="single" w:color="215E9E"/>
        </w:rPr>
        <w:t xml:space="preserve"> </w:t>
      </w:r>
      <w:r>
        <w:rPr>
          <w:color w:val="215E9E"/>
          <w:sz w:val="16"/>
          <w:u w:val="single" w:color="215E9E"/>
        </w:rPr>
        <w:t>it</w:t>
      </w:r>
      <w:r>
        <w:rPr>
          <w:color w:val="215E9E"/>
          <w:spacing w:val="-1"/>
          <w:sz w:val="16"/>
          <w:u w:val="single" w:color="215E9E"/>
        </w:rPr>
        <w:t xml:space="preserve"> </w:t>
      </w:r>
      <w:r>
        <w:rPr>
          <w:color w:val="215E9E"/>
          <w:sz w:val="16"/>
          <w:u w:val="single" w:color="215E9E"/>
        </w:rPr>
        <w:t>so</w:t>
      </w:r>
      <w:r>
        <w:rPr>
          <w:color w:val="215E9E"/>
          <w:spacing w:val="-1"/>
          <w:sz w:val="16"/>
          <w:u w:val="single" w:color="215E9E"/>
        </w:rPr>
        <w:t xml:space="preserve"> </w:t>
      </w:r>
      <w:r>
        <w:rPr>
          <w:color w:val="215E9E"/>
          <w:sz w:val="16"/>
          <w:u w:val="single" w:color="215E9E"/>
        </w:rPr>
        <w:t>hard</w:t>
      </w:r>
      <w:r>
        <w:rPr>
          <w:color w:val="215E9E"/>
          <w:spacing w:val="-2"/>
          <w:sz w:val="16"/>
          <w:u w:val="single" w:color="215E9E"/>
        </w:rPr>
        <w:t xml:space="preserve"> </w:t>
      </w:r>
      <w:r>
        <w:rPr>
          <w:color w:val="215E9E"/>
          <w:sz w:val="16"/>
          <w:u w:val="single" w:color="215E9E"/>
        </w:rPr>
        <w:t>to</w:t>
      </w:r>
      <w:r>
        <w:rPr>
          <w:color w:val="215E9E"/>
          <w:spacing w:val="-1"/>
          <w:sz w:val="16"/>
          <w:u w:val="single" w:color="215E9E"/>
        </w:rPr>
        <w:t xml:space="preserve"> </w:t>
      </w:r>
      <w:r>
        <w:rPr>
          <w:color w:val="215E9E"/>
          <w:sz w:val="16"/>
          <w:u w:val="single" w:color="215E9E"/>
        </w:rPr>
        <w:t>get</w:t>
      </w:r>
      <w:r>
        <w:rPr>
          <w:color w:val="215E9E"/>
          <w:spacing w:val="-1"/>
          <w:sz w:val="16"/>
          <w:u w:val="single" w:color="215E9E"/>
        </w:rPr>
        <w:t xml:space="preserve"> </w:t>
      </w:r>
      <w:r>
        <w:rPr>
          <w:color w:val="215E9E"/>
          <w:sz w:val="16"/>
          <w:u w:val="single" w:color="215E9E"/>
        </w:rPr>
        <w:t>on</w:t>
      </w:r>
      <w:r>
        <w:rPr>
          <w:color w:val="215E9E"/>
          <w:spacing w:val="-2"/>
          <w:sz w:val="16"/>
          <w:u w:val="single" w:color="215E9E"/>
        </w:rPr>
        <w:t xml:space="preserve"> </w:t>
      </w:r>
      <w:r>
        <w:rPr>
          <w:color w:val="215E9E"/>
          <w:sz w:val="16"/>
          <w:u w:val="single" w:color="215E9E"/>
        </w:rPr>
        <w:t>the</w:t>
      </w:r>
      <w:r>
        <w:rPr>
          <w:color w:val="215E9E"/>
          <w:spacing w:val="-1"/>
          <w:sz w:val="16"/>
          <w:u w:val="single" w:color="215E9E"/>
        </w:rPr>
        <w:t xml:space="preserve"> </w:t>
      </w:r>
      <w:r>
        <w:rPr>
          <w:color w:val="215E9E"/>
          <w:sz w:val="16"/>
          <w:u w:val="single" w:color="215E9E"/>
        </w:rPr>
        <w:t>disability</w:t>
      </w:r>
      <w:r>
        <w:rPr>
          <w:color w:val="215E9E"/>
          <w:spacing w:val="-2"/>
          <w:sz w:val="16"/>
          <w:u w:val="single" w:color="215E9E"/>
        </w:rPr>
        <w:t xml:space="preserve"> </w:t>
      </w:r>
      <w:r>
        <w:rPr>
          <w:color w:val="215E9E"/>
          <w:sz w:val="16"/>
          <w:u w:val="single" w:color="215E9E"/>
        </w:rPr>
        <w:t>support pension?</w:t>
      </w:r>
      <w:r>
        <w:rPr>
          <w:color w:val="215E9E"/>
          <w:spacing w:val="-3"/>
          <w:sz w:val="16"/>
        </w:rPr>
        <w:t xml:space="preserve"> </w:t>
      </w:r>
      <w:r>
        <w:rPr>
          <w:sz w:val="16"/>
        </w:rPr>
        <w:t>The</w:t>
      </w:r>
      <w:r>
        <w:rPr>
          <w:spacing w:val="-1"/>
          <w:sz w:val="16"/>
        </w:rPr>
        <w:t xml:space="preserve"> </w:t>
      </w:r>
      <w:r>
        <w:rPr>
          <w:sz w:val="16"/>
        </w:rPr>
        <w:t>Guardian.</w:t>
      </w:r>
    </w:p>
    <w:p w:rsidR="007A0A6C" w:rsidRDefault="00660E26">
      <w:pPr>
        <w:pStyle w:val="ListParagraph"/>
        <w:numPr>
          <w:ilvl w:val="0"/>
          <w:numId w:val="2"/>
        </w:numPr>
        <w:tabs>
          <w:tab w:val="left" w:pos="742"/>
        </w:tabs>
        <w:spacing w:line="261" w:lineRule="auto"/>
        <w:ind w:left="340" w:right="668" w:firstLine="0"/>
        <w:rPr>
          <w:sz w:val="16"/>
        </w:rPr>
      </w:pPr>
      <w:r>
        <w:rPr>
          <w:sz w:val="16"/>
        </w:rPr>
        <w:t>The</w:t>
      </w:r>
      <w:r>
        <w:rPr>
          <w:color w:val="215E9E"/>
          <w:sz w:val="16"/>
        </w:rPr>
        <w:t xml:space="preserve"> </w:t>
      </w:r>
      <w:r>
        <w:rPr>
          <w:color w:val="215E9E"/>
          <w:sz w:val="16"/>
          <w:u w:val="single" w:color="215E9E"/>
        </w:rPr>
        <w:t>Specialist Homelessness Services (SHS)</w:t>
      </w:r>
      <w:r>
        <w:rPr>
          <w:color w:val="215E9E"/>
          <w:sz w:val="16"/>
        </w:rPr>
        <w:t xml:space="preserve"> </w:t>
      </w:r>
      <w:r>
        <w:rPr>
          <w:sz w:val="16"/>
        </w:rPr>
        <w:t>collection obtains information about people, adults and children, who seek assistance from specialist homelessness</w:t>
      </w:r>
      <w:r>
        <w:rPr>
          <w:spacing w:val="-2"/>
          <w:sz w:val="16"/>
        </w:rPr>
        <w:t xml:space="preserve"> </w:t>
      </w:r>
      <w:r>
        <w:rPr>
          <w:sz w:val="16"/>
        </w:rPr>
        <w:t>agencies.</w:t>
      </w:r>
    </w:p>
    <w:p w:rsidR="007A0A6C" w:rsidRDefault="007A0A6C">
      <w:pPr>
        <w:pStyle w:val="BodyText"/>
        <w:spacing w:before="1"/>
        <w:ind w:left="0"/>
        <w:rPr>
          <w:sz w:val="9"/>
        </w:rPr>
      </w:pPr>
    </w:p>
    <w:tbl>
      <w:tblPr>
        <w:tblW w:w="0" w:type="auto"/>
        <w:tblInd w:w="297" w:type="dxa"/>
        <w:tblLayout w:type="fixed"/>
        <w:tblCellMar>
          <w:left w:w="0" w:type="dxa"/>
          <w:right w:w="0" w:type="dxa"/>
        </w:tblCellMar>
        <w:tblLook w:val="01E0" w:firstRow="1" w:lastRow="1" w:firstColumn="1" w:lastColumn="1" w:noHBand="0" w:noVBand="0"/>
      </w:tblPr>
      <w:tblGrid>
        <w:gridCol w:w="381"/>
        <w:gridCol w:w="10009"/>
      </w:tblGrid>
      <w:tr w:rsidR="007A0A6C">
        <w:trPr>
          <w:trHeight w:val="239"/>
        </w:trPr>
        <w:tc>
          <w:tcPr>
            <w:tcW w:w="381" w:type="dxa"/>
          </w:tcPr>
          <w:p w:rsidR="007A0A6C" w:rsidRDefault="00660E26">
            <w:pPr>
              <w:pStyle w:val="TableParagraph"/>
              <w:spacing w:before="0" w:line="179" w:lineRule="exact"/>
              <w:ind w:right="43"/>
              <w:jc w:val="center"/>
              <w:rPr>
                <w:sz w:val="16"/>
              </w:rPr>
            </w:pPr>
            <w:r>
              <w:rPr>
                <w:sz w:val="16"/>
              </w:rPr>
              <w:t>255</w:t>
            </w:r>
          </w:p>
        </w:tc>
        <w:tc>
          <w:tcPr>
            <w:tcW w:w="10009" w:type="dxa"/>
          </w:tcPr>
          <w:p w:rsidR="007A0A6C" w:rsidRDefault="00660E26">
            <w:pPr>
              <w:pStyle w:val="TableParagraph"/>
              <w:spacing w:before="0" w:line="179" w:lineRule="exact"/>
              <w:ind w:left="64"/>
              <w:rPr>
                <w:sz w:val="16"/>
              </w:rPr>
            </w:pPr>
            <w:r>
              <w:rPr>
                <w:sz w:val="16"/>
              </w:rPr>
              <w:t xml:space="preserve">Australian Institute of Health and Welfare 2017. </w:t>
            </w:r>
            <w:r>
              <w:rPr>
                <w:color w:val="215E9E"/>
                <w:sz w:val="16"/>
                <w:u w:val="single" w:color="215E9E"/>
              </w:rPr>
              <w:t>Australia’s welfare 2017</w:t>
            </w:r>
            <w:r>
              <w:rPr>
                <w:sz w:val="16"/>
              </w:rPr>
              <w:t>. Australia’s welfare series no. 13. AUS 214. Canberra: AIHW.</w:t>
            </w:r>
          </w:p>
        </w:tc>
      </w:tr>
      <w:tr w:rsidR="007A0A6C">
        <w:trPr>
          <w:trHeight w:val="300"/>
        </w:trPr>
        <w:tc>
          <w:tcPr>
            <w:tcW w:w="381" w:type="dxa"/>
          </w:tcPr>
          <w:p w:rsidR="007A0A6C" w:rsidRDefault="00660E26">
            <w:pPr>
              <w:pStyle w:val="TableParagraph"/>
              <w:ind w:right="43"/>
              <w:jc w:val="center"/>
              <w:rPr>
                <w:sz w:val="16"/>
              </w:rPr>
            </w:pPr>
            <w:r>
              <w:rPr>
                <w:sz w:val="16"/>
              </w:rPr>
              <w:t>256</w:t>
            </w:r>
          </w:p>
        </w:tc>
        <w:tc>
          <w:tcPr>
            <w:tcW w:w="10009" w:type="dxa"/>
          </w:tcPr>
          <w:p w:rsidR="007A0A6C" w:rsidRDefault="00660E26">
            <w:pPr>
              <w:pStyle w:val="TableParagraph"/>
              <w:ind w:left="73"/>
              <w:rPr>
                <w:sz w:val="16"/>
              </w:rPr>
            </w:pPr>
            <w:r>
              <w:rPr>
                <w:sz w:val="16"/>
              </w:rPr>
              <w:t xml:space="preserve">See: Australia’s 2nd Universal Periodic Review, </w:t>
            </w:r>
            <w:r>
              <w:rPr>
                <w:color w:val="215E9E"/>
                <w:sz w:val="16"/>
                <w:u w:val="single" w:color="215E9E"/>
              </w:rPr>
              <w:t>Joint NGO Submission on behalf of Australian NGO Coalition</w:t>
            </w:r>
            <w:r>
              <w:rPr>
                <w:sz w:val="16"/>
              </w:rPr>
              <w:t>, March 2015.</w:t>
            </w:r>
          </w:p>
        </w:tc>
      </w:tr>
      <w:tr w:rsidR="007A0A6C">
        <w:trPr>
          <w:trHeight w:val="300"/>
        </w:trPr>
        <w:tc>
          <w:tcPr>
            <w:tcW w:w="381" w:type="dxa"/>
          </w:tcPr>
          <w:p w:rsidR="007A0A6C" w:rsidRDefault="00660E26">
            <w:pPr>
              <w:pStyle w:val="TableParagraph"/>
              <w:ind w:right="43"/>
              <w:jc w:val="center"/>
              <w:rPr>
                <w:sz w:val="16"/>
              </w:rPr>
            </w:pPr>
            <w:r>
              <w:rPr>
                <w:sz w:val="16"/>
              </w:rPr>
              <w:t>257</w:t>
            </w:r>
          </w:p>
        </w:tc>
        <w:tc>
          <w:tcPr>
            <w:tcW w:w="10009" w:type="dxa"/>
          </w:tcPr>
          <w:p w:rsidR="007A0A6C" w:rsidRDefault="00660E26">
            <w:pPr>
              <w:pStyle w:val="TableParagraph"/>
              <w:ind w:left="73"/>
              <w:rPr>
                <w:sz w:val="16"/>
              </w:rPr>
            </w:pPr>
            <w:r>
              <w:rPr>
                <w:sz w:val="16"/>
              </w:rPr>
              <w:t xml:space="preserve">Productivity Commission, </w:t>
            </w:r>
            <w:r>
              <w:rPr>
                <w:color w:val="215E9E"/>
                <w:sz w:val="16"/>
                <w:u w:val="single" w:color="215E9E"/>
              </w:rPr>
              <w:t>Report on Government Services 2019</w:t>
            </w:r>
          </w:p>
        </w:tc>
      </w:tr>
      <w:tr w:rsidR="007A0A6C">
        <w:trPr>
          <w:trHeight w:val="300"/>
        </w:trPr>
        <w:tc>
          <w:tcPr>
            <w:tcW w:w="381" w:type="dxa"/>
          </w:tcPr>
          <w:p w:rsidR="007A0A6C" w:rsidRDefault="00660E26">
            <w:pPr>
              <w:pStyle w:val="TableParagraph"/>
              <w:ind w:right="43"/>
              <w:jc w:val="center"/>
              <w:rPr>
                <w:sz w:val="16"/>
              </w:rPr>
            </w:pPr>
            <w:r>
              <w:rPr>
                <w:sz w:val="16"/>
              </w:rPr>
              <w:t>258</w:t>
            </w:r>
          </w:p>
        </w:tc>
        <w:tc>
          <w:tcPr>
            <w:tcW w:w="10009" w:type="dxa"/>
          </w:tcPr>
          <w:p w:rsidR="007A0A6C" w:rsidRDefault="00660E26">
            <w:pPr>
              <w:pStyle w:val="TableParagraph"/>
              <w:ind w:left="64"/>
              <w:rPr>
                <w:sz w:val="16"/>
              </w:rPr>
            </w:pPr>
            <w:r>
              <w:rPr>
                <w:sz w:val="16"/>
              </w:rPr>
              <w:t xml:space="preserve">Australian Institute of Health and Welfare 2017. </w:t>
            </w:r>
            <w:r>
              <w:rPr>
                <w:color w:val="215E9E"/>
                <w:sz w:val="16"/>
                <w:u w:val="single" w:color="215E9E"/>
              </w:rPr>
              <w:t>Australia’s welfare 2017</w:t>
            </w:r>
            <w:r>
              <w:rPr>
                <w:sz w:val="16"/>
              </w:rPr>
              <w:t>. Australia’s welfare series no. 13. AUS 214. Canberra: AIHW.</w:t>
            </w:r>
          </w:p>
        </w:tc>
      </w:tr>
      <w:tr w:rsidR="007A0A6C">
        <w:trPr>
          <w:trHeight w:val="300"/>
        </w:trPr>
        <w:tc>
          <w:tcPr>
            <w:tcW w:w="381" w:type="dxa"/>
          </w:tcPr>
          <w:p w:rsidR="007A0A6C" w:rsidRDefault="00660E26">
            <w:pPr>
              <w:pStyle w:val="TableParagraph"/>
              <w:ind w:right="43"/>
              <w:jc w:val="center"/>
              <w:rPr>
                <w:sz w:val="16"/>
              </w:rPr>
            </w:pPr>
            <w:r>
              <w:rPr>
                <w:sz w:val="16"/>
              </w:rPr>
              <w:t>259</w:t>
            </w:r>
          </w:p>
        </w:tc>
        <w:tc>
          <w:tcPr>
            <w:tcW w:w="10009" w:type="dxa"/>
          </w:tcPr>
          <w:p w:rsidR="007A0A6C" w:rsidRDefault="00660E26">
            <w:pPr>
              <w:pStyle w:val="TableParagraph"/>
              <w:ind w:left="64"/>
              <w:rPr>
                <w:sz w:val="16"/>
              </w:rPr>
            </w:pPr>
            <w:r>
              <w:rPr>
                <w:sz w:val="16"/>
              </w:rPr>
              <w:t xml:space="preserve">Australian Institute of Health and Welfare 2017. </w:t>
            </w:r>
            <w:r>
              <w:rPr>
                <w:color w:val="215E9E"/>
                <w:sz w:val="16"/>
                <w:u w:val="single" w:color="215E9E"/>
              </w:rPr>
              <w:t>Australia’s welfare 2017</w:t>
            </w:r>
            <w:r>
              <w:rPr>
                <w:sz w:val="16"/>
              </w:rPr>
              <w:t>. Australia’s welfare series no. 13. AUS 214. Canberra: AIHW.</w:t>
            </w:r>
          </w:p>
        </w:tc>
      </w:tr>
      <w:tr w:rsidR="007A0A6C">
        <w:trPr>
          <w:trHeight w:val="300"/>
        </w:trPr>
        <w:tc>
          <w:tcPr>
            <w:tcW w:w="381" w:type="dxa"/>
          </w:tcPr>
          <w:p w:rsidR="007A0A6C" w:rsidRDefault="00660E26">
            <w:pPr>
              <w:pStyle w:val="TableParagraph"/>
              <w:ind w:right="43"/>
              <w:jc w:val="center"/>
              <w:rPr>
                <w:sz w:val="16"/>
              </w:rPr>
            </w:pPr>
            <w:r>
              <w:rPr>
                <w:sz w:val="16"/>
              </w:rPr>
              <w:t>260</w:t>
            </w:r>
          </w:p>
        </w:tc>
        <w:tc>
          <w:tcPr>
            <w:tcW w:w="10009" w:type="dxa"/>
          </w:tcPr>
          <w:p w:rsidR="007A0A6C" w:rsidRDefault="00660E26">
            <w:pPr>
              <w:pStyle w:val="TableParagraph"/>
              <w:ind w:left="73"/>
              <w:rPr>
                <w:sz w:val="16"/>
              </w:rPr>
            </w:pPr>
            <w:r>
              <w:rPr>
                <w:sz w:val="16"/>
              </w:rPr>
              <w:t xml:space="preserve">Productivity Commission, </w:t>
            </w:r>
            <w:r>
              <w:rPr>
                <w:color w:val="215E9E"/>
                <w:sz w:val="16"/>
                <w:u w:val="single" w:color="215E9E"/>
              </w:rPr>
              <w:t>Report on Government Services 2019;</w:t>
            </w:r>
            <w:r>
              <w:rPr>
                <w:color w:val="215E9E"/>
                <w:sz w:val="16"/>
              </w:rPr>
              <w:t xml:space="preserve"> </w:t>
            </w:r>
            <w:r>
              <w:rPr>
                <w:sz w:val="16"/>
              </w:rPr>
              <w:t>National CRPD Survey (2019) Findings.</w:t>
            </w:r>
          </w:p>
        </w:tc>
      </w:tr>
      <w:tr w:rsidR="007A0A6C">
        <w:trPr>
          <w:trHeight w:val="300"/>
        </w:trPr>
        <w:tc>
          <w:tcPr>
            <w:tcW w:w="381" w:type="dxa"/>
          </w:tcPr>
          <w:p w:rsidR="007A0A6C" w:rsidRDefault="00660E26">
            <w:pPr>
              <w:pStyle w:val="TableParagraph"/>
              <w:ind w:right="43"/>
              <w:jc w:val="center"/>
              <w:rPr>
                <w:sz w:val="16"/>
              </w:rPr>
            </w:pPr>
            <w:r>
              <w:rPr>
                <w:sz w:val="16"/>
              </w:rPr>
              <w:t>261</w:t>
            </w:r>
          </w:p>
        </w:tc>
        <w:tc>
          <w:tcPr>
            <w:tcW w:w="10009" w:type="dxa"/>
          </w:tcPr>
          <w:p w:rsidR="007A0A6C" w:rsidRDefault="00660E26">
            <w:pPr>
              <w:pStyle w:val="TableParagraph"/>
              <w:ind w:left="73"/>
              <w:rPr>
                <w:sz w:val="16"/>
              </w:rPr>
            </w:pPr>
            <w:r>
              <w:rPr>
                <w:sz w:val="16"/>
              </w:rPr>
              <w:t xml:space="preserve">Disability Rights Now (2012) </w:t>
            </w:r>
            <w:r>
              <w:rPr>
                <w:color w:val="215E9E"/>
                <w:sz w:val="16"/>
                <w:u w:val="single" w:color="215E9E"/>
              </w:rPr>
              <w:t>CRPD Civil Society Report on Australia</w:t>
            </w:r>
            <w:r>
              <w:rPr>
                <w:sz w:val="16"/>
              </w:rPr>
              <w:t>.</w:t>
            </w:r>
          </w:p>
        </w:tc>
      </w:tr>
      <w:tr w:rsidR="007A0A6C">
        <w:trPr>
          <w:trHeight w:val="300"/>
        </w:trPr>
        <w:tc>
          <w:tcPr>
            <w:tcW w:w="381" w:type="dxa"/>
          </w:tcPr>
          <w:p w:rsidR="007A0A6C" w:rsidRDefault="00660E26">
            <w:pPr>
              <w:pStyle w:val="TableParagraph"/>
              <w:ind w:right="43"/>
              <w:jc w:val="center"/>
              <w:rPr>
                <w:sz w:val="16"/>
              </w:rPr>
            </w:pPr>
            <w:r>
              <w:rPr>
                <w:sz w:val="16"/>
              </w:rPr>
              <w:t>262</w:t>
            </w:r>
          </w:p>
        </w:tc>
        <w:tc>
          <w:tcPr>
            <w:tcW w:w="10009" w:type="dxa"/>
          </w:tcPr>
          <w:p w:rsidR="007A0A6C" w:rsidRDefault="00660E26">
            <w:pPr>
              <w:pStyle w:val="TableParagraph"/>
              <w:ind w:left="73"/>
              <w:rPr>
                <w:sz w:val="16"/>
              </w:rPr>
            </w:pPr>
            <w:r>
              <w:rPr>
                <w:sz w:val="16"/>
              </w:rPr>
              <w:t xml:space="preserve">Disability Rights Now (2012) </w:t>
            </w:r>
            <w:r>
              <w:rPr>
                <w:color w:val="215E9E"/>
                <w:sz w:val="16"/>
                <w:u w:val="single" w:color="215E9E"/>
              </w:rPr>
              <w:t>CRPD Civil Society Report on Australia</w:t>
            </w:r>
            <w:r>
              <w:rPr>
                <w:sz w:val="16"/>
              </w:rPr>
              <w:t>.</w:t>
            </w:r>
          </w:p>
        </w:tc>
      </w:tr>
      <w:tr w:rsidR="007A0A6C">
        <w:trPr>
          <w:trHeight w:val="239"/>
        </w:trPr>
        <w:tc>
          <w:tcPr>
            <w:tcW w:w="381" w:type="dxa"/>
          </w:tcPr>
          <w:p w:rsidR="007A0A6C" w:rsidRDefault="00660E26">
            <w:pPr>
              <w:pStyle w:val="TableParagraph"/>
              <w:spacing w:line="164" w:lineRule="exact"/>
              <w:ind w:right="43"/>
              <w:jc w:val="center"/>
              <w:rPr>
                <w:sz w:val="16"/>
              </w:rPr>
            </w:pPr>
            <w:r>
              <w:rPr>
                <w:sz w:val="16"/>
              </w:rPr>
              <w:t>263</w:t>
            </w:r>
          </w:p>
        </w:tc>
        <w:tc>
          <w:tcPr>
            <w:tcW w:w="10009" w:type="dxa"/>
          </w:tcPr>
          <w:p w:rsidR="007A0A6C" w:rsidRDefault="00660E26">
            <w:pPr>
              <w:pStyle w:val="TableParagraph"/>
              <w:spacing w:line="164" w:lineRule="exact"/>
              <w:ind w:left="64"/>
              <w:rPr>
                <w:sz w:val="16"/>
              </w:rPr>
            </w:pPr>
            <w:r>
              <w:rPr>
                <w:sz w:val="16"/>
              </w:rPr>
              <w:t>As recommended in the CRPD/C/AUS/CO/1 [para.54] and also recommended in CEDAW/C/AUL/CO/5; CEDAW/C/AUS/CO/7; E/C.12/AUS/</w:t>
            </w:r>
          </w:p>
        </w:tc>
      </w:tr>
    </w:tbl>
    <w:p w:rsidR="007A0A6C" w:rsidRDefault="00660E26">
      <w:pPr>
        <w:spacing w:before="16"/>
        <w:ind w:left="340"/>
        <w:rPr>
          <w:sz w:val="16"/>
        </w:rPr>
      </w:pPr>
      <w:r>
        <w:rPr>
          <w:sz w:val="16"/>
        </w:rPr>
        <w:t>CO/4; CCPR/C/AUS/CO/5; CAT/C/AUS/Q/5.</w:t>
      </w:r>
    </w:p>
    <w:p w:rsidR="007A0A6C" w:rsidRDefault="00660E26">
      <w:pPr>
        <w:pStyle w:val="ListParagraph"/>
        <w:numPr>
          <w:ilvl w:val="0"/>
          <w:numId w:val="1"/>
        </w:numPr>
        <w:tabs>
          <w:tab w:val="left" w:pos="736"/>
        </w:tabs>
        <w:ind w:hanging="395"/>
        <w:rPr>
          <w:sz w:val="16"/>
        </w:rPr>
      </w:pPr>
      <w:r>
        <w:rPr>
          <w:sz w:val="16"/>
        </w:rPr>
        <w:t>As recommended in the CRPD/C/AUS/CO/1</w:t>
      </w:r>
      <w:r>
        <w:rPr>
          <w:spacing w:val="-3"/>
          <w:sz w:val="16"/>
        </w:rPr>
        <w:t xml:space="preserve"> </w:t>
      </w:r>
      <w:r>
        <w:rPr>
          <w:sz w:val="16"/>
        </w:rPr>
        <w:t>[para.56]</w:t>
      </w:r>
    </w:p>
    <w:p w:rsidR="007A0A6C" w:rsidRDefault="00660E26">
      <w:pPr>
        <w:pStyle w:val="ListParagraph"/>
        <w:numPr>
          <w:ilvl w:val="0"/>
          <w:numId w:val="1"/>
        </w:numPr>
        <w:tabs>
          <w:tab w:val="left" w:pos="745"/>
        </w:tabs>
        <w:ind w:left="744" w:hanging="404"/>
        <w:rPr>
          <w:sz w:val="16"/>
        </w:rPr>
      </w:pPr>
      <w:r>
        <w:rPr>
          <w:sz w:val="16"/>
        </w:rPr>
        <w:t>Including a comprehensive data collection mechanism for children and young people with</w:t>
      </w:r>
      <w:r>
        <w:rPr>
          <w:spacing w:val="-10"/>
          <w:sz w:val="16"/>
        </w:rPr>
        <w:t xml:space="preserve"> </w:t>
      </w:r>
      <w:r>
        <w:rPr>
          <w:sz w:val="16"/>
        </w:rPr>
        <w:t>disability.</w:t>
      </w:r>
    </w:p>
    <w:p w:rsidR="007A0A6C" w:rsidRDefault="00660E26">
      <w:pPr>
        <w:pStyle w:val="ListParagraph"/>
        <w:numPr>
          <w:ilvl w:val="0"/>
          <w:numId w:val="1"/>
        </w:numPr>
        <w:tabs>
          <w:tab w:val="left" w:pos="736"/>
        </w:tabs>
        <w:spacing w:line="261" w:lineRule="auto"/>
        <w:ind w:left="340" w:right="402" w:firstLine="0"/>
        <w:rPr>
          <w:sz w:val="16"/>
        </w:rPr>
      </w:pPr>
      <w:r>
        <w:rPr>
          <w:sz w:val="16"/>
        </w:rPr>
        <w:t>At the Universal Period Review [Australia] 2016, the Australian Government gave a voluntary commitment to “supporting the protection and promotion of human rights through its foreign aid programme by promoting prosperity, reducing poverty and enhancing stability. The delegation welcomed</w:t>
      </w:r>
      <w:r>
        <w:rPr>
          <w:spacing w:val="-4"/>
          <w:sz w:val="16"/>
        </w:rPr>
        <w:t xml:space="preserve"> </w:t>
      </w:r>
      <w:r>
        <w:rPr>
          <w:sz w:val="16"/>
        </w:rPr>
        <w:t>the</w:t>
      </w:r>
      <w:r>
        <w:rPr>
          <w:spacing w:val="-3"/>
          <w:sz w:val="16"/>
        </w:rPr>
        <w:t xml:space="preserve"> </w:t>
      </w:r>
      <w:r>
        <w:rPr>
          <w:sz w:val="16"/>
        </w:rPr>
        <w:t>adoption</w:t>
      </w:r>
      <w:r>
        <w:rPr>
          <w:spacing w:val="-3"/>
          <w:sz w:val="16"/>
        </w:rPr>
        <w:t xml:space="preserve"> </w:t>
      </w:r>
      <w:r>
        <w:rPr>
          <w:sz w:val="16"/>
        </w:rPr>
        <w:t>of</w:t>
      </w:r>
      <w:r>
        <w:rPr>
          <w:spacing w:val="-4"/>
          <w:sz w:val="16"/>
        </w:rPr>
        <w:t xml:space="preserve"> </w:t>
      </w:r>
      <w:r>
        <w:rPr>
          <w:sz w:val="16"/>
        </w:rPr>
        <w:t>the</w:t>
      </w:r>
      <w:r>
        <w:rPr>
          <w:spacing w:val="-3"/>
          <w:sz w:val="16"/>
        </w:rPr>
        <w:t xml:space="preserve"> </w:t>
      </w:r>
      <w:r>
        <w:rPr>
          <w:sz w:val="16"/>
        </w:rPr>
        <w:t>2030</w:t>
      </w:r>
      <w:r>
        <w:rPr>
          <w:spacing w:val="-11"/>
          <w:sz w:val="16"/>
        </w:rPr>
        <w:t xml:space="preserve"> </w:t>
      </w:r>
      <w:r>
        <w:rPr>
          <w:sz w:val="16"/>
        </w:rPr>
        <w:t>Agenda</w:t>
      </w:r>
      <w:r>
        <w:rPr>
          <w:spacing w:val="-2"/>
          <w:sz w:val="16"/>
        </w:rPr>
        <w:t xml:space="preserve"> </w:t>
      </w:r>
      <w:r>
        <w:rPr>
          <w:sz w:val="16"/>
        </w:rPr>
        <w:t>for</w:t>
      </w:r>
      <w:r>
        <w:rPr>
          <w:spacing w:val="-3"/>
          <w:sz w:val="16"/>
        </w:rPr>
        <w:t xml:space="preserve"> </w:t>
      </w:r>
      <w:r>
        <w:rPr>
          <w:sz w:val="16"/>
        </w:rPr>
        <w:t>Sustainable</w:t>
      </w:r>
      <w:r>
        <w:rPr>
          <w:spacing w:val="-3"/>
          <w:sz w:val="16"/>
        </w:rPr>
        <w:t xml:space="preserve"> </w:t>
      </w:r>
      <w:r>
        <w:rPr>
          <w:sz w:val="16"/>
        </w:rPr>
        <w:t>Development</w:t>
      </w:r>
      <w:r>
        <w:rPr>
          <w:spacing w:val="-3"/>
          <w:sz w:val="16"/>
        </w:rPr>
        <w:t xml:space="preserve"> </w:t>
      </w:r>
      <w:r>
        <w:rPr>
          <w:sz w:val="16"/>
        </w:rPr>
        <w:t>and</w:t>
      </w:r>
      <w:r>
        <w:rPr>
          <w:spacing w:val="-4"/>
          <w:sz w:val="16"/>
        </w:rPr>
        <w:t xml:space="preserve"> </w:t>
      </w:r>
      <w:r>
        <w:rPr>
          <w:sz w:val="16"/>
        </w:rPr>
        <w:t>affirmed</w:t>
      </w:r>
      <w:r>
        <w:rPr>
          <w:spacing w:val="-3"/>
          <w:sz w:val="16"/>
        </w:rPr>
        <w:t xml:space="preserve"> </w:t>
      </w:r>
      <w:r>
        <w:rPr>
          <w:sz w:val="16"/>
        </w:rPr>
        <w:t>its</w:t>
      </w:r>
      <w:r>
        <w:rPr>
          <w:spacing w:val="-4"/>
          <w:sz w:val="16"/>
        </w:rPr>
        <w:t xml:space="preserve"> </w:t>
      </w:r>
      <w:r>
        <w:rPr>
          <w:sz w:val="16"/>
        </w:rPr>
        <w:t>commitment</w:t>
      </w:r>
      <w:r>
        <w:rPr>
          <w:spacing w:val="-2"/>
          <w:sz w:val="16"/>
        </w:rPr>
        <w:t xml:space="preserve"> </w:t>
      </w:r>
      <w:r>
        <w:rPr>
          <w:sz w:val="16"/>
        </w:rPr>
        <w:t>to</w:t>
      </w:r>
      <w:r>
        <w:rPr>
          <w:spacing w:val="-3"/>
          <w:sz w:val="16"/>
        </w:rPr>
        <w:t xml:space="preserve"> </w:t>
      </w:r>
      <w:r>
        <w:rPr>
          <w:sz w:val="16"/>
        </w:rPr>
        <w:t>advancing</w:t>
      </w:r>
      <w:r>
        <w:rPr>
          <w:spacing w:val="-4"/>
          <w:sz w:val="16"/>
        </w:rPr>
        <w:t xml:space="preserve"> </w:t>
      </w:r>
      <w:r>
        <w:rPr>
          <w:sz w:val="16"/>
        </w:rPr>
        <w:t>this</w:t>
      </w:r>
      <w:r>
        <w:rPr>
          <w:spacing w:val="-2"/>
          <w:sz w:val="16"/>
        </w:rPr>
        <w:t xml:space="preserve"> </w:t>
      </w:r>
      <w:r>
        <w:rPr>
          <w:sz w:val="16"/>
        </w:rPr>
        <w:t>agenda.</w:t>
      </w:r>
      <w:r>
        <w:rPr>
          <w:spacing w:val="-6"/>
          <w:sz w:val="16"/>
        </w:rPr>
        <w:t xml:space="preserve"> </w:t>
      </w:r>
      <w:r>
        <w:rPr>
          <w:sz w:val="16"/>
        </w:rPr>
        <w:t>The</w:t>
      </w:r>
      <w:r>
        <w:rPr>
          <w:spacing w:val="-2"/>
          <w:sz w:val="16"/>
        </w:rPr>
        <w:t xml:space="preserve"> </w:t>
      </w:r>
      <w:r>
        <w:rPr>
          <w:sz w:val="16"/>
        </w:rPr>
        <w:t>Government committed to applying its Development for All: 2015-2020 strategy to strengthen disability-inclusive development and its international Indigenous Peoples Strategy 2015-2019 to advance the interests of indigenous peoples in Australia and around the world.” See: United Nations General Assembly,</w:t>
      </w:r>
      <w:r>
        <w:rPr>
          <w:spacing w:val="-2"/>
          <w:sz w:val="16"/>
        </w:rPr>
        <w:t xml:space="preserve"> </w:t>
      </w:r>
      <w:r>
        <w:rPr>
          <w:sz w:val="16"/>
        </w:rPr>
        <w:t>Report</w:t>
      </w:r>
      <w:r>
        <w:rPr>
          <w:spacing w:val="-2"/>
          <w:sz w:val="16"/>
        </w:rPr>
        <w:t xml:space="preserve"> </w:t>
      </w:r>
      <w:r>
        <w:rPr>
          <w:sz w:val="16"/>
        </w:rPr>
        <w:t>of</w:t>
      </w:r>
      <w:r>
        <w:rPr>
          <w:spacing w:val="-2"/>
          <w:sz w:val="16"/>
        </w:rPr>
        <w:t xml:space="preserve"> </w:t>
      </w:r>
      <w:r>
        <w:rPr>
          <w:sz w:val="16"/>
        </w:rPr>
        <w:t>the</w:t>
      </w:r>
      <w:r>
        <w:rPr>
          <w:spacing w:val="-1"/>
          <w:sz w:val="16"/>
        </w:rPr>
        <w:t xml:space="preserve"> </w:t>
      </w:r>
      <w:r>
        <w:rPr>
          <w:sz w:val="16"/>
        </w:rPr>
        <w:t>Working</w:t>
      </w:r>
      <w:r>
        <w:rPr>
          <w:spacing w:val="-2"/>
          <w:sz w:val="16"/>
        </w:rPr>
        <w:t xml:space="preserve"> </w:t>
      </w:r>
      <w:r>
        <w:rPr>
          <w:sz w:val="16"/>
        </w:rPr>
        <w:t>Group</w:t>
      </w:r>
      <w:r>
        <w:rPr>
          <w:spacing w:val="-2"/>
          <w:sz w:val="16"/>
        </w:rPr>
        <w:t xml:space="preserve"> </w:t>
      </w:r>
      <w:r>
        <w:rPr>
          <w:sz w:val="16"/>
        </w:rPr>
        <w:t>on</w:t>
      </w:r>
      <w:r>
        <w:rPr>
          <w:spacing w:val="-2"/>
          <w:sz w:val="16"/>
        </w:rPr>
        <w:t xml:space="preserve"> </w:t>
      </w:r>
      <w:r>
        <w:rPr>
          <w:sz w:val="16"/>
        </w:rPr>
        <w:t>the</w:t>
      </w:r>
      <w:r>
        <w:rPr>
          <w:spacing w:val="-1"/>
          <w:sz w:val="16"/>
        </w:rPr>
        <w:t xml:space="preserve"> </w:t>
      </w:r>
      <w:r>
        <w:rPr>
          <w:sz w:val="16"/>
        </w:rPr>
        <w:t>Universal</w:t>
      </w:r>
      <w:r>
        <w:rPr>
          <w:spacing w:val="-2"/>
          <w:sz w:val="16"/>
        </w:rPr>
        <w:t xml:space="preserve"> </w:t>
      </w:r>
      <w:r>
        <w:rPr>
          <w:sz w:val="16"/>
        </w:rPr>
        <w:t>Periodic</w:t>
      </w:r>
      <w:r>
        <w:rPr>
          <w:spacing w:val="-2"/>
          <w:sz w:val="16"/>
        </w:rPr>
        <w:t xml:space="preserve"> </w:t>
      </w:r>
      <w:r>
        <w:rPr>
          <w:sz w:val="16"/>
        </w:rPr>
        <w:t>Review:</w:t>
      </w:r>
      <w:r>
        <w:rPr>
          <w:spacing w:val="-10"/>
          <w:sz w:val="16"/>
        </w:rPr>
        <w:t xml:space="preserve"> </w:t>
      </w:r>
      <w:r>
        <w:rPr>
          <w:sz w:val="16"/>
        </w:rPr>
        <w:t>Australia;</w:t>
      </w:r>
      <w:r>
        <w:rPr>
          <w:spacing w:val="-1"/>
          <w:sz w:val="16"/>
        </w:rPr>
        <w:t xml:space="preserve"> </w:t>
      </w:r>
      <w:r>
        <w:rPr>
          <w:sz w:val="16"/>
        </w:rPr>
        <w:t>2016,</w:t>
      </w:r>
      <w:r>
        <w:rPr>
          <w:spacing w:val="-2"/>
          <w:sz w:val="16"/>
        </w:rPr>
        <w:t xml:space="preserve"> </w:t>
      </w:r>
      <w:r>
        <w:rPr>
          <w:sz w:val="16"/>
        </w:rPr>
        <w:t>UN</w:t>
      </w:r>
      <w:r>
        <w:rPr>
          <w:spacing w:val="-2"/>
          <w:sz w:val="16"/>
        </w:rPr>
        <w:t xml:space="preserve"> </w:t>
      </w:r>
      <w:r>
        <w:rPr>
          <w:sz w:val="16"/>
        </w:rPr>
        <w:t>Doc.</w:t>
      </w:r>
      <w:r>
        <w:rPr>
          <w:spacing w:val="-2"/>
          <w:sz w:val="16"/>
        </w:rPr>
        <w:t xml:space="preserve"> </w:t>
      </w:r>
      <w:r>
        <w:rPr>
          <w:sz w:val="16"/>
        </w:rPr>
        <w:t>No:</w:t>
      </w:r>
      <w:r>
        <w:rPr>
          <w:spacing w:val="-10"/>
          <w:sz w:val="16"/>
        </w:rPr>
        <w:t xml:space="preserve"> </w:t>
      </w:r>
      <w:r>
        <w:rPr>
          <w:sz w:val="16"/>
        </w:rPr>
        <w:t>A/HRC/31/14</w:t>
      </w:r>
      <w:r>
        <w:rPr>
          <w:spacing w:val="-1"/>
          <w:sz w:val="16"/>
        </w:rPr>
        <w:t xml:space="preserve"> </w:t>
      </w:r>
      <w:r>
        <w:rPr>
          <w:sz w:val="16"/>
        </w:rPr>
        <w:t>[para</w:t>
      </w:r>
      <w:r>
        <w:rPr>
          <w:spacing w:val="-2"/>
          <w:sz w:val="16"/>
        </w:rPr>
        <w:t xml:space="preserve"> </w:t>
      </w:r>
      <w:r>
        <w:rPr>
          <w:sz w:val="16"/>
        </w:rPr>
        <w:t>145].</w:t>
      </w:r>
    </w:p>
    <w:p w:rsidR="007A0A6C" w:rsidRDefault="00660E26">
      <w:pPr>
        <w:pStyle w:val="ListParagraph"/>
        <w:numPr>
          <w:ilvl w:val="0"/>
          <w:numId w:val="1"/>
        </w:numPr>
        <w:tabs>
          <w:tab w:val="left" w:pos="742"/>
        </w:tabs>
        <w:spacing w:before="97"/>
        <w:ind w:left="741" w:hanging="401"/>
        <w:rPr>
          <w:sz w:val="16"/>
        </w:rPr>
      </w:pPr>
      <w:r>
        <w:rPr>
          <w:sz w:val="16"/>
        </w:rPr>
        <w:t>Transforming our world: the</w:t>
      </w:r>
      <w:r>
        <w:rPr>
          <w:color w:val="215E9E"/>
          <w:sz w:val="16"/>
        </w:rPr>
        <w:t xml:space="preserve"> </w:t>
      </w:r>
      <w:r>
        <w:rPr>
          <w:color w:val="215E9E"/>
          <w:sz w:val="16"/>
          <w:u w:val="single" w:color="215E9E"/>
        </w:rPr>
        <w:t>2030 Agenda for Sustainable Development</w:t>
      </w:r>
      <w:r>
        <w:rPr>
          <w:sz w:val="16"/>
        </w:rPr>
        <w:t>. See also:</w:t>
      </w:r>
      <w:r>
        <w:rPr>
          <w:color w:val="215E9E"/>
          <w:sz w:val="16"/>
        </w:rPr>
        <w:t xml:space="preserve"> </w:t>
      </w:r>
      <w:r>
        <w:rPr>
          <w:color w:val="215E9E"/>
          <w:sz w:val="16"/>
          <w:u w:val="single" w:color="215E9E"/>
        </w:rPr>
        <w:t>Sustainable Development</w:t>
      </w:r>
      <w:r>
        <w:rPr>
          <w:color w:val="215E9E"/>
          <w:spacing w:val="-21"/>
          <w:sz w:val="16"/>
          <w:u w:val="single" w:color="215E9E"/>
        </w:rPr>
        <w:t xml:space="preserve"> </w:t>
      </w:r>
      <w:r>
        <w:rPr>
          <w:color w:val="215E9E"/>
          <w:sz w:val="16"/>
          <w:u w:val="single" w:color="215E9E"/>
        </w:rPr>
        <w:t>Goals</w:t>
      </w:r>
      <w:r>
        <w:rPr>
          <w:sz w:val="16"/>
        </w:rPr>
        <w:t>.</w:t>
      </w:r>
    </w:p>
    <w:p w:rsidR="007A0A6C" w:rsidRDefault="00660E26">
      <w:pPr>
        <w:pStyle w:val="ListParagraph"/>
        <w:numPr>
          <w:ilvl w:val="0"/>
          <w:numId w:val="1"/>
        </w:numPr>
        <w:tabs>
          <w:tab w:val="left" w:pos="745"/>
        </w:tabs>
        <w:spacing w:line="261" w:lineRule="auto"/>
        <w:ind w:left="340" w:right="309" w:firstLine="0"/>
        <w:rPr>
          <w:sz w:val="16"/>
        </w:rPr>
      </w:pPr>
      <w:r>
        <w:rPr>
          <w:sz w:val="16"/>
        </w:rPr>
        <w:t>Department of Foreign Affairs and Trade (2105)</w:t>
      </w:r>
      <w:r>
        <w:rPr>
          <w:color w:val="215E9E"/>
          <w:sz w:val="16"/>
        </w:rPr>
        <w:t xml:space="preserve"> </w:t>
      </w:r>
      <w:r>
        <w:rPr>
          <w:color w:val="215E9E"/>
          <w:sz w:val="16"/>
          <w:u w:val="single" w:color="215E9E"/>
        </w:rPr>
        <w:t>Development for All 2015-2020: Strategy for strengthening disability-inclusive development in Australia’s aid</w:t>
      </w:r>
      <w:r>
        <w:rPr>
          <w:color w:val="215E9E"/>
          <w:spacing w:val="-2"/>
          <w:sz w:val="16"/>
          <w:u w:val="single" w:color="215E9E"/>
        </w:rPr>
        <w:t xml:space="preserve"> </w:t>
      </w:r>
      <w:r>
        <w:rPr>
          <w:color w:val="215E9E"/>
          <w:sz w:val="16"/>
          <w:u w:val="single" w:color="215E9E"/>
        </w:rPr>
        <w:t>program</w:t>
      </w:r>
      <w:r>
        <w:rPr>
          <w:sz w:val="16"/>
        </w:rPr>
        <w:t>.</w:t>
      </w:r>
    </w:p>
    <w:p w:rsidR="007A0A6C" w:rsidRDefault="00660E26">
      <w:pPr>
        <w:pStyle w:val="ListParagraph"/>
        <w:numPr>
          <w:ilvl w:val="0"/>
          <w:numId w:val="1"/>
        </w:numPr>
        <w:tabs>
          <w:tab w:val="left" w:pos="745"/>
        </w:tabs>
        <w:spacing w:before="98"/>
        <w:ind w:left="744" w:hanging="404"/>
        <w:rPr>
          <w:sz w:val="16"/>
        </w:rPr>
      </w:pPr>
      <w:r>
        <w:rPr>
          <w:sz w:val="16"/>
        </w:rPr>
        <w:t>Department</w:t>
      </w:r>
      <w:r>
        <w:rPr>
          <w:spacing w:val="-2"/>
          <w:sz w:val="16"/>
        </w:rPr>
        <w:t xml:space="preserve"> </w:t>
      </w:r>
      <w:r>
        <w:rPr>
          <w:sz w:val="16"/>
        </w:rPr>
        <w:t>of</w:t>
      </w:r>
      <w:r>
        <w:rPr>
          <w:spacing w:val="-2"/>
          <w:sz w:val="16"/>
        </w:rPr>
        <w:t xml:space="preserve"> </w:t>
      </w:r>
      <w:r>
        <w:rPr>
          <w:sz w:val="16"/>
        </w:rPr>
        <w:t>Foreign</w:t>
      </w:r>
      <w:r>
        <w:rPr>
          <w:spacing w:val="-9"/>
          <w:sz w:val="16"/>
        </w:rPr>
        <w:t xml:space="preserve"> </w:t>
      </w:r>
      <w:r>
        <w:rPr>
          <w:sz w:val="16"/>
        </w:rPr>
        <w:t>Affairs</w:t>
      </w:r>
      <w:r>
        <w:rPr>
          <w:spacing w:val="-1"/>
          <w:sz w:val="16"/>
        </w:rPr>
        <w:t xml:space="preserve"> </w:t>
      </w:r>
      <w:r>
        <w:rPr>
          <w:sz w:val="16"/>
        </w:rPr>
        <w:t>and</w:t>
      </w:r>
      <w:r>
        <w:rPr>
          <w:spacing w:val="-3"/>
          <w:sz w:val="16"/>
        </w:rPr>
        <w:t xml:space="preserve"> </w:t>
      </w:r>
      <w:r>
        <w:rPr>
          <w:sz w:val="16"/>
        </w:rPr>
        <w:t>Trade</w:t>
      </w:r>
      <w:r>
        <w:rPr>
          <w:spacing w:val="-1"/>
          <w:sz w:val="16"/>
        </w:rPr>
        <w:t xml:space="preserve"> </w:t>
      </w:r>
      <w:r>
        <w:rPr>
          <w:sz w:val="16"/>
        </w:rPr>
        <w:t xml:space="preserve">(2105) </w:t>
      </w:r>
      <w:r>
        <w:rPr>
          <w:spacing w:val="-6"/>
          <w:sz w:val="16"/>
        </w:rPr>
        <w:t>DFAT</w:t>
      </w:r>
      <w:r>
        <w:rPr>
          <w:color w:val="215E9E"/>
          <w:spacing w:val="-5"/>
          <w:sz w:val="16"/>
        </w:rPr>
        <w:t xml:space="preserve"> </w:t>
      </w:r>
      <w:r>
        <w:rPr>
          <w:color w:val="215E9E"/>
          <w:sz w:val="16"/>
          <w:u w:val="single" w:color="215E9E"/>
        </w:rPr>
        <w:t>Indigenous</w:t>
      </w:r>
      <w:r>
        <w:rPr>
          <w:color w:val="215E9E"/>
          <w:spacing w:val="-1"/>
          <w:sz w:val="16"/>
          <w:u w:val="single" w:color="215E9E"/>
        </w:rPr>
        <w:t xml:space="preserve"> </w:t>
      </w:r>
      <w:r>
        <w:rPr>
          <w:color w:val="215E9E"/>
          <w:sz w:val="16"/>
          <w:u w:val="single" w:color="215E9E"/>
        </w:rPr>
        <w:t>Peoples Strategy</w:t>
      </w:r>
      <w:r>
        <w:rPr>
          <w:color w:val="215E9E"/>
          <w:spacing w:val="-1"/>
          <w:sz w:val="16"/>
          <w:u w:val="single" w:color="215E9E"/>
        </w:rPr>
        <w:t xml:space="preserve"> </w:t>
      </w:r>
      <w:r>
        <w:rPr>
          <w:color w:val="215E9E"/>
          <w:sz w:val="16"/>
          <w:u w:val="single" w:color="215E9E"/>
        </w:rPr>
        <w:t>2015-2019</w:t>
      </w:r>
      <w:r>
        <w:rPr>
          <w:sz w:val="16"/>
        </w:rPr>
        <w:t>:</w:t>
      </w:r>
      <w:r>
        <w:rPr>
          <w:spacing w:val="-9"/>
          <w:sz w:val="16"/>
        </w:rPr>
        <w:t xml:space="preserve"> </w:t>
      </w:r>
      <w:r>
        <w:rPr>
          <w:sz w:val="16"/>
        </w:rPr>
        <w:t>A</w:t>
      </w:r>
      <w:r>
        <w:rPr>
          <w:spacing w:val="-10"/>
          <w:sz w:val="16"/>
        </w:rPr>
        <w:t xml:space="preserve"> </w:t>
      </w:r>
      <w:r>
        <w:rPr>
          <w:sz w:val="16"/>
        </w:rPr>
        <w:t>framework for</w:t>
      </w:r>
      <w:r>
        <w:rPr>
          <w:spacing w:val="-1"/>
          <w:sz w:val="16"/>
        </w:rPr>
        <w:t xml:space="preserve"> </w:t>
      </w:r>
      <w:r>
        <w:rPr>
          <w:sz w:val="16"/>
        </w:rPr>
        <w:t>action.</w:t>
      </w:r>
    </w:p>
    <w:p w:rsidR="007A0A6C" w:rsidRDefault="00660E26">
      <w:pPr>
        <w:pStyle w:val="ListParagraph"/>
        <w:numPr>
          <w:ilvl w:val="0"/>
          <w:numId w:val="1"/>
        </w:numPr>
        <w:tabs>
          <w:tab w:val="left" w:pos="742"/>
        </w:tabs>
        <w:spacing w:line="261" w:lineRule="auto"/>
        <w:ind w:left="340" w:right="337" w:firstLine="0"/>
        <w:jc w:val="both"/>
        <w:rPr>
          <w:sz w:val="16"/>
        </w:rPr>
      </w:pPr>
      <w:r>
        <w:rPr>
          <w:sz w:val="16"/>
        </w:rPr>
        <w:t>The</w:t>
      </w:r>
      <w:r>
        <w:rPr>
          <w:spacing w:val="-3"/>
          <w:sz w:val="16"/>
        </w:rPr>
        <w:t xml:space="preserve"> </w:t>
      </w:r>
      <w:r>
        <w:rPr>
          <w:sz w:val="16"/>
        </w:rPr>
        <w:t>Department</w:t>
      </w:r>
      <w:r>
        <w:rPr>
          <w:spacing w:val="-4"/>
          <w:sz w:val="16"/>
        </w:rPr>
        <w:t xml:space="preserve"> </w:t>
      </w:r>
      <w:r>
        <w:rPr>
          <w:sz w:val="16"/>
        </w:rPr>
        <w:t>of</w:t>
      </w:r>
      <w:r>
        <w:rPr>
          <w:spacing w:val="-4"/>
          <w:sz w:val="16"/>
        </w:rPr>
        <w:t xml:space="preserve"> </w:t>
      </w:r>
      <w:r>
        <w:rPr>
          <w:sz w:val="16"/>
        </w:rPr>
        <w:t>Social</w:t>
      </w:r>
      <w:r>
        <w:rPr>
          <w:spacing w:val="-3"/>
          <w:sz w:val="16"/>
        </w:rPr>
        <w:t xml:space="preserve"> </w:t>
      </w:r>
      <w:r>
        <w:rPr>
          <w:sz w:val="16"/>
        </w:rPr>
        <w:t>Services</w:t>
      </w:r>
      <w:r>
        <w:rPr>
          <w:spacing w:val="-2"/>
          <w:sz w:val="16"/>
        </w:rPr>
        <w:t xml:space="preserve"> </w:t>
      </w:r>
      <w:r>
        <w:rPr>
          <w:sz w:val="16"/>
        </w:rPr>
        <w:t>(DSS)</w:t>
      </w:r>
      <w:r>
        <w:rPr>
          <w:spacing w:val="-3"/>
          <w:sz w:val="16"/>
        </w:rPr>
        <w:t xml:space="preserve"> </w:t>
      </w:r>
      <w:r>
        <w:rPr>
          <w:sz w:val="16"/>
        </w:rPr>
        <w:t>and</w:t>
      </w:r>
      <w:r>
        <w:rPr>
          <w:spacing w:val="-4"/>
          <w:sz w:val="16"/>
        </w:rPr>
        <w:t xml:space="preserve"> </w:t>
      </w:r>
      <w:r>
        <w:rPr>
          <w:sz w:val="16"/>
        </w:rPr>
        <w:t>the</w:t>
      </w:r>
      <w:r>
        <w:rPr>
          <w:spacing w:val="-11"/>
          <w:sz w:val="16"/>
        </w:rPr>
        <w:t xml:space="preserve"> </w:t>
      </w:r>
      <w:r>
        <w:rPr>
          <w:sz w:val="16"/>
        </w:rPr>
        <w:t>Attorney-General’s</w:t>
      </w:r>
      <w:r>
        <w:rPr>
          <w:spacing w:val="-3"/>
          <w:sz w:val="16"/>
        </w:rPr>
        <w:t xml:space="preserve"> </w:t>
      </w:r>
      <w:r>
        <w:rPr>
          <w:sz w:val="16"/>
        </w:rPr>
        <w:t>Department</w:t>
      </w:r>
      <w:r>
        <w:rPr>
          <w:spacing w:val="-4"/>
          <w:sz w:val="16"/>
        </w:rPr>
        <w:t xml:space="preserve"> </w:t>
      </w:r>
      <w:r>
        <w:rPr>
          <w:sz w:val="16"/>
        </w:rPr>
        <w:t>(AGD)</w:t>
      </w:r>
      <w:r>
        <w:rPr>
          <w:spacing w:val="-2"/>
          <w:sz w:val="16"/>
        </w:rPr>
        <w:t xml:space="preserve"> </w:t>
      </w:r>
      <w:r>
        <w:rPr>
          <w:sz w:val="16"/>
        </w:rPr>
        <w:t>have</w:t>
      </w:r>
      <w:r>
        <w:rPr>
          <w:spacing w:val="-4"/>
          <w:sz w:val="16"/>
        </w:rPr>
        <w:t xml:space="preserve"> </w:t>
      </w:r>
      <w:r>
        <w:rPr>
          <w:sz w:val="16"/>
        </w:rPr>
        <w:t>been</w:t>
      </w:r>
      <w:r>
        <w:rPr>
          <w:spacing w:val="-4"/>
          <w:sz w:val="16"/>
        </w:rPr>
        <w:t xml:space="preserve"> </w:t>
      </w:r>
      <w:r>
        <w:rPr>
          <w:sz w:val="16"/>
        </w:rPr>
        <w:t>designated</w:t>
      </w:r>
      <w:r>
        <w:rPr>
          <w:spacing w:val="-4"/>
          <w:sz w:val="16"/>
        </w:rPr>
        <w:t xml:space="preserve"> </w:t>
      </w:r>
      <w:r>
        <w:rPr>
          <w:sz w:val="16"/>
        </w:rPr>
        <w:t>as</w:t>
      </w:r>
      <w:r>
        <w:rPr>
          <w:spacing w:val="-3"/>
          <w:sz w:val="16"/>
        </w:rPr>
        <w:t xml:space="preserve"> </w:t>
      </w:r>
      <w:r>
        <w:rPr>
          <w:sz w:val="16"/>
        </w:rPr>
        <w:t>the</w:t>
      </w:r>
      <w:r>
        <w:rPr>
          <w:spacing w:val="-3"/>
          <w:sz w:val="16"/>
        </w:rPr>
        <w:t xml:space="preserve"> </w:t>
      </w:r>
      <w:r>
        <w:rPr>
          <w:sz w:val="16"/>
        </w:rPr>
        <w:t>‘joint</w:t>
      </w:r>
      <w:r>
        <w:rPr>
          <w:spacing w:val="-4"/>
          <w:sz w:val="16"/>
        </w:rPr>
        <w:t xml:space="preserve"> </w:t>
      </w:r>
      <w:r>
        <w:rPr>
          <w:sz w:val="16"/>
        </w:rPr>
        <w:t>focal</w:t>
      </w:r>
      <w:r>
        <w:rPr>
          <w:spacing w:val="-3"/>
          <w:sz w:val="16"/>
        </w:rPr>
        <w:t xml:space="preserve"> </w:t>
      </w:r>
      <w:r>
        <w:rPr>
          <w:sz w:val="16"/>
        </w:rPr>
        <w:t>point’</w:t>
      </w:r>
      <w:r>
        <w:rPr>
          <w:spacing w:val="-8"/>
          <w:sz w:val="16"/>
        </w:rPr>
        <w:t xml:space="preserve"> </w:t>
      </w:r>
      <w:r>
        <w:rPr>
          <w:sz w:val="16"/>
        </w:rPr>
        <w:t>within the Australian Government to coordinate implementation of the CRPD. However, operational responsibility for implementation of the CRPD through the</w:t>
      </w:r>
      <w:r>
        <w:rPr>
          <w:spacing w:val="-2"/>
          <w:sz w:val="16"/>
        </w:rPr>
        <w:t xml:space="preserve"> </w:t>
      </w:r>
      <w:r>
        <w:rPr>
          <w:sz w:val="16"/>
        </w:rPr>
        <w:t>National</w:t>
      </w:r>
      <w:r>
        <w:rPr>
          <w:spacing w:val="-2"/>
          <w:sz w:val="16"/>
        </w:rPr>
        <w:t xml:space="preserve"> </w:t>
      </w:r>
      <w:r>
        <w:rPr>
          <w:sz w:val="16"/>
        </w:rPr>
        <w:t>Disability</w:t>
      </w:r>
      <w:r>
        <w:rPr>
          <w:spacing w:val="-2"/>
          <w:sz w:val="16"/>
        </w:rPr>
        <w:t xml:space="preserve"> </w:t>
      </w:r>
      <w:r>
        <w:rPr>
          <w:sz w:val="16"/>
        </w:rPr>
        <w:t>Strategy</w:t>
      </w:r>
      <w:r>
        <w:rPr>
          <w:spacing w:val="-1"/>
          <w:sz w:val="16"/>
        </w:rPr>
        <w:t xml:space="preserve"> </w:t>
      </w:r>
      <w:r>
        <w:rPr>
          <w:sz w:val="16"/>
        </w:rPr>
        <w:t>2010-2020</w:t>
      </w:r>
      <w:r>
        <w:rPr>
          <w:spacing w:val="-3"/>
          <w:sz w:val="16"/>
        </w:rPr>
        <w:t xml:space="preserve"> </w:t>
      </w:r>
      <w:r>
        <w:rPr>
          <w:sz w:val="16"/>
        </w:rPr>
        <w:t>(NDS)</w:t>
      </w:r>
      <w:r>
        <w:rPr>
          <w:spacing w:val="-1"/>
          <w:sz w:val="16"/>
        </w:rPr>
        <w:t xml:space="preserve"> </w:t>
      </w:r>
      <w:r>
        <w:rPr>
          <w:sz w:val="16"/>
        </w:rPr>
        <w:t>rests</w:t>
      </w:r>
      <w:r>
        <w:rPr>
          <w:spacing w:val="-1"/>
          <w:sz w:val="16"/>
        </w:rPr>
        <w:t xml:space="preserve"> </w:t>
      </w:r>
      <w:r>
        <w:rPr>
          <w:sz w:val="16"/>
        </w:rPr>
        <w:t>with</w:t>
      </w:r>
      <w:r>
        <w:rPr>
          <w:spacing w:val="-2"/>
          <w:sz w:val="16"/>
        </w:rPr>
        <w:t xml:space="preserve"> </w:t>
      </w:r>
      <w:r>
        <w:rPr>
          <w:sz w:val="16"/>
        </w:rPr>
        <w:t>DSS,</w:t>
      </w:r>
      <w:r>
        <w:rPr>
          <w:spacing w:val="-3"/>
          <w:sz w:val="16"/>
        </w:rPr>
        <w:t xml:space="preserve"> </w:t>
      </w:r>
      <w:r>
        <w:rPr>
          <w:sz w:val="16"/>
        </w:rPr>
        <w:t>and</w:t>
      </w:r>
      <w:r>
        <w:rPr>
          <w:spacing w:val="-2"/>
          <w:sz w:val="16"/>
        </w:rPr>
        <w:t xml:space="preserve"> </w:t>
      </w:r>
      <w:r>
        <w:rPr>
          <w:sz w:val="16"/>
        </w:rPr>
        <w:t>appears</w:t>
      </w:r>
      <w:r>
        <w:rPr>
          <w:spacing w:val="-2"/>
          <w:sz w:val="16"/>
        </w:rPr>
        <w:t xml:space="preserve"> </w:t>
      </w:r>
      <w:r>
        <w:rPr>
          <w:sz w:val="16"/>
        </w:rPr>
        <w:t>to</w:t>
      </w:r>
      <w:r>
        <w:rPr>
          <w:spacing w:val="-1"/>
          <w:sz w:val="16"/>
        </w:rPr>
        <w:t xml:space="preserve"> </w:t>
      </w:r>
      <w:r>
        <w:rPr>
          <w:sz w:val="16"/>
        </w:rPr>
        <w:t>be</w:t>
      </w:r>
      <w:r>
        <w:rPr>
          <w:spacing w:val="-3"/>
          <w:sz w:val="16"/>
        </w:rPr>
        <w:t xml:space="preserve"> </w:t>
      </w:r>
      <w:r>
        <w:rPr>
          <w:sz w:val="16"/>
        </w:rPr>
        <w:t>confined</w:t>
      </w:r>
      <w:r>
        <w:rPr>
          <w:spacing w:val="-1"/>
          <w:sz w:val="16"/>
        </w:rPr>
        <w:t xml:space="preserve"> </w:t>
      </w:r>
      <w:r>
        <w:rPr>
          <w:sz w:val="16"/>
        </w:rPr>
        <w:t>to</w:t>
      </w:r>
      <w:r>
        <w:rPr>
          <w:spacing w:val="-1"/>
          <w:sz w:val="16"/>
        </w:rPr>
        <w:t xml:space="preserve"> </w:t>
      </w:r>
      <w:r>
        <w:rPr>
          <w:sz w:val="16"/>
        </w:rPr>
        <w:t>a</w:t>
      </w:r>
      <w:r>
        <w:rPr>
          <w:spacing w:val="-2"/>
          <w:sz w:val="16"/>
        </w:rPr>
        <w:t xml:space="preserve"> </w:t>
      </w:r>
      <w:r>
        <w:rPr>
          <w:sz w:val="16"/>
        </w:rPr>
        <w:t>disability</w:t>
      </w:r>
      <w:r>
        <w:rPr>
          <w:spacing w:val="-2"/>
          <w:sz w:val="16"/>
        </w:rPr>
        <w:t xml:space="preserve"> </w:t>
      </w:r>
      <w:r>
        <w:rPr>
          <w:sz w:val="16"/>
        </w:rPr>
        <w:t>policy</w:t>
      </w:r>
      <w:r>
        <w:rPr>
          <w:spacing w:val="-3"/>
          <w:sz w:val="16"/>
        </w:rPr>
        <w:t xml:space="preserve"> </w:t>
      </w:r>
      <w:r>
        <w:rPr>
          <w:sz w:val="16"/>
        </w:rPr>
        <w:t>responsibility.</w:t>
      </w:r>
    </w:p>
    <w:p w:rsidR="007A0A6C" w:rsidRDefault="00660E26">
      <w:pPr>
        <w:pStyle w:val="ListParagraph"/>
        <w:numPr>
          <w:ilvl w:val="0"/>
          <w:numId w:val="1"/>
        </w:numPr>
        <w:tabs>
          <w:tab w:val="left" w:pos="736"/>
        </w:tabs>
        <w:spacing w:before="99"/>
        <w:ind w:hanging="395"/>
        <w:rPr>
          <w:sz w:val="16"/>
        </w:rPr>
      </w:pPr>
      <w:r>
        <w:rPr>
          <w:sz w:val="16"/>
        </w:rPr>
        <w:t>Australian Government,</w:t>
      </w:r>
      <w:r>
        <w:rPr>
          <w:color w:val="215E9E"/>
          <w:sz w:val="16"/>
        </w:rPr>
        <w:t xml:space="preserve"> </w:t>
      </w:r>
      <w:r>
        <w:rPr>
          <w:color w:val="215E9E"/>
          <w:sz w:val="16"/>
          <w:u w:val="single" w:color="215E9E"/>
        </w:rPr>
        <w:t>Universal Periodic Review monitoring</w:t>
      </w:r>
      <w:r>
        <w:rPr>
          <w:sz w:val="16"/>
        </w:rPr>
        <w:t>. Attorney-General’s Department,</w:t>
      </w:r>
      <w:r>
        <w:rPr>
          <w:spacing w:val="-17"/>
          <w:sz w:val="16"/>
        </w:rPr>
        <w:t xml:space="preserve"> </w:t>
      </w:r>
      <w:r>
        <w:rPr>
          <w:sz w:val="16"/>
        </w:rPr>
        <w:t>Canberra.</w:t>
      </w:r>
    </w:p>
    <w:sectPr w:rsidR="007A0A6C">
      <w:pgSz w:w="11910" w:h="16840"/>
      <w:pgMar w:top="600" w:right="440" w:bottom="540" w:left="380" w:header="0" w:footer="34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638C1" w:rsidRDefault="004638C1">
      <w:r>
        <w:separator/>
      </w:r>
    </w:p>
  </w:endnote>
  <w:endnote w:type="continuationSeparator" w:id="0">
    <w:p w:rsidR="004638C1" w:rsidRDefault="004638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Raleway-SemiBold">
    <w:altName w:val="Raleway"/>
    <w:panose1 w:val="020B0703030101060003"/>
    <w:charset w:val="4D"/>
    <w:family w:val="swiss"/>
    <w:pitch w:val="variable"/>
    <w:sig w:usb0="A00002FF" w:usb1="5000205B" w:usb2="00000000" w:usb3="00000000" w:csb0="00000097" w:csb1="00000000"/>
  </w:font>
  <w:font w:name="Raleway">
    <w:altName w:val="Raleway"/>
    <w:panose1 w:val="020B0503030101060003"/>
    <w:charset w:val="00"/>
    <w:family w:val="swiss"/>
    <w:pitch w:val="variable"/>
    <w:sig w:usb0="A00000BF" w:usb1="5000005B" w:usb2="00000000" w:usb3="00000000" w:csb0="00000093" w:csb1="00000000"/>
  </w:font>
  <w:font w:name="Cambria">
    <w:panose1 w:val="02040503050406030204"/>
    <w:charset w:val="00"/>
    <w:family w:val="roman"/>
    <w:pitch w:val="variable"/>
    <w:sig w:usb0="A00002EF" w:usb1="4000004B" w:usb2="00000000" w:usb3="00000000" w:csb0="0000009F" w:csb1="00000000"/>
  </w:font>
  <w:font w:name="Raleway-ExtraBold">
    <w:altName w:val="Raleway"/>
    <w:panose1 w:val="020B0903030101060003"/>
    <w:charset w:val="4D"/>
    <w:family w:val="swiss"/>
    <w:pitch w:val="variable"/>
    <w:sig w:usb0="A00002FF" w:usb1="5000205B" w:usb2="00000000" w:usb3="00000000" w:csb0="00000097" w:csb1="00000000"/>
  </w:font>
  <w:font w:name="Raleway-Black">
    <w:altName w:val="Raleway"/>
    <w:panose1 w:val="020B0A03030101060003"/>
    <w:charset w:val="4D"/>
    <w:family w:val="swiss"/>
    <w:pitch w:val="variable"/>
    <w:sig w:usb0="A00002FF" w:usb1="5000205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0A6C" w:rsidRDefault="004638C1">
    <w:pPr>
      <w:pStyle w:val="BodyText"/>
      <w:spacing w:line="14" w:lineRule="auto"/>
      <w:ind w:left="0"/>
      <w:rPr>
        <w:sz w:val="20"/>
      </w:rPr>
    </w:pPr>
    <w:r>
      <w:pict>
        <v:line id="_x0000_s2054" alt="" style="position:absolute;z-index:-33232;mso-wrap-edited:f;mso-width-percent:0;mso-height-percent:0;mso-position-horizontal-relative:page;mso-position-vertical-relative:page;mso-width-percent:0;mso-height-percent:0" from="571.3pt,815.75pt" to="571.3pt,815.75pt" strokecolor="#b31d30" strokeweight="2pt">
          <w10:wrap anchorx="page" anchory="page"/>
        </v:line>
      </w:pict>
    </w:r>
    <w:r>
      <w:pict>
        <v:shapetype id="_x0000_t202" coordsize="21600,21600" o:spt="202" path="m,l,21600r21600,l21600,xe">
          <v:stroke joinstyle="miter"/>
          <v:path gradientshapeok="t" o:connecttype="rect"/>
        </v:shapetype>
        <v:shape id="_x0000_s2053" type="#_x0000_t202" alt="" style="position:absolute;margin-left:446.6pt;margin-top:821.45pt;width:113.7pt;height:12.6pt;z-index:-33208;mso-wrap-style:square;mso-wrap-edited:f;mso-width-percent:0;mso-height-percent:0;mso-position-horizontal-relative:page;mso-position-vertical-relative:page;mso-width-percent:0;mso-height-percent:0;v-text-anchor:top" filled="f" stroked="f">
          <v:textbox inset="0,0,0,0">
            <w:txbxContent>
              <w:p w:rsidR="007A0A6C" w:rsidRDefault="00660E26">
                <w:pPr>
                  <w:spacing w:before="20"/>
                  <w:ind w:left="20"/>
                  <w:rPr>
                    <w:rFonts w:ascii="Raleway-SemiBold"/>
                    <w:b/>
                    <w:sz w:val="18"/>
                  </w:rPr>
                </w:pPr>
                <w:r>
                  <w:rPr>
                    <w:rFonts w:ascii="Raleway-SemiBold"/>
                    <w:b/>
                    <w:sz w:val="18"/>
                  </w:rPr>
                  <w:t>Disability Rights Now 2019</w:t>
                </w:r>
              </w:p>
            </w:txbxContent>
          </v:textbox>
          <w10:wrap anchorx="page" anchory="page"/>
        </v:shape>
      </w:pict>
    </w:r>
    <w:r>
      <w:pict>
        <v:shape id="_x0000_s2052" type="#_x0000_t202" alt="" style="position:absolute;margin-left:573.3pt;margin-top:821.45pt;width:10pt;height:13.75pt;z-index:-33184;mso-wrap-style:square;mso-wrap-edited:f;mso-width-percent:0;mso-height-percent:0;mso-position-horizontal-relative:page;mso-position-vertical-relative:page;mso-width-percent:0;mso-height-percent:0;v-text-anchor:top" filled="f" stroked="f">
          <v:textbox inset="0,0,0,0">
            <w:txbxContent>
              <w:p w:rsidR="007A0A6C" w:rsidRDefault="00660E26">
                <w:pPr>
                  <w:spacing w:before="20"/>
                  <w:ind w:left="40"/>
                  <w:rPr>
                    <w:rFonts w:ascii="Raleway-Black"/>
                    <w:b/>
                    <w:sz w:val="20"/>
                  </w:rPr>
                </w:pPr>
                <w:r>
                  <w:fldChar w:fldCharType="begin"/>
                </w:r>
                <w:r>
                  <w:rPr>
                    <w:rFonts w:ascii="Raleway-Black"/>
                    <w:b/>
                    <w:sz w:val="20"/>
                  </w:rPr>
                  <w:instrText xml:space="preserve"> PAGE </w:instrText>
                </w:r>
                <w:r>
                  <w:fldChar w:fldCharType="separate"/>
                </w:r>
                <w:r>
                  <w:t>2</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0A6C" w:rsidRDefault="004638C1">
    <w:pPr>
      <w:pStyle w:val="BodyText"/>
      <w:spacing w:line="14" w:lineRule="auto"/>
      <w:ind w:left="0"/>
      <w:rPr>
        <w:sz w:val="20"/>
      </w:rPr>
    </w:pPr>
    <w:r>
      <w:pict>
        <v:line id="_x0000_s2051" alt="" style="position:absolute;z-index:-33160;mso-wrap-edited:f;mso-width-percent:0;mso-height-percent:0;mso-position-horizontal-relative:page;mso-position-vertical-relative:page;mso-width-percent:0;mso-height-percent:0" from="571.3pt,815.75pt" to="571.3pt,815.75pt" strokecolor="#b31d30" strokeweight="2pt">
          <w10:wrap anchorx="page" anchory="page"/>
        </v:line>
      </w:pict>
    </w:r>
    <w:r>
      <w:pict>
        <v:shapetype id="_x0000_t202" coordsize="21600,21600" o:spt="202" path="m,l,21600r21600,l21600,xe">
          <v:stroke joinstyle="miter"/>
          <v:path gradientshapeok="t" o:connecttype="rect"/>
        </v:shapetype>
        <v:shape id="_x0000_s2050" type="#_x0000_t202" alt="" style="position:absolute;margin-left:446.6pt;margin-top:821.45pt;width:113.7pt;height:12.6pt;z-index:-33136;mso-wrap-style:square;mso-wrap-edited:f;mso-width-percent:0;mso-height-percent:0;mso-position-horizontal-relative:page;mso-position-vertical-relative:page;mso-width-percent:0;mso-height-percent:0;v-text-anchor:top" filled="f" stroked="f">
          <v:textbox inset="0,0,0,0">
            <w:txbxContent>
              <w:p w:rsidR="007A0A6C" w:rsidRDefault="00660E26">
                <w:pPr>
                  <w:spacing w:before="20"/>
                  <w:ind w:left="20"/>
                  <w:rPr>
                    <w:rFonts w:ascii="Raleway-SemiBold"/>
                    <w:b/>
                    <w:sz w:val="18"/>
                  </w:rPr>
                </w:pPr>
                <w:r>
                  <w:rPr>
                    <w:rFonts w:ascii="Raleway-SemiBold"/>
                    <w:b/>
                    <w:sz w:val="18"/>
                  </w:rPr>
                  <w:t>Disability Rights Now 2019</w:t>
                </w:r>
              </w:p>
            </w:txbxContent>
          </v:textbox>
          <w10:wrap anchorx="page" anchory="page"/>
        </v:shape>
      </w:pict>
    </w:r>
    <w:r>
      <w:pict>
        <v:shape id="_x0000_s2049" type="#_x0000_t202" alt="" style="position:absolute;margin-left:567.15pt;margin-top:821.45pt;width:16.15pt;height:13.75pt;z-index:-33112;mso-wrap-style:square;mso-wrap-edited:f;mso-width-percent:0;mso-height-percent:0;mso-position-horizontal-relative:page;mso-position-vertical-relative:page;mso-width-percent:0;mso-height-percent:0;v-text-anchor:top" filled="f" stroked="f">
          <v:textbox inset="0,0,0,0">
            <w:txbxContent>
              <w:p w:rsidR="007A0A6C" w:rsidRDefault="00660E26">
                <w:pPr>
                  <w:spacing w:before="20"/>
                  <w:ind w:left="40"/>
                  <w:rPr>
                    <w:rFonts w:ascii="Raleway-Black"/>
                    <w:b/>
                    <w:sz w:val="20"/>
                  </w:rPr>
                </w:pPr>
                <w:r>
                  <w:fldChar w:fldCharType="begin"/>
                </w:r>
                <w:r>
                  <w:rPr>
                    <w:rFonts w:ascii="Raleway-Black"/>
                    <w:b/>
                    <w:sz w:val="20"/>
                  </w:rPr>
                  <w:instrText xml:space="preserve"> PAGE </w:instrText>
                </w:r>
                <w:r>
                  <w:fldChar w:fldCharType="separate"/>
                </w:r>
                <w:r>
                  <w:t>20</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638C1" w:rsidRDefault="004638C1">
      <w:r>
        <w:separator/>
      </w:r>
    </w:p>
  </w:footnote>
  <w:footnote w:type="continuationSeparator" w:id="0">
    <w:p w:rsidR="004638C1" w:rsidRDefault="004638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785D73"/>
    <w:multiLevelType w:val="hybridMultilevel"/>
    <w:tmpl w:val="9FA6151E"/>
    <w:lvl w:ilvl="0" w:tplc="96723372">
      <w:numFmt w:val="bullet"/>
      <w:lvlText w:val="•"/>
      <w:lvlJc w:val="left"/>
      <w:pPr>
        <w:ind w:left="1060" w:hanging="205"/>
      </w:pPr>
      <w:rPr>
        <w:rFonts w:ascii="Arial" w:eastAsia="Arial" w:hAnsi="Arial" w:cs="Arial" w:hint="default"/>
        <w:spacing w:val="-14"/>
        <w:w w:val="98"/>
        <w:sz w:val="24"/>
        <w:szCs w:val="24"/>
        <w:lang w:val="en-GB" w:eastAsia="en-GB" w:bidi="en-GB"/>
      </w:rPr>
    </w:lvl>
    <w:lvl w:ilvl="1" w:tplc="286639D0">
      <w:numFmt w:val="bullet"/>
      <w:lvlText w:val="•"/>
      <w:lvlJc w:val="left"/>
      <w:pPr>
        <w:ind w:left="2062" w:hanging="205"/>
      </w:pPr>
      <w:rPr>
        <w:rFonts w:hint="default"/>
        <w:lang w:val="en-GB" w:eastAsia="en-GB" w:bidi="en-GB"/>
      </w:rPr>
    </w:lvl>
    <w:lvl w:ilvl="2" w:tplc="61FA3BA0">
      <w:numFmt w:val="bullet"/>
      <w:lvlText w:val="•"/>
      <w:lvlJc w:val="left"/>
      <w:pPr>
        <w:ind w:left="3065" w:hanging="205"/>
      </w:pPr>
      <w:rPr>
        <w:rFonts w:hint="default"/>
        <w:lang w:val="en-GB" w:eastAsia="en-GB" w:bidi="en-GB"/>
      </w:rPr>
    </w:lvl>
    <w:lvl w:ilvl="3" w:tplc="B6A0918A">
      <w:numFmt w:val="bullet"/>
      <w:lvlText w:val="•"/>
      <w:lvlJc w:val="left"/>
      <w:pPr>
        <w:ind w:left="4067" w:hanging="205"/>
      </w:pPr>
      <w:rPr>
        <w:rFonts w:hint="default"/>
        <w:lang w:val="en-GB" w:eastAsia="en-GB" w:bidi="en-GB"/>
      </w:rPr>
    </w:lvl>
    <w:lvl w:ilvl="4" w:tplc="C09CBFFA">
      <w:numFmt w:val="bullet"/>
      <w:lvlText w:val="•"/>
      <w:lvlJc w:val="left"/>
      <w:pPr>
        <w:ind w:left="5070" w:hanging="205"/>
      </w:pPr>
      <w:rPr>
        <w:rFonts w:hint="default"/>
        <w:lang w:val="en-GB" w:eastAsia="en-GB" w:bidi="en-GB"/>
      </w:rPr>
    </w:lvl>
    <w:lvl w:ilvl="5" w:tplc="7E0E45B4">
      <w:numFmt w:val="bullet"/>
      <w:lvlText w:val="•"/>
      <w:lvlJc w:val="left"/>
      <w:pPr>
        <w:ind w:left="6072" w:hanging="205"/>
      </w:pPr>
      <w:rPr>
        <w:rFonts w:hint="default"/>
        <w:lang w:val="en-GB" w:eastAsia="en-GB" w:bidi="en-GB"/>
      </w:rPr>
    </w:lvl>
    <w:lvl w:ilvl="6" w:tplc="69F42538">
      <w:numFmt w:val="bullet"/>
      <w:lvlText w:val="•"/>
      <w:lvlJc w:val="left"/>
      <w:pPr>
        <w:ind w:left="7075" w:hanging="205"/>
      </w:pPr>
      <w:rPr>
        <w:rFonts w:hint="default"/>
        <w:lang w:val="en-GB" w:eastAsia="en-GB" w:bidi="en-GB"/>
      </w:rPr>
    </w:lvl>
    <w:lvl w:ilvl="7" w:tplc="3888254A">
      <w:numFmt w:val="bullet"/>
      <w:lvlText w:val="•"/>
      <w:lvlJc w:val="left"/>
      <w:pPr>
        <w:ind w:left="8077" w:hanging="205"/>
      </w:pPr>
      <w:rPr>
        <w:rFonts w:hint="default"/>
        <w:lang w:val="en-GB" w:eastAsia="en-GB" w:bidi="en-GB"/>
      </w:rPr>
    </w:lvl>
    <w:lvl w:ilvl="8" w:tplc="E8DC0784">
      <w:numFmt w:val="bullet"/>
      <w:lvlText w:val="•"/>
      <w:lvlJc w:val="left"/>
      <w:pPr>
        <w:ind w:left="9080" w:hanging="205"/>
      </w:pPr>
      <w:rPr>
        <w:rFonts w:hint="default"/>
        <w:lang w:val="en-GB" w:eastAsia="en-GB" w:bidi="en-GB"/>
      </w:rPr>
    </w:lvl>
  </w:abstractNum>
  <w:abstractNum w:abstractNumId="1" w15:restartNumberingAfterBreak="0">
    <w:nsid w:val="164336FD"/>
    <w:multiLevelType w:val="hybridMultilevel"/>
    <w:tmpl w:val="8A9ACBE2"/>
    <w:lvl w:ilvl="0" w:tplc="3B50DAA4">
      <w:start w:val="16"/>
      <w:numFmt w:val="decimal"/>
      <w:lvlText w:val="%1."/>
      <w:lvlJc w:val="left"/>
      <w:pPr>
        <w:ind w:left="1160" w:hanging="741"/>
      </w:pPr>
      <w:rPr>
        <w:rFonts w:ascii="Arial" w:eastAsia="Arial" w:hAnsi="Arial" w:cs="Arial" w:hint="default"/>
        <w:spacing w:val="-1"/>
        <w:w w:val="98"/>
        <w:sz w:val="22"/>
        <w:szCs w:val="22"/>
        <w:lang w:val="en-GB" w:eastAsia="en-GB" w:bidi="en-GB"/>
      </w:rPr>
    </w:lvl>
    <w:lvl w:ilvl="1" w:tplc="76B68A2A">
      <w:numFmt w:val="bullet"/>
      <w:lvlText w:val="•"/>
      <w:lvlJc w:val="left"/>
      <w:pPr>
        <w:ind w:left="1060" w:hanging="205"/>
      </w:pPr>
      <w:rPr>
        <w:rFonts w:ascii="Arial" w:eastAsia="Arial" w:hAnsi="Arial" w:cs="Arial" w:hint="default"/>
        <w:spacing w:val="-14"/>
        <w:w w:val="100"/>
        <w:sz w:val="24"/>
        <w:szCs w:val="24"/>
        <w:lang w:val="en-GB" w:eastAsia="en-GB" w:bidi="en-GB"/>
      </w:rPr>
    </w:lvl>
    <w:lvl w:ilvl="2" w:tplc="FE4EA9C2">
      <w:numFmt w:val="bullet"/>
      <w:lvlText w:val="•"/>
      <w:lvlJc w:val="left"/>
      <w:pPr>
        <w:ind w:left="2262" w:hanging="205"/>
      </w:pPr>
      <w:rPr>
        <w:rFonts w:hint="default"/>
        <w:lang w:val="en-GB" w:eastAsia="en-GB" w:bidi="en-GB"/>
      </w:rPr>
    </w:lvl>
    <w:lvl w:ilvl="3" w:tplc="28E06E0E">
      <w:numFmt w:val="bullet"/>
      <w:lvlText w:val="•"/>
      <w:lvlJc w:val="left"/>
      <w:pPr>
        <w:ind w:left="3365" w:hanging="205"/>
      </w:pPr>
      <w:rPr>
        <w:rFonts w:hint="default"/>
        <w:lang w:val="en-GB" w:eastAsia="en-GB" w:bidi="en-GB"/>
      </w:rPr>
    </w:lvl>
    <w:lvl w:ilvl="4" w:tplc="93324FFE">
      <w:numFmt w:val="bullet"/>
      <w:lvlText w:val="•"/>
      <w:lvlJc w:val="left"/>
      <w:pPr>
        <w:ind w:left="4468" w:hanging="205"/>
      </w:pPr>
      <w:rPr>
        <w:rFonts w:hint="default"/>
        <w:lang w:val="en-GB" w:eastAsia="en-GB" w:bidi="en-GB"/>
      </w:rPr>
    </w:lvl>
    <w:lvl w:ilvl="5" w:tplc="3B9E7942">
      <w:numFmt w:val="bullet"/>
      <w:lvlText w:val="•"/>
      <w:lvlJc w:val="left"/>
      <w:pPr>
        <w:ind w:left="5571" w:hanging="205"/>
      </w:pPr>
      <w:rPr>
        <w:rFonts w:hint="default"/>
        <w:lang w:val="en-GB" w:eastAsia="en-GB" w:bidi="en-GB"/>
      </w:rPr>
    </w:lvl>
    <w:lvl w:ilvl="6" w:tplc="71040C44">
      <w:numFmt w:val="bullet"/>
      <w:lvlText w:val="•"/>
      <w:lvlJc w:val="left"/>
      <w:pPr>
        <w:ind w:left="6674" w:hanging="205"/>
      </w:pPr>
      <w:rPr>
        <w:rFonts w:hint="default"/>
        <w:lang w:val="en-GB" w:eastAsia="en-GB" w:bidi="en-GB"/>
      </w:rPr>
    </w:lvl>
    <w:lvl w:ilvl="7" w:tplc="E6423128">
      <w:numFmt w:val="bullet"/>
      <w:lvlText w:val="•"/>
      <w:lvlJc w:val="left"/>
      <w:pPr>
        <w:ind w:left="7777" w:hanging="205"/>
      </w:pPr>
      <w:rPr>
        <w:rFonts w:hint="default"/>
        <w:lang w:val="en-GB" w:eastAsia="en-GB" w:bidi="en-GB"/>
      </w:rPr>
    </w:lvl>
    <w:lvl w:ilvl="8" w:tplc="384AC714">
      <w:numFmt w:val="bullet"/>
      <w:lvlText w:val="•"/>
      <w:lvlJc w:val="left"/>
      <w:pPr>
        <w:ind w:left="8879" w:hanging="205"/>
      </w:pPr>
      <w:rPr>
        <w:rFonts w:hint="default"/>
        <w:lang w:val="en-GB" w:eastAsia="en-GB" w:bidi="en-GB"/>
      </w:rPr>
    </w:lvl>
  </w:abstractNum>
  <w:abstractNum w:abstractNumId="2" w15:restartNumberingAfterBreak="0">
    <w:nsid w:val="265F4D94"/>
    <w:multiLevelType w:val="hybridMultilevel"/>
    <w:tmpl w:val="E08ACE74"/>
    <w:lvl w:ilvl="0" w:tplc="DECCB30A">
      <w:start w:val="29"/>
      <w:numFmt w:val="decimal"/>
      <w:lvlText w:val="%1."/>
      <w:lvlJc w:val="left"/>
      <w:pPr>
        <w:ind w:left="1060" w:hanging="721"/>
      </w:pPr>
      <w:rPr>
        <w:rFonts w:ascii="Arial" w:eastAsia="Arial" w:hAnsi="Arial" w:cs="Arial" w:hint="default"/>
        <w:spacing w:val="-12"/>
        <w:w w:val="98"/>
        <w:sz w:val="22"/>
        <w:szCs w:val="22"/>
        <w:lang w:val="en-GB" w:eastAsia="en-GB" w:bidi="en-GB"/>
      </w:rPr>
    </w:lvl>
    <w:lvl w:ilvl="1" w:tplc="3B50BEB8">
      <w:numFmt w:val="bullet"/>
      <w:lvlText w:val="•"/>
      <w:lvlJc w:val="left"/>
      <w:pPr>
        <w:ind w:left="1060" w:hanging="205"/>
      </w:pPr>
      <w:rPr>
        <w:rFonts w:ascii="Arial" w:eastAsia="Arial" w:hAnsi="Arial" w:cs="Arial" w:hint="default"/>
        <w:spacing w:val="-14"/>
        <w:w w:val="100"/>
        <w:sz w:val="24"/>
        <w:szCs w:val="24"/>
        <w:lang w:val="en-GB" w:eastAsia="en-GB" w:bidi="en-GB"/>
      </w:rPr>
    </w:lvl>
    <w:lvl w:ilvl="2" w:tplc="138E98F8">
      <w:numFmt w:val="bullet"/>
      <w:lvlText w:val="•"/>
      <w:lvlJc w:val="left"/>
      <w:pPr>
        <w:ind w:left="3065" w:hanging="205"/>
      </w:pPr>
      <w:rPr>
        <w:rFonts w:hint="default"/>
        <w:lang w:val="en-GB" w:eastAsia="en-GB" w:bidi="en-GB"/>
      </w:rPr>
    </w:lvl>
    <w:lvl w:ilvl="3" w:tplc="E496F0A8">
      <w:numFmt w:val="bullet"/>
      <w:lvlText w:val="•"/>
      <w:lvlJc w:val="left"/>
      <w:pPr>
        <w:ind w:left="4067" w:hanging="205"/>
      </w:pPr>
      <w:rPr>
        <w:rFonts w:hint="default"/>
        <w:lang w:val="en-GB" w:eastAsia="en-GB" w:bidi="en-GB"/>
      </w:rPr>
    </w:lvl>
    <w:lvl w:ilvl="4" w:tplc="FE8038FA">
      <w:numFmt w:val="bullet"/>
      <w:lvlText w:val="•"/>
      <w:lvlJc w:val="left"/>
      <w:pPr>
        <w:ind w:left="5070" w:hanging="205"/>
      </w:pPr>
      <w:rPr>
        <w:rFonts w:hint="default"/>
        <w:lang w:val="en-GB" w:eastAsia="en-GB" w:bidi="en-GB"/>
      </w:rPr>
    </w:lvl>
    <w:lvl w:ilvl="5" w:tplc="2FA098AC">
      <w:numFmt w:val="bullet"/>
      <w:lvlText w:val="•"/>
      <w:lvlJc w:val="left"/>
      <w:pPr>
        <w:ind w:left="6072" w:hanging="205"/>
      </w:pPr>
      <w:rPr>
        <w:rFonts w:hint="default"/>
        <w:lang w:val="en-GB" w:eastAsia="en-GB" w:bidi="en-GB"/>
      </w:rPr>
    </w:lvl>
    <w:lvl w:ilvl="6" w:tplc="79A65616">
      <w:numFmt w:val="bullet"/>
      <w:lvlText w:val="•"/>
      <w:lvlJc w:val="left"/>
      <w:pPr>
        <w:ind w:left="7075" w:hanging="205"/>
      </w:pPr>
      <w:rPr>
        <w:rFonts w:hint="default"/>
        <w:lang w:val="en-GB" w:eastAsia="en-GB" w:bidi="en-GB"/>
      </w:rPr>
    </w:lvl>
    <w:lvl w:ilvl="7" w:tplc="DD92AF92">
      <w:numFmt w:val="bullet"/>
      <w:lvlText w:val="•"/>
      <w:lvlJc w:val="left"/>
      <w:pPr>
        <w:ind w:left="8077" w:hanging="205"/>
      </w:pPr>
      <w:rPr>
        <w:rFonts w:hint="default"/>
        <w:lang w:val="en-GB" w:eastAsia="en-GB" w:bidi="en-GB"/>
      </w:rPr>
    </w:lvl>
    <w:lvl w:ilvl="8" w:tplc="2864CA12">
      <w:numFmt w:val="bullet"/>
      <w:lvlText w:val="•"/>
      <w:lvlJc w:val="left"/>
      <w:pPr>
        <w:ind w:left="9080" w:hanging="205"/>
      </w:pPr>
      <w:rPr>
        <w:rFonts w:hint="default"/>
        <w:lang w:val="en-GB" w:eastAsia="en-GB" w:bidi="en-GB"/>
      </w:rPr>
    </w:lvl>
  </w:abstractNum>
  <w:abstractNum w:abstractNumId="3" w15:restartNumberingAfterBreak="0">
    <w:nsid w:val="2A2B7D28"/>
    <w:multiLevelType w:val="hybridMultilevel"/>
    <w:tmpl w:val="6B201856"/>
    <w:lvl w:ilvl="0" w:tplc="0C927E54">
      <w:start w:val="5"/>
      <w:numFmt w:val="decimal"/>
      <w:lvlText w:val="%1."/>
      <w:lvlJc w:val="left"/>
      <w:pPr>
        <w:ind w:left="1060" w:hanging="640"/>
      </w:pPr>
      <w:rPr>
        <w:rFonts w:ascii="Arial" w:eastAsia="Arial" w:hAnsi="Arial" w:cs="Arial" w:hint="default"/>
        <w:spacing w:val="-1"/>
        <w:w w:val="98"/>
        <w:sz w:val="22"/>
        <w:szCs w:val="22"/>
        <w:lang w:val="en-GB" w:eastAsia="en-GB" w:bidi="en-GB"/>
      </w:rPr>
    </w:lvl>
    <w:lvl w:ilvl="1" w:tplc="C9844FF6">
      <w:numFmt w:val="bullet"/>
      <w:lvlText w:val="•"/>
      <w:lvlJc w:val="left"/>
      <w:pPr>
        <w:ind w:left="1060" w:hanging="205"/>
      </w:pPr>
      <w:rPr>
        <w:rFonts w:ascii="Arial" w:eastAsia="Arial" w:hAnsi="Arial" w:cs="Arial" w:hint="default"/>
        <w:spacing w:val="-14"/>
        <w:w w:val="100"/>
        <w:sz w:val="24"/>
        <w:szCs w:val="24"/>
        <w:lang w:val="en-GB" w:eastAsia="en-GB" w:bidi="en-GB"/>
      </w:rPr>
    </w:lvl>
    <w:lvl w:ilvl="2" w:tplc="21A8A262">
      <w:numFmt w:val="bullet"/>
      <w:lvlText w:val="•"/>
      <w:lvlJc w:val="left"/>
      <w:pPr>
        <w:ind w:left="3065" w:hanging="205"/>
      </w:pPr>
      <w:rPr>
        <w:rFonts w:hint="default"/>
        <w:lang w:val="en-GB" w:eastAsia="en-GB" w:bidi="en-GB"/>
      </w:rPr>
    </w:lvl>
    <w:lvl w:ilvl="3" w:tplc="07103F40">
      <w:numFmt w:val="bullet"/>
      <w:lvlText w:val="•"/>
      <w:lvlJc w:val="left"/>
      <w:pPr>
        <w:ind w:left="4067" w:hanging="205"/>
      </w:pPr>
      <w:rPr>
        <w:rFonts w:hint="default"/>
        <w:lang w:val="en-GB" w:eastAsia="en-GB" w:bidi="en-GB"/>
      </w:rPr>
    </w:lvl>
    <w:lvl w:ilvl="4" w:tplc="0C58EDA4">
      <w:numFmt w:val="bullet"/>
      <w:lvlText w:val="•"/>
      <w:lvlJc w:val="left"/>
      <w:pPr>
        <w:ind w:left="5070" w:hanging="205"/>
      </w:pPr>
      <w:rPr>
        <w:rFonts w:hint="default"/>
        <w:lang w:val="en-GB" w:eastAsia="en-GB" w:bidi="en-GB"/>
      </w:rPr>
    </w:lvl>
    <w:lvl w:ilvl="5" w:tplc="3BE2CE66">
      <w:numFmt w:val="bullet"/>
      <w:lvlText w:val="•"/>
      <w:lvlJc w:val="left"/>
      <w:pPr>
        <w:ind w:left="6072" w:hanging="205"/>
      </w:pPr>
      <w:rPr>
        <w:rFonts w:hint="default"/>
        <w:lang w:val="en-GB" w:eastAsia="en-GB" w:bidi="en-GB"/>
      </w:rPr>
    </w:lvl>
    <w:lvl w:ilvl="6" w:tplc="BF26BFC8">
      <w:numFmt w:val="bullet"/>
      <w:lvlText w:val="•"/>
      <w:lvlJc w:val="left"/>
      <w:pPr>
        <w:ind w:left="7075" w:hanging="205"/>
      </w:pPr>
      <w:rPr>
        <w:rFonts w:hint="default"/>
        <w:lang w:val="en-GB" w:eastAsia="en-GB" w:bidi="en-GB"/>
      </w:rPr>
    </w:lvl>
    <w:lvl w:ilvl="7" w:tplc="E0C810CE">
      <w:numFmt w:val="bullet"/>
      <w:lvlText w:val="•"/>
      <w:lvlJc w:val="left"/>
      <w:pPr>
        <w:ind w:left="8077" w:hanging="205"/>
      </w:pPr>
      <w:rPr>
        <w:rFonts w:hint="default"/>
        <w:lang w:val="en-GB" w:eastAsia="en-GB" w:bidi="en-GB"/>
      </w:rPr>
    </w:lvl>
    <w:lvl w:ilvl="8" w:tplc="147C18C6">
      <w:numFmt w:val="bullet"/>
      <w:lvlText w:val="•"/>
      <w:lvlJc w:val="left"/>
      <w:pPr>
        <w:ind w:left="9080" w:hanging="205"/>
      </w:pPr>
      <w:rPr>
        <w:rFonts w:hint="default"/>
        <w:lang w:val="en-GB" w:eastAsia="en-GB" w:bidi="en-GB"/>
      </w:rPr>
    </w:lvl>
  </w:abstractNum>
  <w:abstractNum w:abstractNumId="4" w15:restartNumberingAfterBreak="0">
    <w:nsid w:val="383A3B9B"/>
    <w:multiLevelType w:val="hybridMultilevel"/>
    <w:tmpl w:val="E24C202C"/>
    <w:lvl w:ilvl="0" w:tplc="BD889396">
      <w:start w:val="21"/>
      <w:numFmt w:val="decimal"/>
      <w:lvlText w:val="%1."/>
      <w:lvlJc w:val="left"/>
      <w:pPr>
        <w:ind w:left="1060" w:hanging="721"/>
      </w:pPr>
      <w:rPr>
        <w:rFonts w:ascii="Arial" w:eastAsia="Arial" w:hAnsi="Arial" w:cs="Arial" w:hint="default"/>
        <w:spacing w:val="-12"/>
        <w:w w:val="100"/>
        <w:sz w:val="22"/>
        <w:szCs w:val="22"/>
        <w:lang w:val="en-GB" w:eastAsia="en-GB" w:bidi="en-GB"/>
      </w:rPr>
    </w:lvl>
    <w:lvl w:ilvl="1" w:tplc="589CF1D0">
      <w:numFmt w:val="bullet"/>
      <w:lvlText w:val="•"/>
      <w:lvlJc w:val="left"/>
      <w:pPr>
        <w:ind w:left="1060" w:hanging="205"/>
      </w:pPr>
      <w:rPr>
        <w:rFonts w:ascii="Arial" w:eastAsia="Arial" w:hAnsi="Arial" w:cs="Arial" w:hint="default"/>
        <w:spacing w:val="-14"/>
        <w:w w:val="100"/>
        <w:sz w:val="24"/>
        <w:szCs w:val="24"/>
        <w:lang w:val="en-GB" w:eastAsia="en-GB" w:bidi="en-GB"/>
      </w:rPr>
    </w:lvl>
    <w:lvl w:ilvl="2" w:tplc="47084B96">
      <w:numFmt w:val="bullet"/>
      <w:lvlText w:val="•"/>
      <w:lvlJc w:val="left"/>
      <w:pPr>
        <w:ind w:left="3065" w:hanging="205"/>
      </w:pPr>
      <w:rPr>
        <w:rFonts w:hint="default"/>
        <w:lang w:val="en-GB" w:eastAsia="en-GB" w:bidi="en-GB"/>
      </w:rPr>
    </w:lvl>
    <w:lvl w:ilvl="3" w:tplc="1D9AE810">
      <w:numFmt w:val="bullet"/>
      <w:lvlText w:val="•"/>
      <w:lvlJc w:val="left"/>
      <w:pPr>
        <w:ind w:left="4067" w:hanging="205"/>
      </w:pPr>
      <w:rPr>
        <w:rFonts w:hint="default"/>
        <w:lang w:val="en-GB" w:eastAsia="en-GB" w:bidi="en-GB"/>
      </w:rPr>
    </w:lvl>
    <w:lvl w:ilvl="4" w:tplc="3A8088D4">
      <w:numFmt w:val="bullet"/>
      <w:lvlText w:val="•"/>
      <w:lvlJc w:val="left"/>
      <w:pPr>
        <w:ind w:left="5070" w:hanging="205"/>
      </w:pPr>
      <w:rPr>
        <w:rFonts w:hint="default"/>
        <w:lang w:val="en-GB" w:eastAsia="en-GB" w:bidi="en-GB"/>
      </w:rPr>
    </w:lvl>
    <w:lvl w:ilvl="5" w:tplc="B936C9FC">
      <w:numFmt w:val="bullet"/>
      <w:lvlText w:val="•"/>
      <w:lvlJc w:val="left"/>
      <w:pPr>
        <w:ind w:left="6072" w:hanging="205"/>
      </w:pPr>
      <w:rPr>
        <w:rFonts w:hint="default"/>
        <w:lang w:val="en-GB" w:eastAsia="en-GB" w:bidi="en-GB"/>
      </w:rPr>
    </w:lvl>
    <w:lvl w:ilvl="6" w:tplc="581EEBF8">
      <w:numFmt w:val="bullet"/>
      <w:lvlText w:val="•"/>
      <w:lvlJc w:val="left"/>
      <w:pPr>
        <w:ind w:left="7075" w:hanging="205"/>
      </w:pPr>
      <w:rPr>
        <w:rFonts w:hint="default"/>
        <w:lang w:val="en-GB" w:eastAsia="en-GB" w:bidi="en-GB"/>
      </w:rPr>
    </w:lvl>
    <w:lvl w:ilvl="7" w:tplc="303027FE">
      <w:numFmt w:val="bullet"/>
      <w:lvlText w:val="•"/>
      <w:lvlJc w:val="left"/>
      <w:pPr>
        <w:ind w:left="8077" w:hanging="205"/>
      </w:pPr>
      <w:rPr>
        <w:rFonts w:hint="default"/>
        <w:lang w:val="en-GB" w:eastAsia="en-GB" w:bidi="en-GB"/>
      </w:rPr>
    </w:lvl>
    <w:lvl w:ilvl="8" w:tplc="B338E142">
      <w:numFmt w:val="bullet"/>
      <w:lvlText w:val="•"/>
      <w:lvlJc w:val="left"/>
      <w:pPr>
        <w:ind w:left="9080" w:hanging="205"/>
      </w:pPr>
      <w:rPr>
        <w:rFonts w:hint="default"/>
        <w:lang w:val="en-GB" w:eastAsia="en-GB" w:bidi="en-GB"/>
      </w:rPr>
    </w:lvl>
  </w:abstractNum>
  <w:abstractNum w:abstractNumId="5" w15:restartNumberingAfterBreak="0">
    <w:nsid w:val="3A452A6A"/>
    <w:multiLevelType w:val="hybridMultilevel"/>
    <w:tmpl w:val="A9AE2AC4"/>
    <w:lvl w:ilvl="0" w:tplc="F170EF18">
      <w:start w:val="264"/>
      <w:numFmt w:val="decimal"/>
      <w:lvlText w:val="%1"/>
      <w:lvlJc w:val="left"/>
      <w:pPr>
        <w:ind w:left="735" w:hanging="396"/>
      </w:pPr>
      <w:rPr>
        <w:rFonts w:ascii="Arial" w:eastAsia="Arial" w:hAnsi="Arial" w:cs="Arial" w:hint="default"/>
        <w:spacing w:val="-5"/>
        <w:w w:val="100"/>
        <w:sz w:val="16"/>
        <w:szCs w:val="16"/>
        <w:lang w:val="en-GB" w:eastAsia="en-GB" w:bidi="en-GB"/>
      </w:rPr>
    </w:lvl>
    <w:lvl w:ilvl="1" w:tplc="0F1CE70A">
      <w:numFmt w:val="bullet"/>
      <w:lvlText w:val="•"/>
      <w:lvlJc w:val="left"/>
      <w:pPr>
        <w:ind w:left="1774" w:hanging="396"/>
      </w:pPr>
      <w:rPr>
        <w:rFonts w:hint="default"/>
        <w:lang w:val="en-GB" w:eastAsia="en-GB" w:bidi="en-GB"/>
      </w:rPr>
    </w:lvl>
    <w:lvl w:ilvl="2" w:tplc="0C22C524">
      <w:numFmt w:val="bullet"/>
      <w:lvlText w:val="•"/>
      <w:lvlJc w:val="left"/>
      <w:pPr>
        <w:ind w:left="2809" w:hanging="396"/>
      </w:pPr>
      <w:rPr>
        <w:rFonts w:hint="default"/>
        <w:lang w:val="en-GB" w:eastAsia="en-GB" w:bidi="en-GB"/>
      </w:rPr>
    </w:lvl>
    <w:lvl w:ilvl="3" w:tplc="6FB86FD4">
      <w:numFmt w:val="bullet"/>
      <w:lvlText w:val="•"/>
      <w:lvlJc w:val="left"/>
      <w:pPr>
        <w:ind w:left="3843" w:hanging="396"/>
      </w:pPr>
      <w:rPr>
        <w:rFonts w:hint="default"/>
        <w:lang w:val="en-GB" w:eastAsia="en-GB" w:bidi="en-GB"/>
      </w:rPr>
    </w:lvl>
    <w:lvl w:ilvl="4" w:tplc="A4224F18">
      <w:numFmt w:val="bullet"/>
      <w:lvlText w:val="•"/>
      <w:lvlJc w:val="left"/>
      <w:pPr>
        <w:ind w:left="4878" w:hanging="396"/>
      </w:pPr>
      <w:rPr>
        <w:rFonts w:hint="default"/>
        <w:lang w:val="en-GB" w:eastAsia="en-GB" w:bidi="en-GB"/>
      </w:rPr>
    </w:lvl>
    <w:lvl w:ilvl="5" w:tplc="9B8E0D5C">
      <w:numFmt w:val="bullet"/>
      <w:lvlText w:val="•"/>
      <w:lvlJc w:val="left"/>
      <w:pPr>
        <w:ind w:left="5912" w:hanging="396"/>
      </w:pPr>
      <w:rPr>
        <w:rFonts w:hint="default"/>
        <w:lang w:val="en-GB" w:eastAsia="en-GB" w:bidi="en-GB"/>
      </w:rPr>
    </w:lvl>
    <w:lvl w:ilvl="6" w:tplc="FA10E898">
      <w:numFmt w:val="bullet"/>
      <w:lvlText w:val="•"/>
      <w:lvlJc w:val="left"/>
      <w:pPr>
        <w:ind w:left="6947" w:hanging="396"/>
      </w:pPr>
      <w:rPr>
        <w:rFonts w:hint="default"/>
        <w:lang w:val="en-GB" w:eastAsia="en-GB" w:bidi="en-GB"/>
      </w:rPr>
    </w:lvl>
    <w:lvl w:ilvl="7" w:tplc="AD24BED4">
      <w:numFmt w:val="bullet"/>
      <w:lvlText w:val="•"/>
      <w:lvlJc w:val="left"/>
      <w:pPr>
        <w:ind w:left="7981" w:hanging="396"/>
      </w:pPr>
      <w:rPr>
        <w:rFonts w:hint="default"/>
        <w:lang w:val="en-GB" w:eastAsia="en-GB" w:bidi="en-GB"/>
      </w:rPr>
    </w:lvl>
    <w:lvl w:ilvl="8" w:tplc="8228ADE6">
      <w:numFmt w:val="bullet"/>
      <w:lvlText w:val="•"/>
      <w:lvlJc w:val="left"/>
      <w:pPr>
        <w:ind w:left="9016" w:hanging="396"/>
      </w:pPr>
      <w:rPr>
        <w:rFonts w:hint="default"/>
        <w:lang w:val="en-GB" w:eastAsia="en-GB" w:bidi="en-GB"/>
      </w:rPr>
    </w:lvl>
  </w:abstractNum>
  <w:abstractNum w:abstractNumId="6" w15:restartNumberingAfterBreak="0">
    <w:nsid w:val="419F3B01"/>
    <w:multiLevelType w:val="hybridMultilevel"/>
    <w:tmpl w:val="AF1A0322"/>
    <w:lvl w:ilvl="0" w:tplc="928ED42A">
      <w:start w:val="1"/>
      <w:numFmt w:val="decimal"/>
      <w:lvlText w:val="%1"/>
      <w:lvlJc w:val="left"/>
      <w:pPr>
        <w:ind w:left="340" w:hanging="249"/>
      </w:pPr>
      <w:rPr>
        <w:rFonts w:ascii="Arial" w:eastAsia="Arial" w:hAnsi="Arial" w:cs="Arial" w:hint="default"/>
        <w:spacing w:val="-18"/>
        <w:w w:val="100"/>
        <w:sz w:val="16"/>
        <w:szCs w:val="16"/>
        <w:lang w:val="en-GB" w:eastAsia="en-GB" w:bidi="en-GB"/>
      </w:rPr>
    </w:lvl>
    <w:lvl w:ilvl="1" w:tplc="D9787990">
      <w:numFmt w:val="bullet"/>
      <w:lvlText w:val="•"/>
      <w:lvlJc w:val="left"/>
      <w:pPr>
        <w:ind w:left="1060" w:hanging="205"/>
      </w:pPr>
      <w:rPr>
        <w:rFonts w:ascii="Arial" w:eastAsia="Arial" w:hAnsi="Arial" w:cs="Arial" w:hint="default"/>
        <w:spacing w:val="-14"/>
        <w:w w:val="100"/>
        <w:sz w:val="24"/>
        <w:szCs w:val="24"/>
        <w:lang w:val="en-GB" w:eastAsia="en-GB" w:bidi="en-GB"/>
      </w:rPr>
    </w:lvl>
    <w:lvl w:ilvl="2" w:tplc="09508CA2">
      <w:numFmt w:val="bullet"/>
      <w:lvlText w:val="•"/>
      <w:lvlJc w:val="left"/>
      <w:pPr>
        <w:ind w:left="2173" w:hanging="205"/>
      </w:pPr>
      <w:rPr>
        <w:rFonts w:hint="default"/>
        <w:lang w:val="en-GB" w:eastAsia="en-GB" w:bidi="en-GB"/>
      </w:rPr>
    </w:lvl>
    <w:lvl w:ilvl="3" w:tplc="C9288E7A">
      <w:numFmt w:val="bullet"/>
      <w:lvlText w:val="•"/>
      <w:lvlJc w:val="left"/>
      <w:pPr>
        <w:ind w:left="3287" w:hanging="205"/>
      </w:pPr>
      <w:rPr>
        <w:rFonts w:hint="default"/>
        <w:lang w:val="en-GB" w:eastAsia="en-GB" w:bidi="en-GB"/>
      </w:rPr>
    </w:lvl>
    <w:lvl w:ilvl="4" w:tplc="713461BA">
      <w:numFmt w:val="bullet"/>
      <w:lvlText w:val="•"/>
      <w:lvlJc w:val="left"/>
      <w:pPr>
        <w:ind w:left="4401" w:hanging="205"/>
      </w:pPr>
      <w:rPr>
        <w:rFonts w:hint="default"/>
        <w:lang w:val="en-GB" w:eastAsia="en-GB" w:bidi="en-GB"/>
      </w:rPr>
    </w:lvl>
    <w:lvl w:ilvl="5" w:tplc="90B848D6">
      <w:numFmt w:val="bullet"/>
      <w:lvlText w:val="•"/>
      <w:lvlJc w:val="left"/>
      <w:pPr>
        <w:ind w:left="5515" w:hanging="205"/>
      </w:pPr>
      <w:rPr>
        <w:rFonts w:hint="default"/>
        <w:lang w:val="en-GB" w:eastAsia="en-GB" w:bidi="en-GB"/>
      </w:rPr>
    </w:lvl>
    <w:lvl w:ilvl="6" w:tplc="90E2A8BA">
      <w:numFmt w:val="bullet"/>
      <w:lvlText w:val="•"/>
      <w:lvlJc w:val="left"/>
      <w:pPr>
        <w:ind w:left="6629" w:hanging="205"/>
      </w:pPr>
      <w:rPr>
        <w:rFonts w:hint="default"/>
        <w:lang w:val="en-GB" w:eastAsia="en-GB" w:bidi="en-GB"/>
      </w:rPr>
    </w:lvl>
    <w:lvl w:ilvl="7" w:tplc="8440F8FE">
      <w:numFmt w:val="bullet"/>
      <w:lvlText w:val="•"/>
      <w:lvlJc w:val="left"/>
      <w:pPr>
        <w:ind w:left="7743" w:hanging="205"/>
      </w:pPr>
      <w:rPr>
        <w:rFonts w:hint="default"/>
        <w:lang w:val="en-GB" w:eastAsia="en-GB" w:bidi="en-GB"/>
      </w:rPr>
    </w:lvl>
    <w:lvl w:ilvl="8" w:tplc="C188385A">
      <w:numFmt w:val="bullet"/>
      <w:lvlText w:val="•"/>
      <w:lvlJc w:val="left"/>
      <w:pPr>
        <w:ind w:left="8857" w:hanging="205"/>
      </w:pPr>
      <w:rPr>
        <w:rFonts w:hint="default"/>
        <w:lang w:val="en-GB" w:eastAsia="en-GB" w:bidi="en-GB"/>
      </w:rPr>
    </w:lvl>
  </w:abstractNum>
  <w:abstractNum w:abstractNumId="7" w15:restartNumberingAfterBreak="0">
    <w:nsid w:val="41E40E3D"/>
    <w:multiLevelType w:val="hybridMultilevel"/>
    <w:tmpl w:val="F3D24EA8"/>
    <w:lvl w:ilvl="0" w:tplc="19507FF0">
      <w:start w:val="34"/>
      <w:numFmt w:val="decimal"/>
      <w:lvlText w:val="%1."/>
      <w:lvlJc w:val="left"/>
      <w:pPr>
        <w:ind w:left="1060" w:hanging="721"/>
      </w:pPr>
      <w:rPr>
        <w:rFonts w:hint="default"/>
        <w:spacing w:val="-20"/>
        <w:w w:val="98"/>
        <w:lang w:val="en-GB" w:eastAsia="en-GB" w:bidi="en-GB"/>
      </w:rPr>
    </w:lvl>
    <w:lvl w:ilvl="1" w:tplc="809A2B82">
      <w:numFmt w:val="bullet"/>
      <w:lvlText w:val="•"/>
      <w:lvlJc w:val="left"/>
      <w:pPr>
        <w:ind w:left="1060" w:hanging="205"/>
      </w:pPr>
      <w:rPr>
        <w:rFonts w:ascii="Arial" w:eastAsia="Arial" w:hAnsi="Arial" w:cs="Arial" w:hint="default"/>
        <w:spacing w:val="-14"/>
        <w:w w:val="100"/>
        <w:sz w:val="24"/>
        <w:szCs w:val="24"/>
        <w:lang w:val="en-GB" w:eastAsia="en-GB" w:bidi="en-GB"/>
      </w:rPr>
    </w:lvl>
    <w:lvl w:ilvl="2" w:tplc="7F881188">
      <w:numFmt w:val="bullet"/>
      <w:lvlText w:val="•"/>
      <w:lvlJc w:val="left"/>
      <w:pPr>
        <w:ind w:left="3065" w:hanging="205"/>
      </w:pPr>
      <w:rPr>
        <w:rFonts w:hint="default"/>
        <w:lang w:val="en-GB" w:eastAsia="en-GB" w:bidi="en-GB"/>
      </w:rPr>
    </w:lvl>
    <w:lvl w:ilvl="3" w:tplc="F98C2710">
      <w:numFmt w:val="bullet"/>
      <w:lvlText w:val="•"/>
      <w:lvlJc w:val="left"/>
      <w:pPr>
        <w:ind w:left="4067" w:hanging="205"/>
      </w:pPr>
      <w:rPr>
        <w:rFonts w:hint="default"/>
        <w:lang w:val="en-GB" w:eastAsia="en-GB" w:bidi="en-GB"/>
      </w:rPr>
    </w:lvl>
    <w:lvl w:ilvl="4" w:tplc="D472A4BA">
      <w:numFmt w:val="bullet"/>
      <w:lvlText w:val="•"/>
      <w:lvlJc w:val="left"/>
      <w:pPr>
        <w:ind w:left="5070" w:hanging="205"/>
      </w:pPr>
      <w:rPr>
        <w:rFonts w:hint="default"/>
        <w:lang w:val="en-GB" w:eastAsia="en-GB" w:bidi="en-GB"/>
      </w:rPr>
    </w:lvl>
    <w:lvl w:ilvl="5" w:tplc="0B424800">
      <w:numFmt w:val="bullet"/>
      <w:lvlText w:val="•"/>
      <w:lvlJc w:val="left"/>
      <w:pPr>
        <w:ind w:left="6072" w:hanging="205"/>
      </w:pPr>
      <w:rPr>
        <w:rFonts w:hint="default"/>
        <w:lang w:val="en-GB" w:eastAsia="en-GB" w:bidi="en-GB"/>
      </w:rPr>
    </w:lvl>
    <w:lvl w:ilvl="6" w:tplc="A3208DAA">
      <w:numFmt w:val="bullet"/>
      <w:lvlText w:val="•"/>
      <w:lvlJc w:val="left"/>
      <w:pPr>
        <w:ind w:left="7075" w:hanging="205"/>
      </w:pPr>
      <w:rPr>
        <w:rFonts w:hint="default"/>
        <w:lang w:val="en-GB" w:eastAsia="en-GB" w:bidi="en-GB"/>
      </w:rPr>
    </w:lvl>
    <w:lvl w:ilvl="7" w:tplc="38243AC6">
      <w:numFmt w:val="bullet"/>
      <w:lvlText w:val="•"/>
      <w:lvlJc w:val="left"/>
      <w:pPr>
        <w:ind w:left="8077" w:hanging="205"/>
      </w:pPr>
      <w:rPr>
        <w:rFonts w:hint="default"/>
        <w:lang w:val="en-GB" w:eastAsia="en-GB" w:bidi="en-GB"/>
      </w:rPr>
    </w:lvl>
    <w:lvl w:ilvl="8" w:tplc="35602672">
      <w:numFmt w:val="bullet"/>
      <w:lvlText w:val="•"/>
      <w:lvlJc w:val="left"/>
      <w:pPr>
        <w:ind w:left="9080" w:hanging="205"/>
      </w:pPr>
      <w:rPr>
        <w:rFonts w:hint="default"/>
        <w:lang w:val="en-GB" w:eastAsia="en-GB" w:bidi="en-GB"/>
      </w:rPr>
    </w:lvl>
  </w:abstractNum>
  <w:abstractNum w:abstractNumId="8" w15:restartNumberingAfterBreak="0">
    <w:nsid w:val="5E647A6A"/>
    <w:multiLevelType w:val="hybridMultilevel"/>
    <w:tmpl w:val="02ACCF3E"/>
    <w:lvl w:ilvl="0" w:tplc="22DE2A9A">
      <w:start w:val="117"/>
      <w:numFmt w:val="decimal"/>
      <w:lvlText w:val="%1"/>
      <w:lvlJc w:val="left"/>
      <w:pPr>
        <w:ind w:left="735" w:hanging="396"/>
      </w:pPr>
      <w:rPr>
        <w:rFonts w:ascii="Arial" w:eastAsia="Arial" w:hAnsi="Arial" w:cs="Arial" w:hint="default"/>
        <w:spacing w:val="-12"/>
        <w:w w:val="100"/>
        <w:sz w:val="16"/>
        <w:szCs w:val="16"/>
        <w:lang w:val="en-GB" w:eastAsia="en-GB" w:bidi="en-GB"/>
      </w:rPr>
    </w:lvl>
    <w:lvl w:ilvl="1" w:tplc="E49260D0">
      <w:numFmt w:val="bullet"/>
      <w:lvlText w:val="•"/>
      <w:lvlJc w:val="left"/>
      <w:pPr>
        <w:ind w:left="1774" w:hanging="396"/>
      </w:pPr>
      <w:rPr>
        <w:rFonts w:hint="default"/>
        <w:lang w:val="en-GB" w:eastAsia="en-GB" w:bidi="en-GB"/>
      </w:rPr>
    </w:lvl>
    <w:lvl w:ilvl="2" w:tplc="78584FEA">
      <w:numFmt w:val="bullet"/>
      <w:lvlText w:val="•"/>
      <w:lvlJc w:val="left"/>
      <w:pPr>
        <w:ind w:left="2809" w:hanging="396"/>
      </w:pPr>
      <w:rPr>
        <w:rFonts w:hint="default"/>
        <w:lang w:val="en-GB" w:eastAsia="en-GB" w:bidi="en-GB"/>
      </w:rPr>
    </w:lvl>
    <w:lvl w:ilvl="3" w:tplc="492A278A">
      <w:numFmt w:val="bullet"/>
      <w:lvlText w:val="•"/>
      <w:lvlJc w:val="left"/>
      <w:pPr>
        <w:ind w:left="3843" w:hanging="396"/>
      </w:pPr>
      <w:rPr>
        <w:rFonts w:hint="default"/>
        <w:lang w:val="en-GB" w:eastAsia="en-GB" w:bidi="en-GB"/>
      </w:rPr>
    </w:lvl>
    <w:lvl w:ilvl="4" w:tplc="4A4A70BE">
      <w:numFmt w:val="bullet"/>
      <w:lvlText w:val="•"/>
      <w:lvlJc w:val="left"/>
      <w:pPr>
        <w:ind w:left="4878" w:hanging="396"/>
      </w:pPr>
      <w:rPr>
        <w:rFonts w:hint="default"/>
        <w:lang w:val="en-GB" w:eastAsia="en-GB" w:bidi="en-GB"/>
      </w:rPr>
    </w:lvl>
    <w:lvl w:ilvl="5" w:tplc="C58886FC">
      <w:numFmt w:val="bullet"/>
      <w:lvlText w:val="•"/>
      <w:lvlJc w:val="left"/>
      <w:pPr>
        <w:ind w:left="5912" w:hanging="396"/>
      </w:pPr>
      <w:rPr>
        <w:rFonts w:hint="default"/>
        <w:lang w:val="en-GB" w:eastAsia="en-GB" w:bidi="en-GB"/>
      </w:rPr>
    </w:lvl>
    <w:lvl w:ilvl="6" w:tplc="EBFEF13E">
      <w:numFmt w:val="bullet"/>
      <w:lvlText w:val="•"/>
      <w:lvlJc w:val="left"/>
      <w:pPr>
        <w:ind w:left="6947" w:hanging="396"/>
      </w:pPr>
      <w:rPr>
        <w:rFonts w:hint="default"/>
        <w:lang w:val="en-GB" w:eastAsia="en-GB" w:bidi="en-GB"/>
      </w:rPr>
    </w:lvl>
    <w:lvl w:ilvl="7" w:tplc="78F4B988">
      <w:numFmt w:val="bullet"/>
      <w:lvlText w:val="•"/>
      <w:lvlJc w:val="left"/>
      <w:pPr>
        <w:ind w:left="7981" w:hanging="396"/>
      </w:pPr>
      <w:rPr>
        <w:rFonts w:hint="default"/>
        <w:lang w:val="en-GB" w:eastAsia="en-GB" w:bidi="en-GB"/>
      </w:rPr>
    </w:lvl>
    <w:lvl w:ilvl="8" w:tplc="0D7E12CE">
      <w:numFmt w:val="bullet"/>
      <w:lvlText w:val="•"/>
      <w:lvlJc w:val="left"/>
      <w:pPr>
        <w:ind w:left="9016" w:hanging="396"/>
      </w:pPr>
      <w:rPr>
        <w:rFonts w:hint="default"/>
        <w:lang w:val="en-GB" w:eastAsia="en-GB" w:bidi="en-GB"/>
      </w:rPr>
    </w:lvl>
  </w:abstractNum>
  <w:abstractNum w:abstractNumId="9" w15:restartNumberingAfterBreak="0">
    <w:nsid w:val="5FCB4190"/>
    <w:multiLevelType w:val="hybridMultilevel"/>
    <w:tmpl w:val="E8D84FC0"/>
    <w:lvl w:ilvl="0" w:tplc="DA2E9C8E">
      <w:start w:val="47"/>
      <w:numFmt w:val="decimal"/>
      <w:lvlText w:val="%1"/>
      <w:lvlJc w:val="left"/>
      <w:pPr>
        <w:ind w:left="686" w:hanging="360"/>
      </w:pPr>
      <w:rPr>
        <w:rFonts w:ascii="Arial" w:eastAsia="Arial" w:hAnsi="Arial" w:cs="Arial" w:hint="default"/>
        <w:spacing w:val="-1"/>
        <w:w w:val="100"/>
        <w:sz w:val="16"/>
        <w:szCs w:val="16"/>
        <w:lang w:val="en-GB" w:eastAsia="en-GB" w:bidi="en-GB"/>
      </w:rPr>
    </w:lvl>
    <w:lvl w:ilvl="1" w:tplc="5F4EB9CA">
      <w:numFmt w:val="bullet"/>
      <w:lvlText w:val="•"/>
      <w:lvlJc w:val="left"/>
      <w:pPr>
        <w:ind w:left="1720" w:hanging="360"/>
      </w:pPr>
      <w:rPr>
        <w:rFonts w:hint="default"/>
        <w:lang w:val="en-GB" w:eastAsia="en-GB" w:bidi="en-GB"/>
      </w:rPr>
    </w:lvl>
    <w:lvl w:ilvl="2" w:tplc="142C1C54">
      <w:numFmt w:val="bullet"/>
      <w:lvlText w:val="•"/>
      <w:lvlJc w:val="left"/>
      <w:pPr>
        <w:ind w:left="2761" w:hanging="360"/>
      </w:pPr>
      <w:rPr>
        <w:rFonts w:hint="default"/>
        <w:lang w:val="en-GB" w:eastAsia="en-GB" w:bidi="en-GB"/>
      </w:rPr>
    </w:lvl>
    <w:lvl w:ilvl="3" w:tplc="19C61A7C">
      <w:numFmt w:val="bullet"/>
      <w:lvlText w:val="•"/>
      <w:lvlJc w:val="left"/>
      <w:pPr>
        <w:ind w:left="3801" w:hanging="360"/>
      </w:pPr>
      <w:rPr>
        <w:rFonts w:hint="default"/>
        <w:lang w:val="en-GB" w:eastAsia="en-GB" w:bidi="en-GB"/>
      </w:rPr>
    </w:lvl>
    <w:lvl w:ilvl="4" w:tplc="4BD0E130">
      <w:numFmt w:val="bullet"/>
      <w:lvlText w:val="•"/>
      <w:lvlJc w:val="left"/>
      <w:pPr>
        <w:ind w:left="4842" w:hanging="360"/>
      </w:pPr>
      <w:rPr>
        <w:rFonts w:hint="default"/>
        <w:lang w:val="en-GB" w:eastAsia="en-GB" w:bidi="en-GB"/>
      </w:rPr>
    </w:lvl>
    <w:lvl w:ilvl="5" w:tplc="A8569688">
      <w:numFmt w:val="bullet"/>
      <w:lvlText w:val="•"/>
      <w:lvlJc w:val="left"/>
      <w:pPr>
        <w:ind w:left="5882" w:hanging="360"/>
      </w:pPr>
      <w:rPr>
        <w:rFonts w:hint="default"/>
        <w:lang w:val="en-GB" w:eastAsia="en-GB" w:bidi="en-GB"/>
      </w:rPr>
    </w:lvl>
    <w:lvl w:ilvl="6" w:tplc="83AA7CF2">
      <w:numFmt w:val="bullet"/>
      <w:lvlText w:val="•"/>
      <w:lvlJc w:val="left"/>
      <w:pPr>
        <w:ind w:left="6923" w:hanging="360"/>
      </w:pPr>
      <w:rPr>
        <w:rFonts w:hint="default"/>
        <w:lang w:val="en-GB" w:eastAsia="en-GB" w:bidi="en-GB"/>
      </w:rPr>
    </w:lvl>
    <w:lvl w:ilvl="7" w:tplc="D1BEF006">
      <w:numFmt w:val="bullet"/>
      <w:lvlText w:val="•"/>
      <w:lvlJc w:val="left"/>
      <w:pPr>
        <w:ind w:left="7963" w:hanging="360"/>
      </w:pPr>
      <w:rPr>
        <w:rFonts w:hint="default"/>
        <w:lang w:val="en-GB" w:eastAsia="en-GB" w:bidi="en-GB"/>
      </w:rPr>
    </w:lvl>
    <w:lvl w:ilvl="8" w:tplc="C17C5C2E">
      <w:numFmt w:val="bullet"/>
      <w:lvlText w:val="•"/>
      <w:lvlJc w:val="left"/>
      <w:pPr>
        <w:ind w:left="9004" w:hanging="360"/>
      </w:pPr>
      <w:rPr>
        <w:rFonts w:hint="default"/>
        <w:lang w:val="en-GB" w:eastAsia="en-GB" w:bidi="en-GB"/>
      </w:rPr>
    </w:lvl>
  </w:abstractNum>
  <w:abstractNum w:abstractNumId="10" w15:restartNumberingAfterBreak="0">
    <w:nsid w:val="65A12250"/>
    <w:multiLevelType w:val="hybridMultilevel"/>
    <w:tmpl w:val="0194FC64"/>
    <w:lvl w:ilvl="0" w:tplc="4190AEBA">
      <w:start w:val="24"/>
      <w:numFmt w:val="decimal"/>
      <w:lvlText w:val="%1."/>
      <w:lvlJc w:val="left"/>
      <w:pPr>
        <w:ind w:left="1060" w:hanging="640"/>
      </w:pPr>
      <w:rPr>
        <w:rFonts w:ascii="Arial" w:eastAsia="Arial" w:hAnsi="Arial" w:cs="Arial" w:hint="default"/>
        <w:spacing w:val="-12"/>
        <w:w w:val="98"/>
        <w:sz w:val="22"/>
        <w:szCs w:val="22"/>
        <w:lang w:val="en-GB" w:eastAsia="en-GB" w:bidi="en-GB"/>
      </w:rPr>
    </w:lvl>
    <w:lvl w:ilvl="1" w:tplc="9648CEBE">
      <w:numFmt w:val="bullet"/>
      <w:lvlText w:val="•"/>
      <w:lvlJc w:val="left"/>
      <w:pPr>
        <w:ind w:left="1060" w:hanging="205"/>
      </w:pPr>
      <w:rPr>
        <w:rFonts w:ascii="Arial" w:eastAsia="Arial" w:hAnsi="Arial" w:cs="Arial" w:hint="default"/>
        <w:spacing w:val="-14"/>
        <w:w w:val="100"/>
        <w:sz w:val="24"/>
        <w:szCs w:val="24"/>
        <w:lang w:val="en-GB" w:eastAsia="en-GB" w:bidi="en-GB"/>
      </w:rPr>
    </w:lvl>
    <w:lvl w:ilvl="2" w:tplc="DF08C332">
      <w:numFmt w:val="bullet"/>
      <w:lvlText w:val="•"/>
      <w:lvlJc w:val="left"/>
      <w:pPr>
        <w:ind w:left="3065" w:hanging="205"/>
      </w:pPr>
      <w:rPr>
        <w:rFonts w:hint="default"/>
        <w:lang w:val="en-GB" w:eastAsia="en-GB" w:bidi="en-GB"/>
      </w:rPr>
    </w:lvl>
    <w:lvl w:ilvl="3" w:tplc="ECDEC194">
      <w:numFmt w:val="bullet"/>
      <w:lvlText w:val="•"/>
      <w:lvlJc w:val="left"/>
      <w:pPr>
        <w:ind w:left="4067" w:hanging="205"/>
      </w:pPr>
      <w:rPr>
        <w:rFonts w:hint="default"/>
        <w:lang w:val="en-GB" w:eastAsia="en-GB" w:bidi="en-GB"/>
      </w:rPr>
    </w:lvl>
    <w:lvl w:ilvl="4" w:tplc="FDEE3BBC">
      <w:numFmt w:val="bullet"/>
      <w:lvlText w:val="•"/>
      <w:lvlJc w:val="left"/>
      <w:pPr>
        <w:ind w:left="5070" w:hanging="205"/>
      </w:pPr>
      <w:rPr>
        <w:rFonts w:hint="default"/>
        <w:lang w:val="en-GB" w:eastAsia="en-GB" w:bidi="en-GB"/>
      </w:rPr>
    </w:lvl>
    <w:lvl w:ilvl="5" w:tplc="0FA6BAB2">
      <w:numFmt w:val="bullet"/>
      <w:lvlText w:val="•"/>
      <w:lvlJc w:val="left"/>
      <w:pPr>
        <w:ind w:left="6072" w:hanging="205"/>
      </w:pPr>
      <w:rPr>
        <w:rFonts w:hint="default"/>
        <w:lang w:val="en-GB" w:eastAsia="en-GB" w:bidi="en-GB"/>
      </w:rPr>
    </w:lvl>
    <w:lvl w:ilvl="6" w:tplc="B016ECC0">
      <w:numFmt w:val="bullet"/>
      <w:lvlText w:val="•"/>
      <w:lvlJc w:val="left"/>
      <w:pPr>
        <w:ind w:left="7075" w:hanging="205"/>
      </w:pPr>
      <w:rPr>
        <w:rFonts w:hint="default"/>
        <w:lang w:val="en-GB" w:eastAsia="en-GB" w:bidi="en-GB"/>
      </w:rPr>
    </w:lvl>
    <w:lvl w:ilvl="7" w:tplc="0DDC2E1A">
      <w:numFmt w:val="bullet"/>
      <w:lvlText w:val="•"/>
      <w:lvlJc w:val="left"/>
      <w:pPr>
        <w:ind w:left="8077" w:hanging="205"/>
      </w:pPr>
      <w:rPr>
        <w:rFonts w:hint="default"/>
        <w:lang w:val="en-GB" w:eastAsia="en-GB" w:bidi="en-GB"/>
      </w:rPr>
    </w:lvl>
    <w:lvl w:ilvl="8" w:tplc="20B2BA88">
      <w:numFmt w:val="bullet"/>
      <w:lvlText w:val="•"/>
      <w:lvlJc w:val="left"/>
      <w:pPr>
        <w:ind w:left="9080" w:hanging="205"/>
      </w:pPr>
      <w:rPr>
        <w:rFonts w:hint="default"/>
        <w:lang w:val="en-GB" w:eastAsia="en-GB" w:bidi="en-GB"/>
      </w:rPr>
    </w:lvl>
  </w:abstractNum>
  <w:abstractNum w:abstractNumId="11" w15:restartNumberingAfterBreak="0">
    <w:nsid w:val="66884A32"/>
    <w:multiLevelType w:val="hybridMultilevel"/>
    <w:tmpl w:val="61DA6B74"/>
    <w:lvl w:ilvl="0" w:tplc="991C73E4">
      <w:start w:val="1"/>
      <w:numFmt w:val="decimal"/>
      <w:lvlText w:val="%1"/>
      <w:lvlJc w:val="left"/>
      <w:pPr>
        <w:ind w:left="340" w:hanging="360"/>
      </w:pPr>
      <w:rPr>
        <w:rFonts w:ascii="Arial" w:eastAsia="Arial" w:hAnsi="Arial" w:cs="Arial" w:hint="default"/>
        <w:spacing w:val="-12"/>
        <w:w w:val="100"/>
        <w:sz w:val="16"/>
        <w:szCs w:val="16"/>
        <w:lang w:val="en-GB" w:eastAsia="en-GB" w:bidi="en-GB"/>
      </w:rPr>
    </w:lvl>
    <w:lvl w:ilvl="1" w:tplc="4EA8D26C">
      <w:numFmt w:val="bullet"/>
      <w:lvlText w:val="•"/>
      <w:lvlJc w:val="left"/>
      <w:pPr>
        <w:ind w:left="1414" w:hanging="360"/>
      </w:pPr>
      <w:rPr>
        <w:rFonts w:hint="default"/>
        <w:lang w:val="en-GB" w:eastAsia="en-GB" w:bidi="en-GB"/>
      </w:rPr>
    </w:lvl>
    <w:lvl w:ilvl="2" w:tplc="38488714">
      <w:numFmt w:val="bullet"/>
      <w:lvlText w:val="•"/>
      <w:lvlJc w:val="left"/>
      <w:pPr>
        <w:ind w:left="2489" w:hanging="360"/>
      </w:pPr>
      <w:rPr>
        <w:rFonts w:hint="default"/>
        <w:lang w:val="en-GB" w:eastAsia="en-GB" w:bidi="en-GB"/>
      </w:rPr>
    </w:lvl>
    <w:lvl w:ilvl="3" w:tplc="80A008A2">
      <w:numFmt w:val="bullet"/>
      <w:lvlText w:val="•"/>
      <w:lvlJc w:val="left"/>
      <w:pPr>
        <w:ind w:left="3563" w:hanging="360"/>
      </w:pPr>
      <w:rPr>
        <w:rFonts w:hint="default"/>
        <w:lang w:val="en-GB" w:eastAsia="en-GB" w:bidi="en-GB"/>
      </w:rPr>
    </w:lvl>
    <w:lvl w:ilvl="4" w:tplc="7CEE5302">
      <w:numFmt w:val="bullet"/>
      <w:lvlText w:val="•"/>
      <w:lvlJc w:val="left"/>
      <w:pPr>
        <w:ind w:left="4638" w:hanging="360"/>
      </w:pPr>
      <w:rPr>
        <w:rFonts w:hint="default"/>
        <w:lang w:val="en-GB" w:eastAsia="en-GB" w:bidi="en-GB"/>
      </w:rPr>
    </w:lvl>
    <w:lvl w:ilvl="5" w:tplc="F4E6B71C">
      <w:numFmt w:val="bullet"/>
      <w:lvlText w:val="•"/>
      <w:lvlJc w:val="left"/>
      <w:pPr>
        <w:ind w:left="5712" w:hanging="360"/>
      </w:pPr>
      <w:rPr>
        <w:rFonts w:hint="default"/>
        <w:lang w:val="en-GB" w:eastAsia="en-GB" w:bidi="en-GB"/>
      </w:rPr>
    </w:lvl>
    <w:lvl w:ilvl="6" w:tplc="1C2AE1C8">
      <w:numFmt w:val="bullet"/>
      <w:lvlText w:val="•"/>
      <w:lvlJc w:val="left"/>
      <w:pPr>
        <w:ind w:left="6787" w:hanging="360"/>
      </w:pPr>
      <w:rPr>
        <w:rFonts w:hint="default"/>
        <w:lang w:val="en-GB" w:eastAsia="en-GB" w:bidi="en-GB"/>
      </w:rPr>
    </w:lvl>
    <w:lvl w:ilvl="7" w:tplc="70E8E8D2">
      <w:numFmt w:val="bullet"/>
      <w:lvlText w:val="•"/>
      <w:lvlJc w:val="left"/>
      <w:pPr>
        <w:ind w:left="7861" w:hanging="360"/>
      </w:pPr>
      <w:rPr>
        <w:rFonts w:hint="default"/>
        <w:lang w:val="en-GB" w:eastAsia="en-GB" w:bidi="en-GB"/>
      </w:rPr>
    </w:lvl>
    <w:lvl w:ilvl="8" w:tplc="820A1B38">
      <w:numFmt w:val="bullet"/>
      <w:lvlText w:val="•"/>
      <w:lvlJc w:val="left"/>
      <w:pPr>
        <w:ind w:left="8936" w:hanging="360"/>
      </w:pPr>
      <w:rPr>
        <w:rFonts w:hint="default"/>
        <w:lang w:val="en-GB" w:eastAsia="en-GB" w:bidi="en-GB"/>
      </w:rPr>
    </w:lvl>
  </w:abstractNum>
  <w:abstractNum w:abstractNumId="12" w15:restartNumberingAfterBreak="0">
    <w:nsid w:val="670B4C9F"/>
    <w:multiLevelType w:val="hybridMultilevel"/>
    <w:tmpl w:val="7004C306"/>
    <w:lvl w:ilvl="0" w:tplc="32E6068C">
      <w:start w:val="9"/>
      <w:numFmt w:val="decimal"/>
      <w:lvlText w:val="%1."/>
      <w:lvlJc w:val="left"/>
      <w:pPr>
        <w:ind w:left="1060" w:hanging="640"/>
      </w:pPr>
      <w:rPr>
        <w:rFonts w:ascii="Arial" w:eastAsia="Arial" w:hAnsi="Arial" w:cs="Arial" w:hint="default"/>
        <w:spacing w:val="-20"/>
        <w:w w:val="98"/>
        <w:sz w:val="22"/>
        <w:szCs w:val="22"/>
        <w:lang w:val="en-GB" w:eastAsia="en-GB" w:bidi="en-GB"/>
      </w:rPr>
    </w:lvl>
    <w:lvl w:ilvl="1" w:tplc="611E3FE6">
      <w:numFmt w:val="bullet"/>
      <w:lvlText w:val="•"/>
      <w:lvlJc w:val="left"/>
      <w:pPr>
        <w:ind w:left="1060" w:hanging="205"/>
      </w:pPr>
      <w:rPr>
        <w:rFonts w:ascii="Arial" w:eastAsia="Arial" w:hAnsi="Arial" w:cs="Arial" w:hint="default"/>
        <w:spacing w:val="-14"/>
        <w:w w:val="100"/>
        <w:sz w:val="24"/>
        <w:szCs w:val="24"/>
        <w:lang w:val="en-GB" w:eastAsia="en-GB" w:bidi="en-GB"/>
      </w:rPr>
    </w:lvl>
    <w:lvl w:ilvl="2" w:tplc="B5EA821A">
      <w:numFmt w:val="bullet"/>
      <w:lvlText w:val="•"/>
      <w:lvlJc w:val="left"/>
      <w:pPr>
        <w:ind w:left="3065" w:hanging="205"/>
      </w:pPr>
      <w:rPr>
        <w:rFonts w:hint="default"/>
        <w:lang w:val="en-GB" w:eastAsia="en-GB" w:bidi="en-GB"/>
      </w:rPr>
    </w:lvl>
    <w:lvl w:ilvl="3" w:tplc="A01A89B4">
      <w:numFmt w:val="bullet"/>
      <w:lvlText w:val="•"/>
      <w:lvlJc w:val="left"/>
      <w:pPr>
        <w:ind w:left="4067" w:hanging="205"/>
      </w:pPr>
      <w:rPr>
        <w:rFonts w:hint="default"/>
        <w:lang w:val="en-GB" w:eastAsia="en-GB" w:bidi="en-GB"/>
      </w:rPr>
    </w:lvl>
    <w:lvl w:ilvl="4" w:tplc="325A0BE8">
      <w:numFmt w:val="bullet"/>
      <w:lvlText w:val="•"/>
      <w:lvlJc w:val="left"/>
      <w:pPr>
        <w:ind w:left="5070" w:hanging="205"/>
      </w:pPr>
      <w:rPr>
        <w:rFonts w:hint="default"/>
        <w:lang w:val="en-GB" w:eastAsia="en-GB" w:bidi="en-GB"/>
      </w:rPr>
    </w:lvl>
    <w:lvl w:ilvl="5" w:tplc="45E02FF4">
      <w:numFmt w:val="bullet"/>
      <w:lvlText w:val="•"/>
      <w:lvlJc w:val="left"/>
      <w:pPr>
        <w:ind w:left="6072" w:hanging="205"/>
      </w:pPr>
      <w:rPr>
        <w:rFonts w:hint="default"/>
        <w:lang w:val="en-GB" w:eastAsia="en-GB" w:bidi="en-GB"/>
      </w:rPr>
    </w:lvl>
    <w:lvl w:ilvl="6" w:tplc="2A486EDE">
      <w:numFmt w:val="bullet"/>
      <w:lvlText w:val="•"/>
      <w:lvlJc w:val="left"/>
      <w:pPr>
        <w:ind w:left="7075" w:hanging="205"/>
      </w:pPr>
      <w:rPr>
        <w:rFonts w:hint="default"/>
        <w:lang w:val="en-GB" w:eastAsia="en-GB" w:bidi="en-GB"/>
      </w:rPr>
    </w:lvl>
    <w:lvl w:ilvl="7" w:tplc="A656D86C">
      <w:numFmt w:val="bullet"/>
      <w:lvlText w:val="•"/>
      <w:lvlJc w:val="left"/>
      <w:pPr>
        <w:ind w:left="8077" w:hanging="205"/>
      </w:pPr>
      <w:rPr>
        <w:rFonts w:hint="default"/>
        <w:lang w:val="en-GB" w:eastAsia="en-GB" w:bidi="en-GB"/>
      </w:rPr>
    </w:lvl>
    <w:lvl w:ilvl="8" w:tplc="577A6AAA">
      <w:numFmt w:val="bullet"/>
      <w:lvlText w:val="•"/>
      <w:lvlJc w:val="left"/>
      <w:pPr>
        <w:ind w:left="9080" w:hanging="205"/>
      </w:pPr>
      <w:rPr>
        <w:rFonts w:hint="default"/>
        <w:lang w:val="en-GB" w:eastAsia="en-GB" w:bidi="en-GB"/>
      </w:rPr>
    </w:lvl>
  </w:abstractNum>
  <w:abstractNum w:abstractNumId="13" w15:restartNumberingAfterBreak="0">
    <w:nsid w:val="7161626B"/>
    <w:multiLevelType w:val="hybridMultilevel"/>
    <w:tmpl w:val="EC6A29F2"/>
    <w:lvl w:ilvl="0" w:tplc="9E6E52C0">
      <w:start w:val="14"/>
      <w:numFmt w:val="decimal"/>
      <w:lvlText w:val="%1."/>
      <w:lvlJc w:val="left"/>
      <w:pPr>
        <w:ind w:left="1160" w:hanging="820"/>
      </w:pPr>
      <w:rPr>
        <w:rFonts w:ascii="Arial" w:eastAsia="Arial" w:hAnsi="Arial" w:cs="Arial" w:hint="default"/>
        <w:spacing w:val="-1"/>
        <w:w w:val="98"/>
        <w:sz w:val="22"/>
        <w:szCs w:val="22"/>
        <w:lang w:val="en-GB" w:eastAsia="en-GB" w:bidi="en-GB"/>
      </w:rPr>
    </w:lvl>
    <w:lvl w:ilvl="1" w:tplc="0A06E6BE">
      <w:numFmt w:val="bullet"/>
      <w:lvlText w:val="•"/>
      <w:lvlJc w:val="left"/>
      <w:pPr>
        <w:ind w:left="1060" w:hanging="200"/>
      </w:pPr>
      <w:rPr>
        <w:rFonts w:ascii="Arial" w:eastAsia="Arial" w:hAnsi="Arial" w:cs="Arial" w:hint="default"/>
        <w:w w:val="98"/>
        <w:sz w:val="24"/>
        <w:szCs w:val="24"/>
        <w:lang w:val="en-GB" w:eastAsia="en-GB" w:bidi="en-GB"/>
      </w:rPr>
    </w:lvl>
    <w:lvl w:ilvl="2" w:tplc="8382931A">
      <w:numFmt w:val="bullet"/>
      <w:lvlText w:val="•"/>
      <w:lvlJc w:val="left"/>
      <w:pPr>
        <w:ind w:left="2262" w:hanging="200"/>
      </w:pPr>
      <w:rPr>
        <w:rFonts w:hint="default"/>
        <w:lang w:val="en-GB" w:eastAsia="en-GB" w:bidi="en-GB"/>
      </w:rPr>
    </w:lvl>
    <w:lvl w:ilvl="3" w:tplc="F0F44D46">
      <w:numFmt w:val="bullet"/>
      <w:lvlText w:val="•"/>
      <w:lvlJc w:val="left"/>
      <w:pPr>
        <w:ind w:left="3365" w:hanging="200"/>
      </w:pPr>
      <w:rPr>
        <w:rFonts w:hint="default"/>
        <w:lang w:val="en-GB" w:eastAsia="en-GB" w:bidi="en-GB"/>
      </w:rPr>
    </w:lvl>
    <w:lvl w:ilvl="4" w:tplc="FB302DA2">
      <w:numFmt w:val="bullet"/>
      <w:lvlText w:val="•"/>
      <w:lvlJc w:val="left"/>
      <w:pPr>
        <w:ind w:left="4468" w:hanging="200"/>
      </w:pPr>
      <w:rPr>
        <w:rFonts w:hint="default"/>
        <w:lang w:val="en-GB" w:eastAsia="en-GB" w:bidi="en-GB"/>
      </w:rPr>
    </w:lvl>
    <w:lvl w:ilvl="5" w:tplc="074AE1D8">
      <w:numFmt w:val="bullet"/>
      <w:lvlText w:val="•"/>
      <w:lvlJc w:val="left"/>
      <w:pPr>
        <w:ind w:left="5571" w:hanging="200"/>
      </w:pPr>
      <w:rPr>
        <w:rFonts w:hint="default"/>
        <w:lang w:val="en-GB" w:eastAsia="en-GB" w:bidi="en-GB"/>
      </w:rPr>
    </w:lvl>
    <w:lvl w:ilvl="6" w:tplc="AFF85F38">
      <w:numFmt w:val="bullet"/>
      <w:lvlText w:val="•"/>
      <w:lvlJc w:val="left"/>
      <w:pPr>
        <w:ind w:left="6674" w:hanging="200"/>
      </w:pPr>
      <w:rPr>
        <w:rFonts w:hint="default"/>
        <w:lang w:val="en-GB" w:eastAsia="en-GB" w:bidi="en-GB"/>
      </w:rPr>
    </w:lvl>
    <w:lvl w:ilvl="7" w:tplc="7BEED49C">
      <w:numFmt w:val="bullet"/>
      <w:lvlText w:val="•"/>
      <w:lvlJc w:val="left"/>
      <w:pPr>
        <w:ind w:left="7777" w:hanging="200"/>
      </w:pPr>
      <w:rPr>
        <w:rFonts w:hint="default"/>
        <w:lang w:val="en-GB" w:eastAsia="en-GB" w:bidi="en-GB"/>
      </w:rPr>
    </w:lvl>
    <w:lvl w:ilvl="8" w:tplc="FA729954">
      <w:numFmt w:val="bullet"/>
      <w:lvlText w:val="•"/>
      <w:lvlJc w:val="left"/>
      <w:pPr>
        <w:ind w:left="8879" w:hanging="200"/>
      </w:pPr>
      <w:rPr>
        <w:rFonts w:hint="default"/>
        <w:lang w:val="en-GB" w:eastAsia="en-GB" w:bidi="en-GB"/>
      </w:rPr>
    </w:lvl>
  </w:abstractNum>
  <w:abstractNum w:abstractNumId="14" w15:restartNumberingAfterBreak="0">
    <w:nsid w:val="72F14CFF"/>
    <w:multiLevelType w:val="hybridMultilevel"/>
    <w:tmpl w:val="16366D40"/>
    <w:lvl w:ilvl="0" w:tplc="AA74B8E6">
      <w:start w:val="1"/>
      <w:numFmt w:val="decimal"/>
      <w:lvlText w:val="%1."/>
      <w:lvlJc w:val="left"/>
      <w:pPr>
        <w:ind w:left="1060" w:hanging="640"/>
        <w:jc w:val="right"/>
      </w:pPr>
      <w:rPr>
        <w:rFonts w:ascii="Arial" w:eastAsia="Arial" w:hAnsi="Arial" w:cs="Arial" w:hint="default"/>
        <w:spacing w:val="-12"/>
        <w:w w:val="98"/>
        <w:sz w:val="22"/>
        <w:szCs w:val="22"/>
        <w:lang w:val="en-GB" w:eastAsia="en-GB" w:bidi="en-GB"/>
      </w:rPr>
    </w:lvl>
    <w:lvl w:ilvl="1" w:tplc="E43097C0">
      <w:numFmt w:val="bullet"/>
      <w:lvlText w:val="•"/>
      <w:lvlJc w:val="left"/>
      <w:pPr>
        <w:ind w:left="1060" w:hanging="205"/>
      </w:pPr>
      <w:rPr>
        <w:rFonts w:ascii="Arial" w:eastAsia="Arial" w:hAnsi="Arial" w:cs="Arial" w:hint="default"/>
        <w:spacing w:val="-14"/>
        <w:w w:val="100"/>
        <w:sz w:val="24"/>
        <w:szCs w:val="24"/>
        <w:lang w:val="en-GB" w:eastAsia="en-GB" w:bidi="en-GB"/>
      </w:rPr>
    </w:lvl>
    <w:lvl w:ilvl="2" w:tplc="2332992A">
      <w:numFmt w:val="bullet"/>
      <w:lvlText w:val="•"/>
      <w:lvlJc w:val="left"/>
      <w:pPr>
        <w:ind w:left="3065" w:hanging="205"/>
      </w:pPr>
      <w:rPr>
        <w:rFonts w:hint="default"/>
        <w:lang w:val="en-GB" w:eastAsia="en-GB" w:bidi="en-GB"/>
      </w:rPr>
    </w:lvl>
    <w:lvl w:ilvl="3" w:tplc="488A29E2">
      <w:numFmt w:val="bullet"/>
      <w:lvlText w:val="•"/>
      <w:lvlJc w:val="left"/>
      <w:pPr>
        <w:ind w:left="4067" w:hanging="205"/>
      </w:pPr>
      <w:rPr>
        <w:rFonts w:hint="default"/>
        <w:lang w:val="en-GB" w:eastAsia="en-GB" w:bidi="en-GB"/>
      </w:rPr>
    </w:lvl>
    <w:lvl w:ilvl="4" w:tplc="4FBC333E">
      <w:numFmt w:val="bullet"/>
      <w:lvlText w:val="•"/>
      <w:lvlJc w:val="left"/>
      <w:pPr>
        <w:ind w:left="5070" w:hanging="205"/>
      </w:pPr>
      <w:rPr>
        <w:rFonts w:hint="default"/>
        <w:lang w:val="en-GB" w:eastAsia="en-GB" w:bidi="en-GB"/>
      </w:rPr>
    </w:lvl>
    <w:lvl w:ilvl="5" w:tplc="465462E8">
      <w:numFmt w:val="bullet"/>
      <w:lvlText w:val="•"/>
      <w:lvlJc w:val="left"/>
      <w:pPr>
        <w:ind w:left="6072" w:hanging="205"/>
      </w:pPr>
      <w:rPr>
        <w:rFonts w:hint="default"/>
        <w:lang w:val="en-GB" w:eastAsia="en-GB" w:bidi="en-GB"/>
      </w:rPr>
    </w:lvl>
    <w:lvl w:ilvl="6" w:tplc="C3CCE91C">
      <w:numFmt w:val="bullet"/>
      <w:lvlText w:val="•"/>
      <w:lvlJc w:val="left"/>
      <w:pPr>
        <w:ind w:left="7075" w:hanging="205"/>
      </w:pPr>
      <w:rPr>
        <w:rFonts w:hint="default"/>
        <w:lang w:val="en-GB" w:eastAsia="en-GB" w:bidi="en-GB"/>
      </w:rPr>
    </w:lvl>
    <w:lvl w:ilvl="7" w:tplc="77824530">
      <w:numFmt w:val="bullet"/>
      <w:lvlText w:val="•"/>
      <w:lvlJc w:val="left"/>
      <w:pPr>
        <w:ind w:left="8077" w:hanging="205"/>
      </w:pPr>
      <w:rPr>
        <w:rFonts w:hint="default"/>
        <w:lang w:val="en-GB" w:eastAsia="en-GB" w:bidi="en-GB"/>
      </w:rPr>
    </w:lvl>
    <w:lvl w:ilvl="8" w:tplc="B45CDA26">
      <w:numFmt w:val="bullet"/>
      <w:lvlText w:val="•"/>
      <w:lvlJc w:val="left"/>
      <w:pPr>
        <w:ind w:left="9080" w:hanging="205"/>
      </w:pPr>
      <w:rPr>
        <w:rFonts w:hint="default"/>
        <w:lang w:val="en-GB" w:eastAsia="en-GB" w:bidi="en-GB"/>
      </w:rPr>
    </w:lvl>
  </w:abstractNum>
  <w:abstractNum w:abstractNumId="15" w15:restartNumberingAfterBreak="0">
    <w:nsid w:val="733758C7"/>
    <w:multiLevelType w:val="hybridMultilevel"/>
    <w:tmpl w:val="028CF086"/>
    <w:lvl w:ilvl="0" w:tplc="E3F60DE4">
      <w:start w:val="11"/>
      <w:numFmt w:val="decimal"/>
      <w:lvlText w:val="%1"/>
      <w:lvlJc w:val="left"/>
      <w:pPr>
        <w:ind w:left="340" w:hanging="360"/>
      </w:pPr>
      <w:rPr>
        <w:rFonts w:ascii="Arial" w:eastAsia="Arial" w:hAnsi="Arial" w:cs="Arial" w:hint="default"/>
        <w:spacing w:val="-12"/>
        <w:w w:val="100"/>
        <w:sz w:val="16"/>
        <w:szCs w:val="16"/>
        <w:lang w:val="en-GB" w:eastAsia="en-GB" w:bidi="en-GB"/>
      </w:rPr>
    </w:lvl>
    <w:lvl w:ilvl="1" w:tplc="23AA8972">
      <w:numFmt w:val="bullet"/>
      <w:lvlText w:val="•"/>
      <w:lvlJc w:val="left"/>
      <w:pPr>
        <w:ind w:left="1414" w:hanging="360"/>
      </w:pPr>
      <w:rPr>
        <w:rFonts w:hint="default"/>
        <w:lang w:val="en-GB" w:eastAsia="en-GB" w:bidi="en-GB"/>
      </w:rPr>
    </w:lvl>
    <w:lvl w:ilvl="2" w:tplc="832CAC38">
      <w:numFmt w:val="bullet"/>
      <w:lvlText w:val="•"/>
      <w:lvlJc w:val="left"/>
      <w:pPr>
        <w:ind w:left="2489" w:hanging="360"/>
      </w:pPr>
      <w:rPr>
        <w:rFonts w:hint="default"/>
        <w:lang w:val="en-GB" w:eastAsia="en-GB" w:bidi="en-GB"/>
      </w:rPr>
    </w:lvl>
    <w:lvl w:ilvl="3" w:tplc="7A963FCA">
      <w:numFmt w:val="bullet"/>
      <w:lvlText w:val="•"/>
      <w:lvlJc w:val="left"/>
      <w:pPr>
        <w:ind w:left="3563" w:hanging="360"/>
      </w:pPr>
      <w:rPr>
        <w:rFonts w:hint="default"/>
        <w:lang w:val="en-GB" w:eastAsia="en-GB" w:bidi="en-GB"/>
      </w:rPr>
    </w:lvl>
    <w:lvl w:ilvl="4" w:tplc="B8DEB15C">
      <w:numFmt w:val="bullet"/>
      <w:lvlText w:val="•"/>
      <w:lvlJc w:val="left"/>
      <w:pPr>
        <w:ind w:left="4638" w:hanging="360"/>
      </w:pPr>
      <w:rPr>
        <w:rFonts w:hint="default"/>
        <w:lang w:val="en-GB" w:eastAsia="en-GB" w:bidi="en-GB"/>
      </w:rPr>
    </w:lvl>
    <w:lvl w:ilvl="5" w:tplc="94FE6E6E">
      <w:numFmt w:val="bullet"/>
      <w:lvlText w:val="•"/>
      <w:lvlJc w:val="left"/>
      <w:pPr>
        <w:ind w:left="5712" w:hanging="360"/>
      </w:pPr>
      <w:rPr>
        <w:rFonts w:hint="default"/>
        <w:lang w:val="en-GB" w:eastAsia="en-GB" w:bidi="en-GB"/>
      </w:rPr>
    </w:lvl>
    <w:lvl w:ilvl="6" w:tplc="0A385F90">
      <w:numFmt w:val="bullet"/>
      <w:lvlText w:val="•"/>
      <w:lvlJc w:val="left"/>
      <w:pPr>
        <w:ind w:left="6787" w:hanging="360"/>
      </w:pPr>
      <w:rPr>
        <w:rFonts w:hint="default"/>
        <w:lang w:val="en-GB" w:eastAsia="en-GB" w:bidi="en-GB"/>
      </w:rPr>
    </w:lvl>
    <w:lvl w:ilvl="7" w:tplc="6D748ADA">
      <w:numFmt w:val="bullet"/>
      <w:lvlText w:val="•"/>
      <w:lvlJc w:val="left"/>
      <w:pPr>
        <w:ind w:left="7861" w:hanging="360"/>
      </w:pPr>
      <w:rPr>
        <w:rFonts w:hint="default"/>
        <w:lang w:val="en-GB" w:eastAsia="en-GB" w:bidi="en-GB"/>
      </w:rPr>
    </w:lvl>
    <w:lvl w:ilvl="8" w:tplc="53184490">
      <w:numFmt w:val="bullet"/>
      <w:lvlText w:val="•"/>
      <w:lvlJc w:val="left"/>
      <w:pPr>
        <w:ind w:left="8936" w:hanging="360"/>
      </w:pPr>
      <w:rPr>
        <w:rFonts w:hint="default"/>
        <w:lang w:val="en-GB" w:eastAsia="en-GB" w:bidi="en-GB"/>
      </w:rPr>
    </w:lvl>
  </w:abstractNum>
  <w:abstractNum w:abstractNumId="16" w15:restartNumberingAfterBreak="0">
    <w:nsid w:val="7EC76FDF"/>
    <w:multiLevelType w:val="hybridMultilevel"/>
    <w:tmpl w:val="191223FE"/>
    <w:lvl w:ilvl="0" w:tplc="152A5580">
      <w:start w:val="249"/>
      <w:numFmt w:val="decimal"/>
      <w:lvlText w:val="%1"/>
      <w:lvlJc w:val="left"/>
      <w:pPr>
        <w:ind w:left="744" w:hanging="405"/>
      </w:pPr>
      <w:rPr>
        <w:rFonts w:ascii="Arial" w:eastAsia="Arial" w:hAnsi="Arial" w:cs="Arial" w:hint="default"/>
        <w:spacing w:val="-9"/>
        <w:w w:val="100"/>
        <w:sz w:val="16"/>
        <w:szCs w:val="16"/>
        <w:lang w:val="en-GB" w:eastAsia="en-GB" w:bidi="en-GB"/>
      </w:rPr>
    </w:lvl>
    <w:lvl w:ilvl="1" w:tplc="8D1265E6">
      <w:numFmt w:val="bullet"/>
      <w:lvlText w:val="•"/>
      <w:lvlJc w:val="left"/>
      <w:pPr>
        <w:ind w:left="1774" w:hanging="405"/>
      </w:pPr>
      <w:rPr>
        <w:rFonts w:hint="default"/>
        <w:lang w:val="en-GB" w:eastAsia="en-GB" w:bidi="en-GB"/>
      </w:rPr>
    </w:lvl>
    <w:lvl w:ilvl="2" w:tplc="88A216A0">
      <w:numFmt w:val="bullet"/>
      <w:lvlText w:val="•"/>
      <w:lvlJc w:val="left"/>
      <w:pPr>
        <w:ind w:left="2809" w:hanging="405"/>
      </w:pPr>
      <w:rPr>
        <w:rFonts w:hint="default"/>
        <w:lang w:val="en-GB" w:eastAsia="en-GB" w:bidi="en-GB"/>
      </w:rPr>
    </w:lvl>
    <w:lvl w:ilvl="3" w:tplc="48E4CCCC">
      <w:numFmt w:val="bullet"/>
      <w:lvlText w:val="•"/>
      <w:lvlJc w:val="left"/>
      <w:pPr>
        <w:ind w:left="3843" w:hanging="405"/>
      </w:pPr>
      <w:rPr>
        <w:rFonts w:hint="default"/>
        <w:lang w:val="en-GB" w:eastAsia="en-GB" w:bidi="en-GB"/>
      </w:rPr>
    </w:lvl>
    <w:lvl w:ilvl="4" w:tplc="61F42EEC">
      <w:numFmt w:val="bullet"/>
      <w:lvlText w:val="•"/>
      <w:lvlJc w:val="left"/>
      <w:pPr>
        <w:ind w:left="4878" w:hanging="405"/>
      </w:pPr>
      <w:rPr>
        <w:rFonts w:hint="default"/>
        <w:lang w:val="en-GB" w:eastAsia="en-GB" w:bidi="en-GB"/>
      </w:rPr>
    </w:lvl>
    <w:lvl w:ilvl="5" w:tplc="8CB8E0F2">
      <w:numFmt w:val="bullet"/>
      <w:lvlText w:val="•"/>
      <w:lvlJc w:val="left"/>
      <w:pPr>
        <w:ind w:left="5912" w:hanging="405"/>
      </w:pPr>
      <w:rPr>
        <w:rFonts w:hint="default"/>
        <w:lang w:val="en-GB" w:eastAsia="en-GB" w:bidi="en-GB"/>
      </w:rPr>
    </w:lvl>
    <w:lvl w:ilvl="6" w:tplc="1E76EBE2">
      <w:numFmt w:val="bullet"/>
      <w:lvlText w:val="•"/>
      <w:lvlJc w:val="left"/>
      <w:pPr>
        <w:ind w:left="6947" w:hanging="405"/>
      </w:pPr>
      <w:rPr>
        <w:rFonts w:hint="default"/>
        <w:lang w:val="en-GB" w:eastAsia="en-GB" w:bidi="en-GB"/>
      </w:rPr>
    </w:lvl>
    <w:lvl w:ilvl="7" w:tplc="C3FA049C">
      <w:numFmt w:val="bullet"/>
      <w:lvlText w:val="•"/>
      <w:lvlJc w:val="left"/>
      <w:pPr>
        <w:ind w:left="7981" w:hanging="405"/>
      </w:pPr>
      <w:rPr>
        <w:rFonts w:hint="default"/>
        <w:lang w:val="en-GB" w:eastAsia="en-GB" w:bidi="en-GB"/>
      </w:rPr>
    </w:lvl>
    <w:lvl w:ilvl="8" w:tplc="46743A0E">
      <w:numFmt w:val="bullet"/>
      <w:lvlText w:val="•"/>
      <w:lvlJc w:val="left"/>
      <w:pPr>
        <w:ind w:left="9016" w:hanging="405"/>
      </w:pPr>
      <w:rPr>
        <w:rFonts w:hint="default"/>
        <w:lang w:val="en-GB" w:eastAsia="en-GB" w:bidi="en-GB"/>
      </w:rPr>
    </w:lvl>
  </w:abstractNum>
  <w:num w:numId="1">
    <w:abstractNumId w:val="5"/>
  </w:num>
  <w:num w:numId="2">
    <w:abstractNumId w:val="16"/>
  </w:num>
  <w:num w:numId="3">
    <w:abstractNumId w:val="8"/>
  </w:num>
  <w:num w:numId="4">
    <w:abstractNumId w:val="9"/>
  </w:num>
  <w:num w:numId="5">
    <w:abstractNumId w:val="15"/>
  </w:num>
  <w:num w:numId="6">
    <w:abstractNumId w:val="11"/>
  </w:num>
  <w:num w:numId="7">
    <w:abstractNumId w:val="7"/>
  </w:num>
  <w:num w:numId="8">
    <w:abstractNumId w:val="2"/>
  </w:num>
  <w:num w:numId="9">
    <w:abstractNumId w:val="10"/>
  </w:num>
  <w:num w:numId="10">
    <w:abstractNumId w:val="4"/>
  </w:num>
  <w:num w:numId="11">
    <w:abstractNumId w:val="1"/>
  </w:num>
  <w:num w:numId="12">
    <w:abstractNumId w:val="13"/>
  </w:num>
  <w:num w:numId="13">
    <w:abstractNumId w:val="12"/>
  </w:num>
  <w:num w:numId="14">
    <w:abstractNumId w:val="3"/>
  </w:num>
  <w:num w:numId="15">
    <w:abstractNumId w:val="14"/>
  </w:num>
  <w:num w:numId="16">
    <w:abstractNumId w:val="6"/>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7A0A6C"/>
    <w:rsid w:val="004638C1"/>
    <w:rsid w:val="00660E26"/>
    <w:rsid w:val="0068571D"/>
    <w:rsid w:val="007A0A6C"/>
    <w:rsid w:val="009759E1"/>
    <w:rsid w:val="00CA0F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740F516"/>
  <w15:docId w15:val="{15A46514-A944-D444-A37B-E870DB235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eastAsia="en-GB" w:bidi="en-GB"/>
    </w:rPr>
  </w:style>
  <w:style w:type="paragraph" w:styleId="Heading1">
    <w:name w:val="heading 1"/>
    <w:basedOn w:val="Normal"/>
    <w:uiPriority w:val="9"/>
    <w:qFormat/>
    <w:pPr>
      <w:spacing w:before="82"/>
      <w:ind w:left="340"/>
      <w:outlineLvl w:val="0"/>
    </w:pPr>
    <w:rPr>
      <w:rFonts w:ascii="Raleway-SemiBold" w:eastAsia="Raleway-SemiBold" w:hAnsi="Raleway-SemiBold" w:cs="Raleway-SemiBold"/>
      <w:b/>
      <w:bCs/>
      <w:sz w:val="48"/>
      <w:szCs w:val="48"/>
    </w:rPr>
  </w:style>
  <w:style w:type="paragraph" w:styleId="Heading2">
    <w:name w:val="heading 2"/>
    <w:basedOn w:val="Normal"/>
    <w:uiPriority w:val="9"/>
    <w:unhideWhenUsed/>
    <w:qFormat/>
    <w:pPr>
      <w:spacing w:before="207"/>
      <w:ind w:left="340"/>
      <w:outlineLvl w:val="1"/>
    </w:pPr>
    <w:rPr>
      <w:rFonts w:ascii="Raleway" w:eastAsia="Raleway" w:hAnsi="Raleway" w:cs="Raleway"/>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60"/>
    </w:pPr>
  </w:style>
  <w:style w:type="paragraph" w:styleId="ListParagraph">
    <w:name w:val="List Paragraph"/>
    <w:basedOn w:val="Normal"/>
    <w:uiPriority w:val="1"/>
    <w:qFormat/>
    <w:pPr>
      <w:spacing w:before="116"/>
      <w:ind w:left="340"/>
    </w:pPr>
  </w:style>
  <w:style w:type="paragraph" w:customStyle="1" w:styleId="TableParagraph">
    <w:name w:val="Table Paragraph"/>
    <w:basedOn w:val="Normal"/>
    <w:uiPriority w:val="1"/>
    <w:qFormat/>
    <w:pPr>
      <w:spacing w:before="55"/>
      <w:ind w:left="31"/>
    </w:pPr>
  </w:style>
  <w:style w:type="paragraph" w:styleId="TOC1">
    <w:name w:val="toc 1"/>
    <w:basedOn w:val="Normal"/>
    <w:next w:val="Normal"/>
    <w:autoRedefine/>
    <w:uiPriority w:val="39"/>
    <w:unhideWhenUsed/>
    <w:rsid w:val="009759E1"/>
    <w:pPr>
      <w:spacing w:before="120"/>
    </w:pPr>
    <w:rPr>
      <w:rFonts w:asciiTheme="minorHAnsi" w:hAnsiTheme="minorHAnsi" w:cstheme="minorHAnsi"/>
      <w:b/>
      <w:bCs/>
      <w:iCs/>
      <w:sz w:val="24"/>
      <w:szCs w:val="24"/>
    </w:rPr>
  </w:style>
  <w:style w:type="character" w:styleId="Hyperlink">
    <w:name w:val="Hyperlink"/>
    <w:basedOn w:val="DefaultParagraphFont"/>
    <w:uiPriority w:val="99"/>
    <w:unhideWhenUsed/>
    <w:rsid w:val="009759E1"/>
    <w:rPr>
      <w:color w:val="0000FF" w:themeColor="hyperlink"/>
      <w:u w:val="single"/>
    </w:rPr>
  </w:style>
  <w:style w:type="paragraph" w:styleId="TOCHeading">
    <w:name w:val="TOC Heading"/>
    <w:basedOn w:val="Heading1"/>
    <w:next w:val="Normal"/>
    <w:uiPriority w:val="39"/>
    <w:unhideWhenUsed/>
    <w:qFormat/>
    <w:rsid w:val="009759E1"/>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lang w:val="en-US" w:eastAsia="en-US" w:bidi="ar-SA"/>
    </w:rPr>
  </w:style>
  <w:style w:type="paragraph" w:styleId="TOC2">
    <w:name w:val="toc 2"/>
    <w:basedOn w:val="Normal"/>
    <w:next w:val="Normal"/>
    <w:autoRedefine/>
    <w:uiPriority w:val="39"/>
    <w:unhideWhenUsed/>
    <w:rsid w:val="009759E1"/>
    <w:pPr>
      <w:spacing w:before="120"/>
      <w:ind w:left="220"/>
    </w:pPr>
    <w:rPr>
      <w:rFonts w:asciiTheme="minorHAnsi" w:hAnsiTheme="minorHAnsi" w:cstheme="minorHAnsi"/>
      <w:b/>
      <w:bCs/>
    </w:rPr>
  </w:style>
  <w:style w:type="paragraph" w:styleId="TOC3">
    <w:name w:val="toc 3"/>
    <w:basedOn w:val="Normal"/>
    <w:next w:val="Normal"/>
    <w:autoRedefine/>
    <w:uiPriority w:val="39"/>
    <w:semiHidden/>
    <w:unhideWhenUsed/>
    <w:rsid w:val="009759E1"/>
    <w:pPr>
      <w:ind w:left="44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9759E1"/>
    <w:pPr>
      <w:ind w:left="66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9759E1"/>
    <w:pPr>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9759E1"/>
    <w:pPr>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9759E1"/>
    <w:pPr>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9759E1"/>
    <w:pPr>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9759E1"/>
    <w:pPr>
      <w:ind w:left="1760"/>
    </w:pPr>
    <w:rPr>
      <w:rFonts w:asciiTheme="minorHAnsi" w:hAnsiTheme="minorHAnsi" w:cstheme="minorHAnsi"/>
      <w:sz w:val="20"/>
      <w:szCs w:val="20"/>
    </w:rPr>
  </w:style>
  <w:style w:type="paragraph" w:styleId="Title">
    <w:name w:val="Title"/>
    <w:basedOn w:val="Normal"/>
    <w:next w:val="Normal"/>
    <w:link w:val="TitleChar"/>
    <w:uiPriority w:val="10"/>
    <w:qFormat/>
    <w:rsid w:val="0068571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571D"/>
    <w:rPr>
      <w:rFonts w:asciiTheme="majorHAnsi" w:eastAsiaTheme="majorEastAsia" w:hAnsiTheme="majorHAnsi" w:cstheme="majorBidi"/>
      <w:spacing w:val="-10"/>
      <w:kern w:val="28"/>
      <w:sz w:val="56"/>
      <w:szCs w:val="5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hyperlink" Target="https://www.dana.org.au/" TargetMode="External"/><Relationship Id="rId39" Type="http://schemas.openxmlformats.org/officeDocument/2006/relationships/hyperlink" Target="https://pwd.org.au/" TargetMode="External"/><Relationship Id="rId21" Type="http://schemas.openxmlformats.org/officeDocument/2006/relationships/hyperlink" Target="http://www.nswcid.org.au/" TargetMode="External"/><Relationship Id="rId34" Type="http://schemas.openxmlformats.org/officeDocument/2006/relationships/hyperlink" Target="https://www.afdo.org.au/" TargetMode="External"/><Relationship Id="rId42" Type="http://schemas.openxmlformats.org/officeDocument/2006/relationships/hyperlink" Target="http://www.legislation.gov.au/Details/C2013A00020" TargetMode="External"/><Relationship Id="rId47" Type="http://schemas.openxmlformats.org/officeDocument/2006/relationships/hyperlink" Target="http://www.anrows.org.au/project/evaluation-of-the-1800respect-disability-referral-pathways-project/" TargetMode="External"/><Relationship Id="rId50" Type="http://schemas.openxmlformats.org/officeDocument/2006/relationships/hyperlink" Target="https://www.humanrightscommission.vic.gov.au/home/news-and-events/item/568-communiqu%25C3%25A9-from-australian-council-of-human-rights-agencies-meeting-18-19-march-2013" TargetMode="External"/><Relationship Id="rId55" Type="http://schemas.openxmlformats.org/officeDocument/2006/relationships/hyperlink" Target="https://www.humanrightscommission.vic.gov.au/home/news-and-events/item/568-communiqu%C3%A9-from-australian-council-of-human-rights-agencies-meeting-18-19-march-2013"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disabilitylaw.org.au/" TargetMode="External"/><Relationship Id="rId11" Type="http://schemas.openxmlformats.org/officeDocument/2006/relationships/image" Target="media/image4.jpeg"/><Relationship Id="rId24" Type="http://schemas.openxmlformats.org/officeDocument/2006/relationships/hyperlink" Target="https://qai.org.au/" TargetMode="External"/><Relationship Id="rId32" Type="http://schemas.openxmlformats.org/officeDocument/2006/relationships/hyperlink" Target="https://www.cyda.org.au/" TargetMode="External"/><Relationship Id="rId37" Type="http://schemas.openxmlformats.org/officeDocument/2006/relationships/hyperlink" Target="https://fpdn.org.au/" TargetMode="External"/><Relationship Id="rId40" Type="http://schemas.openxmlformats.org/officeDocument/2006/relationships/hyperlink" Target="http://www.neda.org.au/" TargetMode="External"/><Relationship Id="rId45" Type="http://schemas.openxmlformats.org/officeDocument/2006/relationships/hyperlink" Target="http://www.1800respect.org.au/sunny/" TargetMode="External"/><Relationship Id="rId53" Type="http://schemas.openxmlformats.org/officeDocument/2006/relationships/hyperlink" Target="http://www.aph.gov.au/Parliamentary_Business/Committees/Senate/Community_Affairs/Involuntary_Sterilisation/Submissions"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dpoa.org.a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www.nswcid.org.au/" TargetMode="External"/><Relationship Id="rId27" Type="http://schemas.openxmlformats.org/officeDocument/2006/relationships/hyperlink" Target="https://www.dana.org.au/" TargetMode="External"/><Relationship Id="rId30" Type="http://schemas.openxmlformats.org/officeDocument/2006/relationships/hyperlink" Target="http://qldvoice.org.au/" TargetMode="External"/><Relationship Id="rId35" Type="http://schemas.openxmlformats.org/officeDocument/2006/relationships/hyperlink" Target="http://dpoa.org.au/" TargetMode="External"/><Relationship Id="rId43" Type="http://schemas.openxmlformats.org/officeDocument/2006/relationships/hyperlink" Target="http://www.ndis.gov.au/about-us/publications/" TargetMode="External"/><Relationship Id="rId48" Type="http://schemas.openxmlformats.org/officeDocument/2006/relationships/hyperlink" Target="http://www.abc.net.au/rampup/" TargetMode="External"/><Relationship Id="rId56" Type="http://schemas.openxmlformats.org/officeDocument/2006/relationships/hyperlink" Target="https://www.humanrightscommission.vic.gov.au/home/news-and-events/item/568-communiqu%C3%A9-from-australian-council-of-human-rights-agencies-meeting-18-19-march-2013" TargetMode="External"/><Relationship Id="rId8" Type="http://schemas.openxmlformats.org/officeDocument/2006/relationships/image" Target="media/image1.jpeg"/><Relationship Id="rId51" Type="http://schemas.openxmlformats.org/officeDocument/2006/relationships/hyperlink" Target="https://www.humanrightscommission.vic.gov.au/home/news-and-events/item/568-communiqu%25C3%25A9-from-australian-council-of-human-rights-agencies-meeting-18-19-march-2013"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advocacyforinclusion.org/" TargetMode="External"/><Relationship Id="rId33" Type="http://schemas.openxmlformats.org/officeDocument/2006/relationships/hyperlink" Target="https://www.afdo.org.au/" TargetMode="External"/><Relationship Id="rId38" Type="http://schemas.openxmlformats.org/officeDocument/2006/relationships/hyperlink" Target="https://fpdn.org.au/" TargetMode="External"/><Relationship Id="rId46" Type="http://schemas.openxmlformats.org/officeDocument/2006/relationships/hyperlink" Target="http://www.dvalert.org.au/education-and-training/2-day-workshops/disabilities-workshops" TargetMode="External"/><Relationship Id="rId59" Type="http://schemas.openxmlformats.org/officeDocument/2006/relationships/theme" Target="theme/theme1.xml"/><Relationship Id="rId20" Type="http://schemas.openxmlformats.org/officeDocument/2006/relationships/hyperlink" Target="http://dpoa.org.au/" TargetMode="External"/><Relationship Id="rId41" Type="http://schemas.openxmlformats.org/officeDocument/2006/relationships/footer" Target="footer2.xml"/><Relationship Id="rId54" Type="http://schemas.openxmlformats.org/officeDocument/2006/relationships/hyperlink" Target="https://www.humanrightscommission.vic.gov.au/home/news-and-events/item/568-communiqu%C3%A9-from-australian-council-of-human-rights-agencies-meeting-18-19-march-201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qai.org.au/" TargetMode="External"/><Relationship Id="rId28" Type="http://schemas.openxmlformats.org/officeDocument/2006/relationships/hyperlink" Target="https://disabilitylaw.org.au/" TargetMode="External"/><Relationship Id="rId36" Type="http://schemas.openxmlformats.org/officeDocument/2006/relationships/hyperlink" Target="http://wwda.org.au/" TargetMode="External"/><Relationship Id="rId49" Type="http://schemas.openxmlformats.org/officeDocument/2006/relationships/hyperlink" Target="https://www.humanrightscommission.vic.gov.au/home/news-and-events/item/568-communiqu%25C3%25A9-from-australian-council-of-human-rights-agencies-meeting-18-19-march-2013" TargetMode="External"/><Relationship Id="rId57" Type="http://schemas.openxmlformats.org/officeDocument/2006/relationships/hyperlink" Target="https://www.humanrightscommission.vic.gov.au/home/news-and-events/item/568-communiqu%C3%A9-from-australian-council-of-human-rights-agencies-meeting-18-19-march-2013" TargetMode="External"/><Relationship Id="rId10" Type="http://schemas.openxmlformats.org/officeDocument/2006/relationships/image" Target="media/image3.jpeg"/><Relationship Id="rId31" Type="http://schemas.openxmlformats.org/officeDocument/2006/relationships/hyperlink" Target="https://www.cyda.org.au/" TargetMode="External"/><Relationship Id="rId44" Type="http://schemas.openxmlformats.org/officeDocument/2006/relationships/hyperlink" Target="http://www.abs.gov.au/AUSSTATS/abs%40.nsf/Lookup/4906.0Ex-" TargetMode="External"/><Relationship Id="rId52" Type="http://schemas.openxmlformats.org/officeDocument/2006/relationships/hyperlink" Target="http://www.aph.gov.au/Parliamentary_Business/Committees/Senate/Community_Affairs/Involuntary_Sterilisation/Submiss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96C133-5596-644C-9998-3E87A32B4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52</Pages>
  <Words>24947</Words>
  <Characters>142203</Characters>
  <Application>Microsoft Office Word</Application>
  <DocSecurity>0</DocSecurity>
  <Lines>1185</Lines>
  <Paragraphs>333</Paragraphs>
  <ScaleCrop>false</ScaleCrop>
  <Company/>
  <LinksUpToDate>false</LinksUpToDate>
  <CharactersWithSpaces>166817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Derechos sobre Discapacidad de 2019. Informe Paralelo de la Sociedad Civil Australiana relativo a la Convención de las Naciones Unidas sobre los Derechos de las Personas con Discapacidad Revisión de la CRPD de las Naciones Unidas de 2019</dc:title>
  <dc:creator>Organizaciones Australianas para Personas con Discapacidad (DPO)</dc:creator>
  <cp:lastModifiedBy>Ben Crompton</cp:lastModifiedBy>
  <cp:revision>4</cp:revision>
  <dcterms:created xsi:type="dcterms:W3CDTF">2019-07-25T23:46:00Z</dcterms:created>
  <dcterms:modified xsi:type="dcterms:W3CDTF">2019-07-26T07:03:00Z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2019-07-26T00:00:00Z</vt:filetime>
  </property>
  <property fmtid="{D5CDD505-2E9C-101B-9397-08002B2CF9AE}" pid="3" name="Creator">
    <vt:lpwstr>Adobe InDesign 14.0 (Macintosh)</vt:lpwstr>
  </property>
  <property fmtid="{D5CDD505-2E9C-101B-9397-08002B2CF9AE}" pid="4" name="LastSaved">
    <vt:filetime>2019-07-25T00:00:00Z</vt:filetime>
  </property>
</Properties>
</file>