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A379" w14:textId="77777777" w:rsidR="00F5359F" w:rsidRPr="005629B0" w:rsidRDefault="00F5359F" w:rsidP="00F5359F">
      <w:pPr>
        <w:spacing w:before="120" w:after="120"/>
        <w:jc w:val="center"/>
        <w:rPr>
          <w:rFonts w:asciiTheme="majorHAnsi" w:hAnsiTheme="majorHAnsi" w:cs="Arial"/>
          <w:sz w:val="24"/>
          <w:szCs w:val="24"/>
        </w:rPr>
      </w:pPr>
      <w:bookmarkStart w:id="0" w:name="_GoBack"/>
      <w:bookmarkEnd w:id="0"/>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66292689" w:rsidR="00F5359F" w:rsidRPr="005629B0" w:rsidRDefault="009C36FB" w:rsidP="00F5359F">
      <w:pPr>
        <w:spacing w:before="120" w:after="120"/>
        <w:rPr>
          <w:rFonts w:asciiTheme="majorHAnsi" w:hAnsiTheme="majorHAnsi" w:cs="Arial"/>
          <w:b/>
          <w:sz w:val="36"/>
          <w:szCs w:val="36"/>
        </w:rPr>
      </w:pPr>
      <w:r>
        <w:rPr>
          <w:rFonts w:asciiTheme="majorHAnsi" w:hAnsiTheme="majorHAnsi" w:cs="Arial"/>
          <w:b/>
          <w:sz w:val="36"/>
          <w:szCs w:val="36"/>
        </w:rPr>
        <w:t>Department of Infrastructure, Regional Development and Cities</w:t>
      </w:r>
    </w:p>
    <w:p w14:paraId="72C9B1A1" w14:textId="2C04468C" w:rsidR="00F5359F" w:rsidRPr="005629B0" w:rsidRDefault="009C36FB" w:rsidP="00F5359F">
      <w:pPr>
        <w:spacing w:before="120" w:after="120"/>
        <w:rPr>
          <w:rFonts w:asciiTheme="majorHAnsi" w:hAnsiTheme="majorHAnsi" w:cs="Arial"/>
          <w:b/>
          <w:sz w:val="36"/>
          <w:szCs w:val="36"/>
        </w:rPr>
      </w:pPr>
      <w:r>
        <w:rPr>
          <w:rFonts w:asciiTheme="majorHAnsi" w:hAnsiTheme="majorHAnsi" w:cs="Arial"/>
          <w:b/>
          <w:sz w:val="36"/>
          <w:szCs w:val="36"/>
        </w:rPr>
        <w:t>Issues Paper</w:t>
      </w:r>
      <w:r w:rsidR="000479A5">
        <w:rPr>
          <w:rFonts w:asciiTheme="majorHAnsi" w:hAnsiTheme="majorHAnsi" w:cs="Arial"/>
          <w:b/>
          <w:sz w:val="36"/>
          <w:szCs w:val="36"/>
        </w:rPr>
        <w:t>:</w:t>
      </w:r>
      <w:r w:rsidR="00F5359F" w:rsidRPr="005629B0">
        <w:rPr>
          <w:rFonts w:asciiTheme="majorHAnsi" w:hAnsiTheme="majorHAnsi" w:cs="Arial"/>
          <w:b/>
          <w:sz w:val="36"/>
          <w:szCs w:val="36"/>
        </w:rPr>
        <w:t xml:space="preserve"> </w:t>
      </w:r>
      <w:r>
        <w:rPr>
          <w:rFonts w:asciiTheme="majorHAnsi" w:hAnsiTheme="majorHAnsi" w:cs="Arial"/>
          <w:b/>
          <w:sz w:val="36"/>
          <w:szCs w:val="36"/>
        </w:rPr>
        <w:t xml:space="preserve">Third Review of the Disability Standards for Accessible Public Transport 2002 (Transport Standards) </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519B7B25" w:rsidR="00F5359F" w:rsidRPr="005629B0" w:rsidRDefault="00C20CF7" w:rsidP="00F5359F">
      <w:pPr>
        <w:pStyle w:val="Footer"/>
        <w:rPr>
          <w:rFonts w:cs="Arial"/>
          <w:b/>
          <w:sz w:val="28"/>
          <w:szCs w:val="28"/>
        </w:rPr>
      </w:pPr>
      <w:r>
        <w:rPr>
          <w:rFonts w:cs="Arial"/>
          <w:b/>
          <w:sz w:val="28"/>
          <w:szCs w:val="28"/>
        </w:rPr>
        <w:t xml:space="preserve">December </w:t>
      </w:r>
      <w:r w:rsidR="005562FF">
        <w:rPr>
          <w:rFonts w:cs="Arial"/>
          <w:b/>
          <w:sz w:val="28"/>
          <w:szCs w:val="28"/>
        </w:rPr>
        <w:t>2018</w:t>
      </w:r>
      <w:r w:rsidR="00F5359F" w:rsidRPr="005629B0">
        <w:rPr>
          <w:rFonts w:cs="Arial"/>
          <w:b/>
          <w:sz w:val="28"/>
          <w:szCs w:val="28"/>
        </w:rPr>
        <w:t xml:space="preserve">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7D658BF9" w14:textId="77777777" w:rsidR="00A44BB3" w:rsidRPr="00992459" w:rsidRDefault="00A44BB3" w:rsidP="004A713B">
      <w:pPr>
        <w:spacing w:after="120" w:line="240" w:lineRule="auto"/>
        <w:rPr>
          <w:rFonts w:asciiTheme="majorHAnsi" w:eastAsiaTheme="minorEastAsia" w:hAnsiTheme="majorHAnsi" w:cstheme="majorHAnsi"/>
          <w:b/>
          <w:sz w:val="24"/>
          <w:szCs w:val="24"/>
        </w:rPr>
      </w:pPr>
      <w:r w:rsidRPr="00992459">
        <w:rPr>
          <w:rFonts w:asciiTheme="majorHAnsi" w:eastAsiaTheme="minorEastAsia" w:hAnsiTheme="majorHAnsi" w:cstheme="majorHAnsi"/>
          <w:b/>
          <w:sz w:val="24"/>
          <w:szCs w:val="24"/>
        </w:rPr>
        <w:t>Suggested Citation:</w:t>
      </w:r>
    </w:p>
    <w:p w14:paraId="02381BC3" w14:textId="6819CD91" w:rsidR="00F5359F" w:rsidRPr="00CB509D" w:rsidRDefault="00A44BB3" w:rsidP="00F5359F">
      <w:pPr>
        <w:rPr>
          <w:rFonts w:asciiTheme="majorHAnsi" w:eastAsiaTheme="minorEastAsia" w:hAnsiTheme="majorHAnsi" w:cstheme="majorHAnsi"/>
        </w:rPr>
      </w:pPr>
      <w:r w:rsidRPr="00C7792D">
        <w:rPr>
          <w:rFonts w:asciiTheme="majorHAnsi" w:eastAsiaTheme="minorEastAsia" w:hAnsiTheme="majorHAnsi" w:cstheme="majorHAnsi"/>
          <w:sz w:val="24"/>
          <w:szCs w:val="24"/>
        </w:rPr>
        <w:t>Disabled Pe</w:t>
      </w:r>
      <w:r w:rsidR="004A713B">
        <w:rPr>
          <w:rFonts w:asciiTheme="majorHAnsi" w:eastAsiaTheme="minorEastAsia" w:hAnsiTheme="majorHAnsi" w:cstheme="majorHAnsi"/>
          <w:sz w:val="24"/>
          <w:szCs w:val="24"/>
        </w:rPr>
        <w:t>ople’s Organisations Australia,</w:t>
      </w:r>
      <w:r w:rsidRPr="00A44BB3">
        <w:rPr>
          <w:rFonts w:asciiTheme="majorHAnsi" w:eastAsiaTheme="minorEastAsia" w:hAnsiTheme="majorHAnsi" w:cstheme="majorHAnsi"/>
          <w:i/>
          <w:sz w:val="24"/>
          <w:szCs w:val="24"/>
        </w:rPr>
        <w:t xml:space="preserve"> Submission to the</w:t>
      </w:r>
      <w:r w:rsidR="004A713B">
        <w:rPr>
          <w:rFonts w:asciiTheme="majorHAnsi" w:eastAsiaTheme="minorEastAsia" w:hAnsiTheme="majorHAnsi" w:cstheme="majorHAnsi"/>
          <w:i/>
          <w:sz w:val="24"/>
          <w:szCs w:val="24"/>
        </w:rPr>
        <w:t xml:space="preserve"> </w:t>
      </w:r>
      <w:r w:rsidR="009C36FB">
        <w:rPr>
          <w:rFonts w:asciiTheme="majorHAnsi" w:eastAsiaTheme="minorEastAsia" w:hAnsiTheme="majorHAnsi" w:cstheme="majorHAnsi"/>
          <w:i/>
          <w:sz w:val="24"/>
          <w:szCs w:val="24"/>
        </w:rPr>
        <w:t>Department of Infrastructure, Regional Development and Cities Issues Paper: Third Review of the Disability Standards for Accessible Public Transport 2002 (Transport Standards)</w:t>
      </w:r>
      <w:r w:rsidR="004A713B">
        <w:rPr>
          <w:rFonts w:asciiTheme="majorHAnsi" w:eastAsiaTheme="minorEastAsia" w:hAnsiTheme="majorHAnsi" w:cstheme="majorHAnsi"/>
          <w:i/>
          <w:sz w:val="24"/>
          <w:szCs w:val="24"/>
        </w:rPr>
        <w:t xml:space="preserve">, </w:t>
      </w:r>
      <w:r w:rsidR="004D1821">
        <w:rPr>
          <w:rFonts w:asciiTheme="majorHAnsi" w:eastAsiaTheme="minorEastAsia" w:hAnsiTheme="majorHAnsi" w:cstheme="majorHAnsi"/>
          <w:i/>
          <w:sz w:val="24"/>
          <w:szCs w:val="24"/>
        </w:rPr>
        <w:t>December</w:t>
      </w:r>
      <w:r w:rsidR="009C36FB">
        <w:rPr>
          <w:rFonts w:asciiTheme="majorHAnsi" w:eastAsiaTheme="minorEastAsia" w:hAnsiTheme="majorHAnsi" w:cstheme="majorHAnsi"/>
          <w:i/>
          <w:sz w:val="24"/>
          <w:szCs w:val="24"/>
        </w:rPr>
        <w:t xml:space="preserve"> </w:t>
      </w:r>
      <w:r w:rsidR="004A713B">
        <w:rPr>
          <w:rFonts w:asciiTheme="majorHAnsi" w:eastAsiaTheme="minorEastAsia" w:hAnsiTheme="majorHAnsi" w:cstheme="majorHAnsi"/>
          <w:sz w:val="24"/>
          <w:szCs w:val="24"/>
        </w:rPr>
        <w:t>2018,</w:t>
      </w:r>
      <w:r>
        <w:rPr>
          <w:rFonts w:asciiTheme="majorHAnsi" w:eastAsiaTheme="minorEastAsia" w:hAnsiTheme="majorHAnsi" w:cstheme="majorHAnsi"/>
          <w:sz w:val="24"/>
          <w:szCs w:val="24"/>
        </w:rPr>
        <w:t xml:space="preserve"> </w:t>
      </w:r>
      <w:r w:rsidR="004D1821">
        <w:rPr>
          <w:rFonts w:asciiTheme="majorHAnsi" w:eastAsiaTheme="minorEastAsia" w:hAnsiTheme="majorHAnsi" w:cstheme="majorHAnsi"/>
          <w:sz w:val="24"/>
          <w:szCs w:val="24"/>
        </w:rPr>
        <w:t xml:space="preserve">Disabled People’s Organisations Australia.  </w:t>
      </w:r>
    </w:p>
    <w:p w14:paraId="03D8E744" w14:textId="77777777" w:rsidR="00F5359F" w:rsidRPr="005629B0" w:rsidRDefault="00F5359F" w:rsidP="00F5359F">
      <w:pPr>
        <w:rPr>
          <w:rFonts w:asciiTheme="majorHAnsi" w:eastAsiaTheme="minorEastAsia" w:hAnsiTheme="majorHAnsi" w:cstheme="majorHAnsi"/>
          <w:sz w:val="24"/>
          <w:szCs w:val="24"/>
        </w:rPr>
      </w:pPr>
    </w:p>
    <w:p w14:paraId="56F881B2" w14:textId="2E8ED9BA" w:rsidR="00F5359F" w:rsidRPr="005629B0" w:rsidRDefault="00E81CAB" w:rsidP="00F5359F">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This submission has been w</w:t>
      </w:r>
      <w:r w:rsidR="004A713B">
        <w:rPr>
          <w:rFonts w:asciiTheme="majorHAnsi" w:eastAsiaTheme="minorEastAsia" w:hAnsiTheme="majorHAnsi" w:cstheme="majorHAnsi"/>
          <w:sz w:val="24"/>
          <w:szCs w:val="24"/>
        </w:rPr>
        <w:t xml:space="preserve">ritten on behalf of Disabled People’s Organisations Australia (DPO Australia) by </w:t>
      </w:r>
      <w:r w:rsidR="009C36FB">
        <w:rPr>
          <w:rFonts w:asciiTheme="majorHAnsi" w:eastAsiaTheme="minorEastAsia" w:hAnsiTheme="majorHAnsi" w:cstheme="majorHAnsi"/>
          <w:sz w:val="24"/>
          <w:szCs w:val="24"/>
        </w:rPr>
        <w:t>Jane Flanagan (National Ethnic Disability Alliance) and Samantha French (People with Disability Australia)</w:t>
      </w:r>
      <w:r w:rsidR="004A713B">
        <w:rPr>
          <w:rFonts w:asciiTheme="majorHAnsi" w:eastAsiaTheme="minorEastAsia" w:hAnsiTheme="majorHAnsi" w:cstheme="majorHAnsi"/>
          <w:sz w:val="24"/>
          <w:szCs w:val="24"/>
        </w:rPr>
        <w:t>.</w:t>
      </w:r>
      <w:r w:rsidR="004A713B" w:rsidRPr="005629B0">
        <w:rPr>
          <w:rFonts w:asciiTheme="majorHAnsi" w:eastAsiaTheme="minorEastAsia" w:hAnsiTheme="majorHAnsi" w:cstheme="majorHAnsi"/>
          <w:sz w:val="24"/>
          <w:szCs w:val="24"/>
        </w:rPr>
        <w:t xml:space="preserve"> </w:t>
      </w: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5B5B6D91"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Disabled People’s Organisations Australia (DPO Australia). All possible care has been taken in the preparation of the information contained in this document. </w:t>
      </w:r>
      <w:r w:rsidR="004A713B">
        <w:rPr>
          <w:rFonts w:asciiTheme="majorHAnsi" w:eastAsiaTheme="minorEastAsia" w:hAnsiTheme="majorHAnsi" w:cstheme="majorHAnsi"/>
          <w:sz w:val="24"/>
          <w:szCs w:val="24"/>
        </w:rPr>
        <w:t>DPO Australia</w:t>
      </w:r>
      <w:r w:rsidRPr="005629B0">
        <w:rPr>
          <w:rFonts w:asciiTheme="majorHAnsi" w:eastAsiaTheme="minorEastAsia" w:hAnsiTheme="majorHAnsi" w:cstheme="majorHAnsi"/>
          <w:sz w:val="24"/>
          <w:szCs w:val="24"/>
        </w:rPr>
        <w:t xml:space="preserve">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02FB72C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w:t>
      </w:r>
      <w:r w:rsidR="00C23922">
        <w:rPr>
          <w:rFonts w:ascii="Arial" w:eastAsiaTheme="minorEastAsia" w:hAnsi="Arial" w:cs="Arial"/>
          <w:b/>
          <w:color w:val="44546A" w:themeColor="text2"/>
          <w:sz w:val="28"/>
          <w:szCs w:val="28"/>
        </w:rPr>
        <w:t>s</w:t>
      </w:r>
      <w:r w:rsidRPr="005629B0">
        <w:rPr>
          <w:rFonts w:ascii="Arial" w:eastAsiaTheme="minorEastAsia" w:hAnsi="Arial" w:cs="Arial"/>
          <w:b/>
          <w:color w:val="44546A" w:themeColor="text2"/>
          <w:sz w:val="28"/>
          <w:szCs w:val="28"/>
        </w:rPr>
        <w:t xml:space="preserve">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1DFA663F" w14:textId="77777777" w:rsidR="00BE3443" w:rsidRDefault="00BE3443" w:rsidP="00BE3443">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Jane Flanagan </w:t>
      </w:r>
    </w:p>
    <w:p w14:paraId="2A314505" w14:textId="77777777" w:rsidR="00BE3443" w:rsidRDefault="00BE3443" w:rsidP="00BE3443">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National Ethnic Disability Alliance</w:t>
      </w:r>
    </w:p>
    <w:p w14:paraId="3F31AB41" w14:textId="77777777" w:rsidR="00BE3443" w:rsidRPr="004007B0" w:rsidRDefault="00BE3443" w:rsidP="00BE3443">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9" w:history="1">
        <w:r w:rsidRPr="004134A0">
          <w:rPr>
            <w:rStyle w:val="Hyperlink"/>
            <w:rFonts w:asciiTheme="majorHAnsi" w:eastAsiaTheme="minorEastAsia" w:hAnsiTheme="majorHAnsi" w:cstheme="majorHAnsi"/>
            <w:sz w:val="24"/>
            <w:szCs w:val="24"/>
          </w:rPr>
          <w:t>rpo@neda.org.au</w:t>
        </w:r>
      </w:hyperlink>
      <w:r>
        <w:rPr>
          <w:rFonts w:asciiTheme="majorHAnsi" w:eastAsiaTheme="minorEastAsia" w:hAnsiTheme="majorHAnsi" w:cstheme="majorHAnsi"/>
          <w:sz w:val="24"/>
          <w:szCs w:val="24"/>
        </w:rPr>
        <w:t xml:space="preserve"> </w:t>
      </w:r>
      <w:hyperlink r:id="rId10" w:history="1"/>
    </w:p>
    <w:p w14:paraId="6F83BFAA" w14:textId="77777777" w:rsidR="00BE3443" w:rsidRDefault="00BE3443" w:rsidP="00BE3443">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Phone: (02) </w:t>
      </w:r>
      <w:r>
        <w:rPr>
          <w:rFonts w:asciiTheme="majorHAnsi" w:eastAsiaTheme="minorEastAsia" w:hAnsiTheme="majorHAnsi" w:cstheme="majorHAnsi"/>
          <w:sz w:val="24"/>
          <w:szCs w:val="24"/>
        </w:rPr>
        <w:t>62626867</w:t>
      </w:r>
    </w:p>
    <w:p w14:paraId="4F12D7CD" w14:textId="77777777" w:rsidR="00BE3443" w:rsidRDefault="00BE3443" w:rsidP="001F1836">
      <w:pPr>
        <w:spacing w:after="0" w:line="240" w:lineRule="auto"/>
        <w:rPr>
          <w:rFonts w:asciiTheme="majorHAnsi" w:eastAsiaTheme="minorEastAsia" w:hAnsiTheme="majorHAnsi" w:cstheme="majorHAnsi"/>
          <w:sz w:val="24"/>
          <w:szCs w:val="24"/>
        </w:rPr>
      </w:pPr>
    </w:p>
    <w:p w14:paraId="57BA37C5" w14:textId="77777777" w:rsidR="00BE3443" w:rsidRDefault="00BE3443" w:rsidP="001F1836">
      <w:pPr>
        <w:spacing w:after="0" w:line="240" w:lineRule="auto"/>
        <w:rPr>
          <w:rFonts w:asciiTheme="majorHAnsi" w:eastAsiaTheme="minorEastAsia" w:hAnsiTheme="majorHAnsi" w:cstheme="majorHAnsi"/>
          <w:sz w:val="24"/>
          <w:szCs w:val="24"/>
        </w:rPr>
      </w:pPr>
    </w:p>
    <w:p w14:paraId="6474E695" w14:textId="20EDA406"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Samantha French</w:t>
      </w:r>
    </w:p>
    <w:p w14:paraId="19D26428" w14:textId="6F4CAD4E"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People with Disability Australia</w:t>
      </w:r>
    </w:p>
    <w:p w14:paraId="6BA1887D" w14:textId="776852CB"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Email: </w:t>
      </w:r>
      <w:hyperlink r:id="rId11" w:history="1">
        <w:r w:rsidR="009C36FB" w:rsidRPr="004134A0">
          <w:rPr>
            <w:rStyle w:val="Hyperlink"/>
            <w:rFonts w:asciiTheme="majorHAnsi" w:eastAsiaTheme="minorEastAsia" w:hAnsiTheme="majorHAnsi" w:cstheme="majorHAnsi"/>
            <w:sz w:val="24"/>
            <w:szCs w:val="24"/>
          </w:rPr>
          <w:t>samanthaf@pwda.org.au</w:t>
        </w:r>
      </w:hyperlink>
      <w:r w:rsidR="009C36FB">
        <w:rPr>
          <w:rFonts w:asciiTheme="majorHAnsi" w:eastAsiaTheme="minorEastAsia" w:hAnsiTheme="majorHAnsi" w:cstheme="majorHAnsi"/>
          <w:sz w:val="24"/>
          <w:szCs w:val="24"/>
        </w:rPr>
        <w:t xml:space="preserve"> </w:t>
      </w:r>
    </w:p>
    <w:p w14:paraId="641C3145" w14:textId="7A9E7439"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Phone:</w:t>
      </w:r>
      <w:r w:rsidR="009C36FB">
        <w:rPr>
          <w:rFonts w:asciiTheme="majorHAnsi" w:eastAsiaTheme="minorEastAsia" w:hAnsiTheme="majorHAnsi" w:cstheme="majorHAnsi"/>
          <w:sz w:val="24"/>
          <w:szCs w:val="24"/>
        </w:rPr>
        <w:t xml:space="preserve"> (02) 9370 3100</w:t>
      </w:r>
    </w:p>
    <w:p w14:paraId="2BDDB2CF" w14:textId="73216BAA" w:rsidR="00F46CD8" w:rsidRDefault="00F46CD8" w:rsidP="001F1836">
      <w:pPr>
        <w:spacing w:after="0" w:line="240" w:lineRule="auto"/>
        <w:rPr>
          <w:rFonts w:asciiTheme="majorHAnsi" w:eastAsiaTheme="minorEastAsia" w:hAnsiTheme="majorHAnsi" w:cstheme="majorHAnsi"/>
          <w:sz w:val="24"/>
          <w:szCs w:val="24"/>
        </w:rPr>
      </w:pPr>
    </w:p>
    <w:p w14:paraId="6CD95857" w14:textId="691EFC69" w:rsidR="00F46CD8" w:rsidRDefault="00F46CD8" w:rsidP="001F1836">
      <w:pPr>
        <w:spacing w:after="0" w:line="240" w:lineRule="auto"/>
        <w:rPr>
          <w:rFonts w:asciiTheme="majorHAnsi" w:eastAsiaTheme="minorEastAsia" w:hAnsiTheme="majorHAnsi" w:cstheme="majorHAnsi"/>
          <w:sz w:val="24"/>
          <w:szCs w:val="24"/>
        </w:rPr>
      </w:pPr>
    </w:p>
    <w:p w14:paraId="64C63D41" w14:textId="77777777" w:rsidR="00F46CD8" w:rsidRDefault="00F46CD8" w:rsidP="001F1836">
      <w:pPr>
        <w:spacing w:after="0" w:line="240" w:lineRule="auto"/>
        <w:rPr>
          <w:rFonts w:asciiTheme="majorHAnsi" w:eastAsiaTheme="minorEastAsia" w:hAnsiTheme="majorHAnsi" w:cstheme="majorHAnsi"/>
          <w:sz w:val="24"/>
          <w:szCs w:val="24"/>
        </w:rPr>
      </w:pPr>
    </w:p>
    <w:p w14:paraId="74ADB122" w14:textId="46714A0E" w:rsidR="009C36FB" w:rsidRDefault="009C36FB" w:rsidP="001F1836">
      <w:pPr>
        <w:spacing w:after="0" w:line="240" w:lineRule="auto"/>
        <w:rPr>
          <w:rFonts w:asciiTheme="majorHAnsi" w:eastAsiaTheme="minorEastAsia" w:hAnsiTheme="majorHAnsi" w:cstheme="majorHAnsi"/>
          <w:sz w:val="24"/>
          <w:szCs w:val="24"/>
        </w:rPr>
      </w:pPr>
    </w:p>
    <w:p w14:paraId="7EF2A6CC" w14:textId="3DF5EEDA" w:rsidR="00C23922" w:rsidRDefault="00C23922" w:rsidP="001F1836">
      <w:pPr>
        <w:spacing w:after="0" w:line="240" w:lineRule="auto"/>
        <w:rPr>
          <w:rFonts w:asciiTheme="majorHAnsi" w:eastAsiaTheme="minorEastAsia" w:hAnsiTheme="majorHAnsi" w:cstheme="majorHAnsi"/>
          <w:sz w:val="24"/>
          <w:szCs w:val="24"/>
        </w:rPr>
      </w:pPr>
    </w:p>
    <w:p w14:paraId="1ED8ECA7" w14:textId="77777777" w:rsidR="00C23922" w:rsidRPr="004007B0" w:rsidRDefault="00C23922" w:rsidP="001F1836">
      <w:pPr>
        <w:spacing w:after="0" w:line="240" w:lineRule="auto"/>
        <w:rPr>
          <w:rFonts w:asciiTheme="majorHAnsi" w:eastAsiaTheme="minorEastAsia" w:hAnsiTheme="majorHAnsi" w:cstheme="majorHAnsi"/>
          <w:sz w:val="24"/>
          <w:szCs w:val="24"/>
        </w:rPr>
      </w:pP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Contents</w:t>
          </w:r>
        </w:p>
        <w:p w14:paraId="3C4568FA" w14:textId="24A8EC8F" w:rsidR="00220A70" w:rsidRDefault="00F5359F">
          <w:pPr>
            <w:pStyle w:val="TOC1"/>
            <w:tabs>
              <w:tab w:val="left" w:pos="440"/>
              <w:tab w:val="right" w:leader="dot" w:pos="8921"/>
            </w:tabs>
            <w:rPr>
              <w:rFonts w:asciiTheme="minorHAnsi" w:eastAsiaTheme="minorEastAsia" w:hAnsiTheme="minorHAnsi" w:cstheme="minorBidi"/>
              <w:noProof/>
              <w:lang w:eastAsia="en-AU"/>
            </w:rPr>
          </w:pPr>
          <w:r w:rsidRPr="00500C28">
            <w:fldChar w:fldCharType="begin"/>
          </w:r>
          <w:r w:rsidRPr="00500C28">
            <w:instrText xml:space="preserve"> TOC \o "1-3" \h \z \u </w:instrText>
          </w:r>
          <w:r w:rsidRPr="00500C28">
            <w:fldChar w:fldCharType="separate"/>
          </w:r>
          <w:hyperlink w:anchor="_Toc532458957" w:history="1">
            <w:r w:rsidR="00220A70" w:rsidRPr="008E5897">
              <w:rPr>
                <w:rStyle w:val="Hyperlink"/>
                <w:noProof/>
              </w:rPr>
              <w:t>1.</w:t>
            </w:r>
            <w:r w:rsidR="00220A70">
              <w:rPr>
                <w:rFonts w:asciiTheme="minorHAnsi" w:eastAsiaTheme="minorEastAsia" w:hAnsiTheme="minorHAnsi" w:cstheme="minorBidi"/>
                <w:noProof/>
                <w:lang w:eastAsia="en-AU"/>
              </w:rPr>
              <w:tab/>
            </w:r>
            <w:r w:rsidR="00220A70" w:rsidRPr="008E5897">
              <w:rPr>
                <w:rStyle w:val="Hyperlink"/>
                <w:noProof/>
              </w:rPr>
              <w:t>Disabled People’s Organisations Australia (DPO Australia)</w:t>
            </w:r>
            <w:r w:rsidR="00220A70">
              <w:rPr>
                <w:noProof/>
                <w:webHidden/>
              </w:rPr>
              <w:tab/>
            </w:r>
            <w:r w:rsidR="00220A70">
              <w:rPr>
                <w:noProof/>
                <w:webHidden/>
              </w:rPr>
              <w:fldChar w:fldCharType="begin"/>
            </w:r>
            <w:r w:rsidR="00220A70">
              <w:rPr>
                <w:noProof/>
                <w:webHidden/>
              </w:rPr>
              <w:instrText xml:space="preserve"> PAGEREF _Toc532458957 \h </w:instrText>
            </w:r>
            <w:r w:rsidR="00220A70">
              <w:rPr>
                <w:noProof/>
                <w:webHidden/>
              </w:rPr>
            </w:r>
            <w:r w:rsidR="00220A70">
              <w:rPr>
                <w:noProof/>
                <w:webHidden/>
              </w:rPr>
              <w:fldChar w:fldCharType="separate"/>
            </w:r>
            <w:r w:rsidR="00220A70">
              <w:rPr>
                <w:noProof/>
                <w:webHidden/>
              </w:rPr>
              <w:t>3</w:t>
            </w:r>
            <w:r w:rsidR="00220A70">
              <w:rPr>
                <w:noProof/>
                <w:webHidden/>
              </w:rPr>
              <w:fldChar w:fldCharType="end"/>
            </w:r>
          </w:hyperlink>
        </w:p>
        <w:p w14:paraId="4DD91104" w14:textId="03DD42ED"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58" w:history="1">
            <w:r w:rsidR="00220A70" w:rsidRPr="008E5897">
              <w:rPr>
                <w:rStyle w:val="Hyperlink"/>
                <w:noProof/>
              </w:rPr>
              <w:t>2.</w:t>
            </w:r>
            <w:r w:rsidR="00220A70">
              <w:rPr>
                <w:rFonts w:asciiTheme="minorHAnsi" w:eastAsiaTheme="minorEastAsia" w:hAnsiTheme="minorHAnsi" w:cstheme="minorBidi"/>
                <w:noProof/>
                <w:lang w:eastAsia="en-AU"/>
              </w:rPr>
              <w:tab/>
            </w:r>
            <w:r w:rsidR="00220A70" w:rsidRPr="008E5897">
              <w:rPr>
                <w:rStyle w:val="Hyperlink"/>
                <w:noProof/>
              </w:rPr>
              <w:t>Introduction</w:t>
            </w:r>
            <w:r w:rsidR="00220A70">
              <w:rPr>
                <w:noProof/>
                <w:webHidden/>
              </w:rPr>
              <w:tab/>
            </w:r>
            <w:r w:rsidR="00220A70">
              <w:rPr>
                <w:noProof/>
                <w:webHidden/>
              </w:rPr>
              <w:fldChar w:fldCharType="begin"/>
            </w:r>
            <w:r w:rsidR="00220A70">
              <w:rPr>
                <w:noProof/>
                <w:webHidden/>
              </w:rPr>
              <w:instrText xml:space="preserve"> PAGEREF _Toc532458958 \h </w:instrText>
            </w:r>
            <w:r w:rsidR="00220A70">
              <w:rPr>
                <w:noProof/>
                <w:webHidden/>
              </w:rPr>
            </w:r>
            <w:r w:rsidR="00220A70">
              <w:rPr>
                <w:noProof/>
                <w:webHidden/>
              </w:rPr>
              <w:fldChar w:fldCharType="separate"/>
            </w:r>
            <w:r w:rsidR="00220A70">
              <w:rPr>
                <w:noProof/>
                <w:webHidden/>
              </w:rPr>
              <w:t>4</w:t>
            </w:r>
            <w:r w:rsidR="00220A70">
              <w:rPr>
                <w:noProof/>
                <w:webHidden/>
              </w:rPr>
              <w:fldChar w:fldCharType="end"/>
            </w:r>
          </w:hyperlink>
        </w:p>
        <w:p w14:paraId="1B6EAA43" w14:textId="4A60218E"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59" w:history="1">
            <w:r w:rsidR="00220A70" w:rsidRPr="008E5897">
              <w:rPr>
                <w:rStyle w:val="Hyperlink"/>
                <w:noProof/>
              </w:rPr>
              <w:t>3.</w:t>
            </w:r>
            <w:r w:rsidR="00220A70">
              <w:rPr>
                <w:rFonts w:asciiTheme="minorHAnsi" w:eastAsiaTheme="minorEastAsia" w:hAnsiTheme="minorHAnsi" w:cstheme="minorBidi"/>
                <w:noProof/>
                <w:lang w:eastAsia="en-AU"/>
              </w:rPr>
              <w:tab/>
            </w:r>
            <w:r w:rsidR="00220A70" w:rsidRPr="008E5897">
              <w:rPr>
                <w:rStyle w:val="Hyperlink"/>
                <w:noProof/>
              </w:rPr>
              <w:t>Human Rights Framework</w:t>
            </w:r>
            <w:r w:rsidR="00220A70">
              <w:rPr>
                <w:noProof/>
                <w:webHidden/>
              </w:rPr>
              <w:tab/>
            </w:r>
            <w:r w:rsidR="00220A70">
              <w:rPr>
                <w:noProof/>
                <w:webHidden/>
              </w:rPr>
              <w:fldChar w:fldCharType="begin"/>
            </w:r>
            <w:r w:rsidR="00220A70">
              <w:rPr>
                <w:noProof/>
                <w:webHidden/>
              </w:rPr>
              <w:instrText xml:space="preserve"> PAGEREF _Toc532458959 \h </w:instrText>
            </w:r>
            <w:r w:rsidR="00220A70">
              <w:rPr>
                <w:noProof/>
                <w:webHidden/>
              </w:rPr>
            </w:r>
            <w:r w:rsidR="00220A70">
              <w:rPr>
                <w:noProof/>
                <w:webHidden/>
              </w:rPr>
              <w:fldChar w:fldCharType="separate"/>
            </w:r>
            <w:r w:rsidR="00220A70">
              <w:rPr>
                <w:noProof/>
                <w:webHidden/>
              </w:rPr>
              <w:t>5</w:t>
            </w:r>
            <w:r w:rsidR="00220A70">
              <w:rPr>
                <w:noProof/>
                <w:webHidden/>
              </w:rPr>
              <w:fldChar w:fldCharType="end"/>
            </w:r>
          </w:hyperlink>
        </w:p>
        <w:p w14:paraId="7F867DB7" w14:textId="60EACFD4"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0" w:history="1">
            <w:r w:rsidR="00220A70" w:rsidRPr="008E5897">
              <w:rPr>
                <w:rStyle w:val="Hyperlink"/>
                <w:noProof/>
              </w:rPr>
              <w:t>4.</w:t>
            </w:r>
            <w:r w:rsidR="00220A70">
              <w:rPr>
                <w:rFonts w:asciiTheme="minorHAnsi" w:eastAsiaTheme="minorEastAsia" w:hAnsiTheme="minorHAnsi" w:cstheme="minorBidi"/>
                <w:noProof/>
                <w:lang w:eastAsia="en-AU"/>
              </w:rPr>
              <w:tab/>
            </w:r>
            <w:r w:rsidR="00220A70" w:rsidRPr="008E5897">
              <w:rPr>
                <w:rStyle w:val="Hyperlink"/>
                <w:noProof/>
              </w:rPr>
              <w:t>‘Nothing about us without us’</w:t>
            </w:r>
            <w:r w:rsidR="00220A70">
              <w:rPr>
                <w:noProof/>
                <w:webHidden/>
              </w:rPr>
              <w:tab/>
            </w:r>
            <w:r w:rsidR="00220A70">
              <w:rPr>
                <w:noProof/>
                <w:webHidden/>
              </w:rPr>
              <w:fldChar w:fldCharType="begin"/>
            </w:r>
            <w:r w:rsidR="00220A70">
              <w:rPr>
                <w:noProof/>
                <w:webHidden/>
              </w:rPr>
              <w:instrText xml:space="preserve"> PAGEREF _Toc532458960 \h </w:instrText>
            </w:r>
            <w:r w:rsidR="00220A70">
              <w:rPr>
                <w:noProof/>
                <w:webHidden/>
              </w:rPr>
            </w:r>
            <w:r w:rsidR="00220A70">
              <w:rPr>
                <w:noProof/>
                <w:webHidden/>
              </w:rPr>
              <w:fldChar w:fldCharType="separate"/>
            </w:r>
            <w:r w:rsidR="00220A70">
              <w:rPr>
                <w:noProof/>
                <w:webHidden/>
              </w:rPr>
              <w:t>5</w:t>
            </w:r>
            <w:r w:rsidR="00220A70">
              <w:rPr>
                <w:noProof/>
                <w:webHidden/>
              </w:rPr>
              <w:fldChar w:fldCharType="end"/>
            </w:r>
          </w:hyperlink>
        </w:p>
        <w:p w14:paraId="6591CA37" w14:textId="7435C7FD"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1" w:history="1">
            <w:r w:rsidR="00220A70" w:rsidRPr="008E5897">
              <w:rPr>
                <w:rStyle w:val="Hyperlink"/>
                <w:noProof/>
              </w:rPr>
              <w:t>5.</w:t>
            </w:r>
            <w:r w:rsidR="00220A70">
              <w:rPr>
                <w:rFonts w:asciiTheme="minorHAnsi" w:eastAsiaTheme="minorEastAsia" w:hAnsiTheme="minorHAnsi" w:cstheme="minorBidi"/>
                <w:noProof/>
                <w:lang w:eastAsia="en-AU"/>
              </w:rPr>
              <w:tab/>
            </w:r>
            <w:r w:rsidR="00220A70" w:rsidRPr="008E5897">
              <w:rPr>
                <w:rStyle w:val="Hyperlink"/>
                <w:noProof/>
              </w:rPr>
              <w:t>Realising the Standards is critical</w:t>
            </w:r>
            <w:r w:rsidR="00220A70">
              <w:rPr>
                <w:noProof/>
                <w:webHidden/>
              </w:rPr>
              <w:tab/>
            </w:r>
            <w:r w:rsidR="00220A70">
              <w:rPr>
                <w:noProof/>
                <w:webHidden/>
              </w:rPr>
              <w:fldChar w:fldCharType="begin"/>
            </w:r>
            <w:r w:rsidR="00220A70">
              <w:rPr>
                <w:noProof/>
                <w:webHidden/>
              </w:rPr>
              <w:instrText xml:space="preserve"> PAGEREF _Toc532458961 \h </w:instrText>
            </w:r>
            <w:r w:rsidR="00220A70">
              <w:rPr>
                <w:noProof/>
                <w:webHidden/>
              </w:rPr>
            </w:r>
            <w:r w:rsidR="00220A70">
              <w:rPr>
                <w:noProof/>
                <w:webHidden/>
              </w:rPr>
              <w:fldChar w:fldCharType="separate"/>
            </w:r>
            <w:r w:rsidR="00220A70">
              <w:rPr>
                <w:noProof/>
                <w:webHidden/>
              </w:rPr>
              <w:t>6</w:t>
            </w:r>
            <w:r w:rsidR="00220A70">
              <w:rPr>
                <w:noProof/>
                <w:webHidden/>
              </w:rPr>
              <w:fldChar w:fldCharType="end"/>
            </w:r>
          </w:hyperlink>
        </w:p>
        <w:p w14:paraId="2507A02F" w14:textId="1262BBA5"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2" w:history="1">
            <w:r w:rsidR="00220A70" w:rsidRPr="008E5897">
              <w:rPr>
                <w:rStyle w:val="Hyperlink"/>
                <w:noProof/>
              </w:rPr>
              <w:t>6.</w:t>
            </w:r>
            <w:r w:rsidR="00220A70">
              <w:rPr>
                <w:rFonts w:asciiTheme="minorHAnsi" w:eastAsiaTheme="minorEastAsia" w:hAnsiTheme="minorHAnsi" w:cstheme="minorBidi"/>
                <w:noProof/>
                <w:lang w:eastAsia="en-AU"/>
              </w:rPr>
              <w:tab/>
            </w:r>
            <w:r w:rsidR="00220A70" w:rsidRPr="008E5897">
              <w:rPr>
                <w:rStyle w:val="Hyperlink"/>
                <w:noProof/>
              </w:rPr>
              <w:t>Whole of Journey Experiences</w:t>
            </w:r>
            <w:r w:rsidR="00220A70">
              <w:rPr>
                <w:noProof/>
                <w:webHidden/>
              </w:rPr>
              <w:tab/>
            </w:r>
            <w:r w:rsidR="00220A70">
              <w:rPr>
                <w:noProof/>
                <w:webHidden/>
              </w:rPr>
              <w:fldChar w:fldCharType="begin"/>
            </w:r>
            <w:r w:rsidR="00220A70">
              <w:rPr>
                <w:noProof/>
                <w:webHidden/>
              </w:rPr>
              <w:instrText xml:space="preserve"> PAGEREF _Toc532458962 \h </w:instrText>
            </w:r>
            <w:r w:rsidR="00220A70">
              <w:rPr>
                <w:noProof/>
                <w:webHidden/>
              </w:rPr>
            </w:r>
            <w:r w:rsidR="00220A70">
              <w:rPr>
                <w:noProof/>
                <w:webHidden/>
              </w:rPr>
              <w:fldChar w:fldCharType="separate"/>
            </w:r>
            <w:r w:rsidR="00220A70">
              <w:rPr>
                <w:noProof/>
                <w:webHidden/>
              </w:rPr>
              <w:t>7</w:t>
            </w:r>
            <w:r w:rsidR="00220A70">
              <w:rPr>
                <w:noProof/>
                <w:webHidden/>
              </w:rPr>
              <w:fldChar w:fldCharType="end"/>
            </w:r>
          </w:hyperlink>
        </w:p>
        <w:p w14:paraId="3098FCBF" w14:textId="19FB5569"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3" w:history="1">
            <w:r w:rsidR="00220A70" w:rsidRPr="008E5897">
              <w:rPr>
                <w:rStyle w:val="Hyperlink"/>
                <w:noProof/>
              </w:rPr>
              <w:t>7.</w:t>
            </w:r>
            <w:r w:rsidR="00220A70">
              <w:rPr>
                <w:rFonts w:asciiTheme="minorHAnsi" w:eastAsiaTheme="minorEastAsia" w:hAnsiTheme="minorHAnsi" w:cstheme="minorBidi"/>
                <w:noProof/>
                <w:lang w:eastAsia="en-AU"/>
              </w:rPr>
              <w:tab/>
            </w:r>
            <w:r w:rsidR="00220A70" w:rsidRPr="008E5897">
              <w:rPr>
                <w:rStyle w:val="Hyperlink"/>
                <w:noProof/>
              </w:rPr>
              <w:t>Diversity and Disability</w:t>
            </w:r>
            <w:r w:rsidR="00220A70">
              <w:rPr>
                <w:noProof/>
                <w:webHidden/>
              </w:rPr>
              <w:tab/>
            </w:r>
            <w:r w:rsidR="00220A70">
              <w:rPr>
                <w:noProof/>
                <w:webHidden/>
              </w:rPr>
              <w:fldChar w:fldCharType="begin"/>
            </w:r>
            <w:r w:rsidR="00220A70">
              <w:rPr>
                <w:noProof/>
                <w:webHidden/>
              </w:rPr>
              <w:instrText xml:space="preserve"> PAGEREF _Toc532458963 \h </w:instrText>
            </w:r>
            <w:r w:rsidR="00220A70">
              <w:rPr>
                <w:noProof/>
                <w:webHidden/>
              </w:rPr>
            </w:r>
            <w:r w:rsidR="00220A70">
              <w:rPr>
                <w:noProof/>
                <w:webHidden/>
              </w:rPr>
              <w:fldChar w:fldCharType="separate"/>
            </w:r>
            <w:r w:rsidR="00220A70">
              <w:rPr>
                <w:noProof/>
                <w:webHidden/>
              </w:rPr>
              <w:t>7</w:t>
            </w:r>
            <w:r w:rsidR="00220A70">
              <w:rPr>
                <w:noProof/>
                <w:webHidden/>
              </w:rPr>
              <w:fldChar w:fldCharType="end"/>
            </w:r>
          </w:hyperlink>
        </w:p>
        <w:p w14:paraId="782504C6" w14:textId="47DFB44D"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4" w:history="1">
            <w:r w:rsidR="00220A70" w:rsidRPr="008E5897">
              <w:rPr>
                <w:rStyle w:val="Hyperlink"/>
                <w:noProof/>
              </w:rPr>
              <w:t>8.</w:t>
            </w:r>
            <w:r w:rsidR="00220A70">
              <w:rPr>
                <w:rFonts w:asciiTheme="minorHAnsi" w:eastAsiaTheme="minorEastAsia" w:hAnsiTheme="minorHAnsi" w:cstheme="minorBidi"/>
                <w:noProof/>
                <w:lang w:eastAsia="en-AU"/>
              </w:rPr>
              <w:tab/>
            </w:r>
            <w:r w:rsidR="00220A70" w:rsidRPr="008E5897">
              <w:rPr>
                <w:rStyle w:val="Hyperlink"/>
                <w:noProof/>
              </w:rPr>
              <w:t>Rural and Remote Australia</w:t>
            </w:r>
            <w:r w:rsidR="00220A70">
              <w:rPr>
                <w:noProof/>
                <w:webHidden/>
              </w:rPr>
              <w:tab/>
            </w:r>
            <w:r w:rsidR="00220A70">
              <w:rPr>
                <w:noProof/>
                <w:webHidden/>
              </w:rPr>
              <w:fldChar w:fldCharType="begin"/>
            </w:r>
            <w:r w:rsidR="00220A70">
              <w:rPr>
                <w:noProof/>
                <w:webHidden/>
              </w:rPr>
              <w:instrText xml:space="preserve"> PAGEREF _Toc532458964 \h </w:instrText>
            </w:r>
            <w:r w:rsidR="00220A70">
              <w:rPr>
                <w:noProof/>
                <w:webHidden/>
              </w:rPr>
            </w:r>
            <w:r w:rsidR="00220A70">
              <w:rPr>
                <w:noProof/>
                <w:webHidden/>
              </w:rPr>
              <w:fldChar w:fldCharType="separate"/>
            </w:r>
            <w:r w:rsidR="00220A70">
              <w:rPr>
                <w:noProof/>
                <w:webHidden/>
              </w:rPr>
              <w:t>8</w:t>
            </w:r>
            <w:r w:rsidR="00220A70">
              <w:rPr>
                <w:noProof/>
                <w:webHidden/>
              </w:rPr>
              <w:fldChar w:fldCharType="end"/>
            </w:r>
          </w:hyperlink>
        </w:p>
        <w:p w14:paraId="3F351485" w14:textId="5BF94814" w:rsidR="00220A70" w:rsidRDefault="00500889">
          <w:pPr>
            <w:pStyle w:val="TOC1"/>
            <w:tabs>
              <w:tab w:val="left" w:pos="440"/>
              <w:tab w:val="right" w:leader="dot" w:pos="8921"/>
            </w:tabs>
            <w:rPr>
              <w:rFonts w:asciiTheme="minorHAnsi" w:eastAsiaTheme="minorEastAsia" w:hAnsiTheme="minorHAnsi" w:cstheme="minorBidi"/>
              <w:noProof/>
              <w:lang w:eastAsia="en-AU"/>
            </w:rPr>
          </w:pPr>
          <w:hyperlink w:anchor="_Toc532458965" w:history="1">
            <w:r w:rsidR="00220A70" w:rsidRPr="008E5897">
              <w:rPr>
                <w:rStyle w:val="Hyperlink"/>
                <w:noProof/>
              </w:rPr>
              <w:t>9.</w:t>
            </w:r>
            <w:r w:rsidR="00220A70">
              <w:rPr>
                <w:rFonts w:asciiTheme="minorHAnsi" w:eastAsiaTheme="minorEastAsia" w:hAnsiTheme="minorHAnsi" w:cstheme="minorBidi"/>
                <w:noProof/>
                <w:lang w:eastAsia="en-AU"/>
              </w:rPr>
              <w:tab/>
            </w:r>
            <w:r w:rsidR="00220A70" w:rsidRPr="008E5897">
              <w:rPr>
                <w:rStyle w:val="Hyperlink"/>
                <w:noProof/>
              </w:rPr>
              <w:t>Attitudinal barriers</w:t>
            </w:r>
            <w:r w:rsidR="00220A70">
              <w:rPr>
                <w:noProof/>
                <w:webHidden/>
              </w:rPr>
              <w:tab/>
            </w:r>
            <w:r w:rsidR="00220A70">
              <w:rPr>
                <w:noProof/>
                <w:webHidden/>
              </w:rPr>
              <w:fldChar w:fldCharType="begin"/>
            </w:r>
            <w:r w:rsidR="00220A70">
              <w:rPr>
                <w:noProof/>
                <w:webHidden/>
              </w:rPr>
              <w:instrText xml:space="preserve"> PAGEREF _Toc532458965 \h </w:instrText>
            </w:r>
            <w:r w:rsidR="00220A70">
              <w:rPr>
                <w:noProof/>
                <w:webHidden/>
              </w:rPr>
            </w:r>
            <w:r w:rsidR="00220A70">
              <w:rPr>
                <w:noProof/>
                <w:webHidden/>
              </w:rPr>
              <w:fldChar w:fldCharType="separate"/>
            </w:r>
            <w:r w:rsidR="00220A70">
              <w:rPr>
                <w:noProof/>
                <w:webHidden/>
              </w:rPr>
              <w:t>9</w:t>
            </w:r>
            <w:r w:rsidR="00220A70">
              <w:rPr>
                <w:noProof/>
                <w:webHidden/>
              </w:rPr>
              <w:fldChar w:fldCharType="end"/>
            </w:r>
          </w:hyperlink>
        </w:p>
        <w:p w14:paraId="7260FE11" w14:textId="76FCC916"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66" w:history="1">
            <w:r w:rsidR="00220A70" w:rsidRPr="008E5897">
              <w:rPr>
                <w:rStyle w:val="Hyperlink"/>
                <w:noProof/>
              </w:rPr>
              <w:t>10</w:t>
            </w:r>
            <w:r w:rsidR="00220A70">
              <w:rPr>
                <w:rStyle w:val="Hyperlink"/>
                <w:noProof/>
              </w:rPr>
              <w:t xml:space="preserve">.    </w:t>
            </w:r>
            <w:r w:rsidR="00220A70" w:rsidRPr="008E5897">
              <w:rPr>
                <w:rStyle w:val="Hyperlink"/>
                <w:noProof/>
              </w:rPr>
              <w:t>Member feedback on barriers across modes of transport</w:t>
            </w:r>
            <w:r w:rsidR="00220A70">
              <w:rPr>
                <w:noProof/>
                <w:webHidden/>
              </w:rPr>
              <w:tab/>
            </w:r>
            <w:r w:rsidR="00220A70">
              <w:rPr>
                <w:noProof/>
                <w:webHidden/>
              </w:rPr>
              <w:fldChar w:fldCharType="begin"/>
            </w:r>
            <w:r w:rsidR="00220A70">
              <w:rPr>
                <w:noProof/>
                <w:webHidden/>
              </w:rPr>
              <w:instrText xml:space="preserve"> PAGEREF _Toc532458966 \h </w:instrText>
            </w:r>
            <w:r w:rsidR="00220A70">
              <w:rPr>
                <w:noProof/>
                <w:webHidden/>
              </w:rPr>
            </w:r>
            <w:r w:rsidR="00220A70">
              <w:rPr>
                <w:noProof/>
                <w:webHidden/>
              </w:rPr>
              <w:fldChar w:fldCharType="separate"/>
            </w:r>
            <w:r w:rsidR="00220A70">
              <w:rPr>
                <w:noProof/>
                <w:webHidden/>
              </w:rPr>
              <w:t>9</w:t>
            </w:r>
            <w:r w:rsidR="00220A70">
              <w:rPr>
                <w:noProof/>
                <w:webHidden/>
              </w:rPr>
              <w:fldChar w:fldCharType="end"/>
            </w:r>
          </w:hyperlink>
        </w:p>
        <w:p w14:paraId="0DFFC485" w14:textId="61104EB2"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67" w:history="1">
            <w:r w:rsidR="00220A70" w:rsidRPr="008E5897">
              <w:rPr>
                <w:rStyle w:val="Hyperlink"/>
                <w:noProof/>
              </w:rPr>
              <w:t>11.</w:t>
            </w:r>
            <w:r w:rsidR="00220A70">
              <w:rPr>
                <w:rFonts w:asciiTheme="minorHAnsi" w:eastAsiaTheme="minorEastAsia" w:hAnsiTheme="minorHAnsi" w:cstheme="minorBidi"/>
                <w:noProof/>
                <w:lang w:eastAsia="en-AU"/>
              </w:rPr>
              <w:t xml:space="preserve">    </w:t>
            </w:r>
            <w:r w:rsidR="00220A70" w:rsidRPr="008E5897">
              <w:rPr>
                <w:rStyle w:val="Hyperlink"/>
                <w:noProof/>
              </w:rPr>
              <w:t>Accessibility of Ridesharing</w:t>
            </w:r>
            <w:r w:rsidR="00220A70">
              <w:rPr>
                <w:noProof/>
                <w:webHidden/>
              </w:rPr>
              <w:tab/>
            </w:r>
            <w:r w:rsidR="00220A70">
              <w:rPr>
                <w:noProof/>
                <w:webHidden/>
              </w:rPr>
              <w:fldChar w:fldCharType="begin"/>
            </w:r>
            <w:r w:rsidR="00220A70">
              <w:rPr>
                <w:noProof/>
                <w:webHidden/>
              </w:rPr>
              <w:instrText xml:space="preserve"> PAGEREF _Toc532458967 \h </w:instrText>
            </w:r>
            <w:r w:rsidR="00220A70">
              <w:rPr>
                <w:noProof/>
                <w:webHidden/>
              </w:rPr>
            </w:r>
            <w:r w:rsidR="00220A70">
              <w:rPr>
                <w:noProof/>
                <w:webHidden/>
              </w:rPr>
              <w:fldChar w:fldCharType="separate"/>
            </w:r>
            <w:r w:rsidR="00220A70">
              <w:rPr>
                <w:noProof/>
                <w:webHidden/>
              </w:rPr>
              <w:t>11</w:t>
            </w:r>
            <w:r w:rsidR="00220A70">
              <w:rPr>
                <w:noProof/>
                <w:webHidden/>
              </w:rPr>
              <w:fldChar w:fldCharType="end"/>
            </w:r>
          </w:hyperlink>
        </w:p>
        <w:p w14:paraId="2822DCFD" w14:textId="68B37DCC"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68" w:history="1">
            <w:r w:rsidR="00220A70" w:rsidRPr="008E5897">
              <w:rPr>
                <w:rStyle w:val="Hyperlink"/>
                <w:noProof/>
              </w:rPr>
              <w:t>12.</w:t>
            </w:r>
            <w:r w:rsidR="00220A70">
              <w:rPr>
                <w:rFonts w:asciiTheme="minorHAnsi" w:eastAsiaTheme="minorEastAsia" w:hAnsiTheme="minorHAnsi" w:cstheme="minorBidi"/>
                <w:noProof/>
                <w:lang w:eastAsia="en-AU"/>
              </w:rPr>
              <w:t xml:space="preserve">    </w:t>
            </w:r>
            <w:r w:rsidR="00220A70" w:rsidRPr="008E5897">
              <w:rPr>
                <w:rStyle w:val="Hyperlink"/>
                <w:noProof/>
              </w:rPr>
              <w:t>National Consistency across jurisdictions</w:t>
            </w:r>
            <w:r w:rsidR="00220A70">
              <w:rPr>
                <w:noProof/>
                <w:webHidden/>
              </w:rPr>
              <w:tab/>
            </w:r>
            <w:r w:rsidR="00220A70">
              <w:rPr>
                <w:noProof/>
                <w:webHidden/>
              </w:rPr>
              <w:fldChar w:fldCharType="begin"/>
            </w:r>
            <w:r w:rsidR="00220A70">
              <w:rPr>
                <w:noProof/>
                <w:webHidden/>
              </w:rPr>
              <w:instrText xml:space="preserve"> PAGEREF _Toc532458968 \h </w:instrText>
            </w:r>
            <w:r w:rsidR="00220A70">
              <w:rPr>
                <w:noProof/>
                <w:webHidden/>
              </w:rPr>
            </w:r>
            <w:r w:rsidR="00220A70">
              <w:rPr>
                <w:noProof/>
                <w:webHidden/>
              </w:rPr>
              <w:fldChar w:fldCharType="separate"/>
            </w:r>
            <w:r w:rsidR="00220A70">
              <w:rPr>
                <w:noProof/>
                <w:webHidden/>
              </w:rPr>
              <w:t>12</w:t>
            </w:r>
            <w:r w:rsidR="00220A70">
              <w:rPr>
                <w:noProof/>
                <w:webHidden/>
              </w:rPr>
              <w:fldChar w:fldCharType="end"/>
            </w:r>
          </w:hyperlink>
        </w:p>
        <w:p w14:paraId="5C849200" w14:textId="33619E8D"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69" w:history="1">
            <w:r w:rsidR="00220A70" w:rsidRPr="008E5897">
              <w:rPr>
                <w:rStyle w:val="Hyperlink"/>
                <w:noProof/>
              </w:rPr>
              <w:t>13.</w:t>
            </w:r>
            <w:r w:rsidR="00220A70">
              <w:rPr>
                <w:rFonts w:asciiTheme="minorHAnsi" w:eastAsiaTheme="minorEastAsia" w:hAnsiTheme="minorHAnsi" w:cstheme="minorBidi"/>
                <w:noProof/>
                <w:lang w:eastAsia="en-AU"/>
              </w:rPr>
              <w:t xml:space="preserve">    </w:t>
            </w:r>
            <w:r w:rsidR="00220A70" w:rsidRPr="008E5897">
              <w:rPr>
                <w:rStyle w:val="Hyperlink"/>
                <w:noProof/>
              </w:rPr>
              <w:t>Affordability of Public Transport</w:t>
            </w:r>
            <w:r w:rsidR="00220A70">
              <w:rPr>
                <w:noProof/>
                <w:webHidden/>
              </w:rPr>
              <w:tab/>
            </w:r>
            <w:r w:rsidR="00220A70">
              <w:rPr>
                <w:noProof/>
                <w:webHidden/>
              </w:rPr>
              <w:fldChar w:fldCharType="begin"/>
            </w:r>
            <w:r w:rsidR="00220A70">
              <w:rPr>
                <w:noProof/>
                <w:webHidden/>
              </w:rPr>
              <w:instrText xml:space="preserve"> PAGEREF _Toc532458969 \h </w:instrText>
            </w:r>
            <w:r w:rsidR="00220A70">
              <w:rPr>
                <w:noProof/>
                <w:webHidden/>
              </w:rPr>
            </w:r>
            <w:r w:rsidR="00220A70">
              <w:rPr>
                <w:noProof/>
                <w:webHidden/>
              </w:rPr>
              <w:fldChar w:fldCharType="separate"/>
            </w:r>
            <w:r w:rsidR="00220A70">
              <w:rPr>
                <w:noProof/>
                <w:webHidden/>
              </w:rPr>
              <w:t>13</w:t>
            </w:r>
            <w:r w:rsidR="00220A70">
              <w:rPr>
                <w:noProof/>
                <w:webHidden/>
              </w:rPr>
              <w:fldChar w:fldCharType="end"/>
            </w:r>
          </w:hyperlink>
        </w:p>
        <w:p w14:paraId="64E1FDC3" w14:textId="05BB6DF1"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70" w:history="1">
            <w:r w:rsidR="00220A70" w:rsidRPr="008E5897">
              <w:rPr>
                <w:rStyle w:val="Hyperlink"/>
                <w:noProof/>
              </w:rPr>
              <w:t>14.</w:t>
            </w:r>
            <w:r w:rsidR="00220A70">
              <w:rPr>
                <w:rFonts w:asciiTheme="minorHAnsi" w:eastAsiaTheme="minorEastAsia" w:hAnsiTheme="minorHAnsi" w:cstheme="minorBidi"/>
                <w:noProof/>
                <w:lang w:eastAsia="en-AU"/>
              </w:rPr>
              <w:t xml:space="preserve">    </w:t>
            </w:r>
            <w:r w:rsidR="00220A70" w:rsidRPr="008E5897">
              <w:rPr>
                <w:rStyle w:val="Hyperlink"/>
                <w:noProof/>
              </w:rPr>
              <w:t>Equivalent Access and Unjustifiable Hardship</w:t>
            </w:r>
            <w:r w:rsidR="00220A70">
              <w:rPr>
                <w:noProof/>
                <w:webHidden/>
              </w:rPr>
              <w:tab/>
            </w:r>
            <w:r w:rsidR="00220A70">
              <w:rPr>
                <w:noProof/>
                <w:webHidden/>
              </w:rPr>
              <w:fldChar w:fldCharType="begin"/>
            </w:r>
            <w:r w:rsidR="00220A70">
              <w:rPr>
                <w:noProof/>
                <w:webHidden/>
              </w:rPr>
              <w:instrText xml:space="preserve"> PAGEREF _Toc532458970 \h </w:instrText>
            </w:r>
            <w:r w:rsidR="00220A70">
              <w:rPr>
                <w:noProof/>
                <w:webHidden/>
              </w:rPr>
            </w:r>
            <w:r w:rsidR="00220A70">
              <w:rPr>
                <w:noProof/>
                <w:webHidden/>
              </w:rPr>
              <w:fldChar w:fldCharType="separate"/>
            </w:r>
            <w:r w:rsidR="00220A70">
              <w:rPr>
                <w:noProof/>
                <w:webHidden/>
              </w:rPr>
              <w:t>14</w:t>
            </w:r>
            <w:r w:rsidR="00220A70">
              <w:rPr>
                <w:noProof/>
                <w:webHidden/>
              </w:rPr>
              <w:fldChar w:fldCharType="end"/>
            </w:r>
          </w:hyperlink>
        </w:p>
        <w:p w14:paraId="4CD11408" w14:textId="3096F6DB"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71" w:history="1">
            <w:r w:rsidR="00220A70" w:rsidRPr="008E5897">
              <w:rPr>
                <w:rStyle w:val="Hyperlink"/>
                <w:noProof/>
              </w:rPr>
              <w:t>15.</w:t>
            </w:r>
            <w:r w:rsidR="00220A70">
              <w:rPr>
                <w:rFonts w:asciiTheme="minorHAnsi" w:eastAsiaTheme="minorEastAsia" w:hAnsiTheme="minorHAnsi" w:cstheme="minorBidi"/>
                <w:noProof/>
                <w:lang w:eastAsia="en-AU"/>
              </w:rPr>
              <w:t xml:space="preserve">    </w:t>
            </w:r>
            <w:r w:rsidR="00220A70" w:rsidRPr="008E5897">
              <w:rPr>
                <w:rStyle w:val="Hyperlink"/>
                <w:noProof/>
              </w:rPr>
              <w:t>A Strong Reporting Framework</w:t>
            </w:r>
            <w:r w:rsidR="00220A70">
              <w:rPr>
                <w:noProof/>
                <w:webHidden/>
              </w:rPr>
              <w:tab/>
            </w:r>
            <w:r w:rsidR="00220A70">
              <w:rPr>
                <w:noProof/>
                <w:webHidden/>
              </w:rPr>
              <w:fldChar w:fldCharType="begin"/>
            </w:r>
            <w:r w:rsidR="00220A70">
              <w:rPr>
                <w:noProof/>
                <w:webHidden/>
              </w:rPr>
              <w:instrText xml:space="preserve"> PAGEREF _Toc532458971 \h </w:instrText>
            </w:r>
            <w:r w:rsidR="00220A70">
              <w:rPr>
                <w:noProof/>
                <w:webHidden/>
              </w:rPr>
            </w:r>
            <w:r w:rsidR="00220A70">
              <w:rPr>
                <w:noProof/>
                <w:webHidden/>
              </w:rPr>
              <w:fldChar w:fldCharType="separate"/>
            </w:r>
            <w:r w:rsidR="00220A70">
              <w:rPr>
                <w:noProof/>
                <w:webHidden/>
              </w:rPr>
              <w:t>14</w:t>
            </w:r>
            <w:r w:rsidR="00220A70">
              <w:rPr>
                <w:noProof/>
                <w:webHidden/>
              </w:rPr>
              <w:fldChar w:fldCharType="end"/>
            </w:r>
          </w:hyperlink>
        </w:p>
        <w:p w14:paraId="0BFA49DB" w14:textId="4AB40BF5"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72" w:history="1">
            <w:r w:rsidR="00220A70" w:rsidRPr="008E5897">
              <w:rPr>
                <w:rStyle w:val="Hyperlink"/>
                <w:noProof/>
              </w:rPr>
              <w:t>16.</w:t>
            </w:r>
            <w:r w:rsidR="00220A70">
              <w:rPr>
                <w:rFonts w:asciiTheme="minorHAnsi" w:eastAsiaTheme="minorEastAsia" w:hAnsiTheme="minorHAnsi" w:cstheme="minorBidi"/>
                <w:noProof/>
                <w:lang w:eastAsia="en-AU"/>
              </w:rPr>
              <w:t xml:space="preserve">   </w:t>
            </w:r>
            <w:r w:rsidR="00220A70" w:rsidRPr="008E5897">
              <w:rPr>
                <w:rStyle w:val="Hyperlink"/>
                <w:noProof/>
              </w:rPr>
              <w:t>Best Practice Clearinghouse</w:t>
            </w:r>
            <w:r w:rsidR="00220A70">
              <w:rPr>
                <w:noProof/>
                <w:webHidden/>
              </w:rPr>
              <w:tab/>
            </w:r>
            <w:r w:rsidR="00220A70">
              <w:rPr>
                <w:noProof/>
                <w:webHidden/>
              </w:rPr>
              <w:fldChar w:fldCharType="begin"/>
            </w:r>
            <w:r w:rsidR="00220A70">
              <w:rPr>
                <w:noProof/>
                <w:webHidden/>
              </w:rPr>
              <w:instrText xml:space="preserve"> PAGEREF _Toc532458972 \h </w:instrText>
            </w:r>
            <w:r w:rsidR="00220A70">
              <w:rPr>
                <w:noProof/>
                <w:webHidden/>
              </w:rPr>
            </w:r>
            <w:r w:rsidR="00220A70">
              <w:rPr>
                <w:noProof/>
                <w:webHidden/>
              </w:rPr>
              <w:fldChar w:fldCharType="separate"/>
            </w:r>
            <w:r w:rsidR="00220A70">
              <w:rPr>
                <w:noProof/>
                <w:webHidden/>
              </w:rPr>
              <w:t>15</w:t>
            </w:r>
            <w:r w:rsidR="00220A70">
              <w:rPr>
                <w:noProof/>
                <w:webHidden/>
              </w:rPr>
              <w:fldChar w:fldCharType="end"/>
            </w:r>
          </w:hyperlink>
        </w:p>
        <w:p w14:paraId="1BF00CF6" w14:textId="4304C623" w:rsidR="00220A70" w:rsidRDefault="00500889">
          <w:pPr>
            <w:pStyle w:val="TOC1"/>
            <w:tabs>
              <w:tab w:val="left" w:pos="660"/>
              <w:tab w:val="right" w:leader="dot" w:pos="8921"/>
            </w:tabs>
            <w:rPr>
              <w:rFonts w:asciiTheme="minorHAnsi" w:eastAsiaTheme="minorEastAsia" w:hAnsiTheme="minorHAnsi" w:cstheme="minorBidi"/>
              <w:noProof/>
              <w:lang w:eastAsia="en-AU"/>
            </w:rPr>
          </w:pPr>
          <w:hyperlink w:anchor="_Toc532458973" w:history="1">
            <w:r w:rsidR="00220A70" w:rsidRPr="008E5897">
              <w:rPr>
                <w:rStyle w:val="Hyperlink"/>
                <w:noProof/>
              </w:rPr>
              <w:t>17</w:t>
            </w:r>
            <w:r w:rsidR="00220A70">
              <w:rPr>
                <w:rStyle w:val="Hyperlink"/>
                <w:noProof/>
              </w:rPr>
              <w:t xml:space="preserve">.   </w:t>
            </w:r>
            <w:r w:rsidR="00220A70" w:rsidRPr="008E5897">
              <w:rPr>
                <w:rStyle w:val="Hyperlink"/>
                <w:noProof/>
              </w:rPr>
              <w:t>Recommendations</w:t>
            </w:r>
            <w:r w:rsidR="00220A70">
              <w:rPr>
                <w:noProof/>
                <w:webHidden/>
              </w:rPr>
              <w:tab/>
            </w:r>
            <w:r w:rsidR="00220A70">
              <w:rPr>
                <w:noProof/>
                <w:webHidden/>
              </w:rPr>
              <w:fldChar w:fldCharType="begin"/>
            </w:r>
            <w:r w:rsidR="00220A70">
              <w:rPr>
                <w:noProof/>
                <w:webHidden/>
              </w:rPr>
              <w:instrText xml:space="preserve"> PAGEREF _Toc532458973 \h </w:instrText>
            </w:r>
            <w:r w:rsidR="00220A70">
              <w:rPr>
                <w:noProof/>
                <w:webHidden/>
              </w:rPr>
            </w:r>
            <w:r w:rsidR="00220A70">
              <w:rPr>
                <w:noProof/>
                <w:webHidden/>
              </w:rPr>
              <w:fldChar w:fldCharType="separate"/>
            </w:r>
            <w:r w:rsidR="00220A70">
              <w:rPr>
                <w:noProof/>
                <w:webHidden/>
              </w:rPr>
              <w:t>16</w:t>
            </w:r>
            <w:r w:rsidR="00220A70">
              <w:rPr>
                <w:noProof/>
                <w:webHidden/>
              </w:rPr>
              <w:fldChar w:fldCharType="end"/>
            </w:r>
          </w:hyperlink>
        </w:p>
        <w:p w14:paraId="19A512F2" w14:textId="3B9ACA08" w:rsidR="00F5359F" w:rsidRPr="00500C28" w:rsidRDefault="00F5359F" w:rsidP="00F5359F">
          <w:r w:rsidRPr="00500C28">
            <w:rPr>
              <w:b/>
              <w:bCs/>
              <w:noProof/>
            </w:rPr>
            <w:fldChar w:fldCharType="end"/>
          </w:r>
        </w:p>
      </w:sdtContent>
    </w:sdt>
    <w:p w14:paraId="6CD47E17" w14:textId="77777777" w:rsidR="00F5359F" w:rsidRPr="00500C28" w:rsidRDefault="00F5359F" w:rsidP="00F5359F">
      <w:pPr>
        <w:pStyle w:val="NoSpacing"/>
        <w:rPr>
          <w:sz w:val="22"/>
          <w:szCs w:val="22"/>
          <w:lang w:val="en-AU"/>
        </w:rPr>
      </w:pPr>
    </w:p>
    <w:p w14:paraId="2EF630B1" w14:textId="77777777" w:rsidR="00F5359F" w:rsidRPr="00500C28" w:rsidRDefault="00F5359F" w:rsidP="00F5359F"/>
    <w:p w14:paraId="35B6C55A" w14:textId="77777777" w:rsidR="00F5359F" w:rsidRPr="00500C28"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60C39DCC" w:rsidR="00F5359F" w:rsidRDefault="00F5359F" w:rsidP="00F5359F">
      <w:pPr>
        <w:tabs>
          <w:tab w:val="left" w:pos="860"/>
          <w:tab w:val="right" w:pos="1134"/>
          <w:tab w:val="right" w:leader="dot" w:pos="9040"/>
          <w:tab w:val="left" w:pos="9639"/>
        </w:tabs>
        <w:ind w:left="720"/>
        <w:jc w:val="both"/>
        <w:rPr>
          <w:rFonts w:cs="Segoe UI"/>
          <w:sz w:val="20"/>
          <w:szCs w:val="20"/>
        </w:rPr>
      </w:pPr>
    </w:p>
    <w:p w14:paraId="4B898A3A" w14:textId="77777777" w:rsidR="00AA271D" w:rsidRDefault="00AA271D" w:rsidP="00F5359F">
      <w:pPr>
        <w:tabs>
          <w:tab w:val="left" w:pos="860"/>
          <w:tab w:val="right" w:pos="1134"/>
          <w:tab w:val="right" w:leader="dot" w:pos="9040"/>
          <w:tab w:val="left" w:pos="9639"/>
        </w:tabs>
        <w:ind w:left="720"/>
        <w:jc w:val="both"/>
        <w:rPr>
          <w:rFonts w:cs="Segoe UI"/>
          <w:sz w:val="20"/>
          <w:szCs w:val="20"/>
        </w:rPr>
      </w:pPr>
    </w:p>
    <w:p w14:paraId="03D73F4A" w14:textId="73A3B260" w:rsidR="00347C92" w:rsidRDefault="00347C92" w:rsidP="00F5359F">
      <w:pPr>
        <w:tabs>
          <w:tab w:val="left" w:pos="860"/>
          <w:tab w:val="right" w:pos="1134"/>
          <w:tab w:val="right" w:leader="dot" w:pos="9040"/>
          <w:tab w:val="left" w:pos="9639"/>
        </w:tabs>
        <w:ind w:left="720"/>
        <w:jc w:val="both"/>
        <w:rPr>
          <w:rFonts w:cs="Segoe UI"/>
          <w:sz w:val="20"/>
          <w:szCs w:val="20"/>
        </w:rPr>
      </w:pPr>
    </w:p>
    <w:p w14:paraId="69FF0B6D" w14:textId="77777777" w:rsidR="00347C92" w:rsidRPr="005629B0" w:rsidRDefault="00347C92"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0AEC4DE" w14:textId="77777777" w:rsidR="00F5359F" w:rsidRPr="005629B0" w:rsidRDefault="00F5359F" w:rsidP="00F5359F">
      <w:pPr>
        <w:pStyle w:val="Heading1"/>
        <w:ind w:left="567" w:hanging="567"/>
      </w:pPr>
      <w:bookmarkStart w:id="1" w:name="_Toc532458957"/>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27DBBB32" w14:textId="1F0B48E3"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is made up of four national population specific and cross-disability DPOs that have been funded by the Australian Government to </w:t>
      </w:r>
      <w:r w:rsidR="000479A5">
        <w:rPr>
          <w:rFonts w:asciiTheme="majorHAnsi" w:hAnsiTheme="majorHAnsi" w:cs="Arial"/>
          <w:sz w:val="24"/>
          <w:szCs w:val="24"/>
        </w:rPr>
        <w:t xml:space="preserve">represent the views of people with disability and provide advice to </w:t>
      </w:r>
      <w:r w:rsidRPr="004007B0">
        <w:rPr>
          <w:rFonts w:asciiTheme="majorHAnsi" w:hAnsiTheme="majorHAnsi" w:cs="Arial"/>
          <w:sz w:val="24"/>
          <w:szCs w:val="24"/>
        </w:rPr>
        <w:t>Government/s and other stakeholders</w:t>
      </w:r>
      <w:r w:rsidR="009C434C">
        <w:rPr>
          <w:rFonts w:asciiTheme="majorHAnsi" w:hAnsiTheme="majorHAnsi" w:cs="Arial"/>
          <w:sz w:val="24"/>
          <w:szCs w:val="24"/>
        </w:rPr>
        <w:t>.</w:t>
      </w:r>
      <w:r w:rsidRPr="004007B0">
        <w:rPr>
          <w:rFonts w:asciiTheme="majorHAnsi" w:hAnsiTheme="majorHAnsi" w:cs="Arial"/>
          <w:sz w:val="24"/>
          <w:szCs w:val="24"/>
        </w:rPr>
        <w:t xml:space="preserve">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7DB17E94" w14:textId="77777777" w:rsidR="00F5359F" w:rsidRPr="004007B0" w:rsidRDefault="00500889"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 xml:space="preserve">Women </w:t>
        </w:r>
        <w:proofErr w:type="gramStart"/>
        <w:r w:rsidR="00F5359F" w:rsidRPr="004007B0">
          <w:rPr>
            <w:rStyle w:val="Hyperlink"/>
            <w:rFonts w:asciiTheme="majorHAnsi" w:hAnsiTheme="majorHAnsi" w:cs="Arial"/>
            <w:sz w:val="24"/>
            <w:szCs w:val="24"/>
          </w:rPr>
          <w:t>With</w:t>
        </w:r>
        <w:proofErr w:type="gramEnd"/>
        <w:r w:rsidR="00F5359F" w:rsidRPr="004007B0">
          <w:rPr>
            <w:rStyle w:val="Hyperlink"/>
            <w:rFonts w:asciiTheme="majorHAnsi" w:hAnsiTheme="majorHAnsi" w:cs="Arial"/>
            <w:sz w:val="24"/>
            <w:szCs w:val="24"/>
          </w:rPr>
          <w:t xml:space="preserve">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1D51EEF3" w14:textId="77777777" w:rsidR="00F5359F" w:rsidRPr="004007B0" w:rsidRDefault="00500889"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B48AB6E" w14:textId="77777777" w:rsidR="00F5359F" w:rsidRPr="004007B0" w:rsidRDefault="00500889"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3818CC62" w:rsidR="00F5359F" w:rsidRPr="00FB002E" w:rsidRDefault="00500889"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5"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w:t>
      </w:r>
      <w:r w:rsidR="00D5554D">
        <w:rPr>
          <w:rFonts w:asciiTheme="majorHAnsi" w:hAnsiTheme="majorHAnsi" w:cs="Arial"/>
          <w:sz w:val="24"/>
          <w:szCs w:val="24"/>
        </w:rPr>
        <w:t>DPO</w:t>
      </w:r>
      <w:r w:rsidR="00F5359F" w:rsidRPr="004007B0">
        <w:rPr>
          <w:rFonts w:asciiTheme="majorHAnsi" w:hAnsiTheme="majorHAnsi" w:cs="Arial"/>
          <w:sz w:val="24"/>
          <w:szCs w:val="24"/>
        </w:rPr>
        <w:t xml:space="preserve"> representing the rights and interests of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14:paraId="47CFC202" w14:textId="77777777" w:rsidR="00F5359F" w:rsidRPr="005629B0" w:rsidRDefault="00F5359F" w:rsidP="00F5359F">
      <w:pPr>
        <w:pStyle w:val="Heading1"/>
        <w:ind w:left="567" w:hanging="567"/>
      </w:pPr>
      <w:bookmarkStart w:id="2" w:name="_Toc532458958"/>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5731C597" w14:textId="52982492" w:rsidR="00B81B31" w:rsidRDefault="00D25936" w:rsidP="00D2593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 xml:space="preserve">2.1 </w:t>
      </w:r>
      <w:r>
        <w:rPr>
          <w:rFonts w:cs="Calibri"/>
          <w:sz w:val="24"/>
          <w:szCs w:val="24"/>
        </w:rPr>
        <w:tab/>
      </w:r>
      <w:r w:rsidR="00C61EF4">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w:t>
      </w:r>
      <w:r w:rsidR="005971F6">
        <w:rPr>
          <w:rFonts w:cs="Calibri"/>
          <w:sz w:val="24"/>
          <w:szCs w:val="24"/>
        </w:rPr>
        <w:t xml:space="preserve">this submission </w:t>
      </w:r>
      <w:r w:rsidR="005D20AB">
        <w:rPr>
          <w:rFonts w:cs="Calibri"/>
          <w:sz w:val="24"/>
          <w:szCs w:val="24"/>
        </w:rPr>
        <w:t xml:space="preserve">to the </w:t>
      </w:r>
      <w:r w:rsidR="008860E3">
        <w:rPr>
          <w:rFonts w:cs="Calibri"/>
          <w:sz w:val="24"/>
          <w:szCs w:val="24"/>
        </w:rPr>
        <w:t xml:space="preserve">Department of Infrastructure, Regional Development and Cities, </w:t>
      </w:r>
      <w:r w:rsidR="008860E3">
        <w:rPr>
          <w:rFonts w:cs="Calibri"/>
          <w:i/>
          <w:sz w:val="24"/>
          <w:szCs w:val="24"/>
        </w:rPr>
        <w:t>Third Review of the Disability Standards for Accessible Public Transport 2002</w:t>
      </w:r>
      <w:r w:rsidR="00E70B0D">
        <w:rPr>
          <w:rFonts w:cs="Calibri"/>
          <w:i/>
          <w:sz w:val="24"/>
          <w:szCs w:val="24"/>
        </w:rPr>
        <w:t xml:space="preserve"> </w:t>
      </w:r>
      <w:r w:rsidR="00E70B0D">
        <w:rPr>
          <w:rFonts w:cs="Calibri"/>
          <w:sz w:val="24"/>
          <w:szCs w:val="24"/>
        </w:rPr>
        <w:t>(Issues Paper)</w:t>
      </w:r>
      <w:r w:rsidR="000F1A9F">
        <w:rPr>
          <w:rFonts w:cs="Calibri"/>
          <w:sz w:val="24"/>
          <w:szCs w:val="24"/>
        </w:rPr>
        <w:t>;</w:t>
      </w:r>
      <w:r w:rsidR="002C145F" w:rsidRPr="00B21523">
        <w:rPr>
          <w:rFonts w:cs="Calibri"/>
          <w:color w:val="000000" w:themeColor="text1"/>
          <w:sz w:val="24"/>
          <w:szCs w:val="24"/>
        </w:rPr>
        <w:t xml:space="preserve"> we note</w:t>
      </w:r>
      <w:r w:rsidR="00B21523" w:rsidRPr="00B21523">
        <w:rPr>
          <w:rFonts w:cs="Calibri"/>
          <w:color w:val="000000" w:themeColor="text1"/>
          <w:sz w:val="24"/>
          <w:szCs w:val="24"/>
        </w:rPr>
        <w:t xml:space="preserve"> the second review is still in process</w:t>
      </w:r>
      <w:r w:rsidR="004D1821">
        <w:rPr>
          <w:rFonts w:cs="Calibri"/>
          <w:color w:val="000000" w:themeColor="text1"/>
          <w:sz w:val="24"/>
          <w:szCs w:val="24"/>
        </w:rPr>
        <w:t xml:space="preserve"> and </w:t>
      </w:r>
      <w:r w:rsidR="00B21523" w:rsidRPr="00B21523">
        <w:rPr>
          <w:rFonts w:cs="Calibri"/>
          <w:color w:val="000000" w:themeColor="text1"/>
          <w:sz w:val="24"/>
          <w:szCs w:val="24"/>
        </w:rPr>
        <w:t>acknowledg</w:t>
      </w:r>
      <w:r w:rsidR="004D1821">
        <w:rPr>
          <w:rFonts w:cs="Calibri"/>
          <w:color w:val="000000" w:themeColor="text1"/>
          <w:sz w:val="24"/>
          <w:szCs w:val="24"/>
        </w:rPr>
        <w:t>e</w:t>
      </w:r>
      <w:r w:rsidR="00B21523" w:rsidRPr="00B21523">
        <w:rPr>
          <w:rFonts w:cs="Calibri"/>
          <w:color w:val="000000" w:themeColor="text1"/>
          <w:sz w:val="24"/>
          <w:szCs w:val="24"/>
        </w:rPr>
        <w:t xml:space="preserve"> the detailed work the </w:t>
      </w:r>
      <w:r w:rsidR="004D1821">
        <w:rPr>
          <w:rFonts w:cs="Calibri"/>
          <w:color w:val="000000" w:themeColor="text1"/>
          <w:sz w:val="24"/>
          <w:szCs w:val="24"/>
        </w:rPr>
        <w:t>D</w:t>
      </w:r>
      <w:r w:rsidR="00B21523" w:rsidRPr="00B21523">
        <w:rPr>
          <w:rFonts w:cs="Calibri"/>
          <w:color w:val="000000" w:themeColor="text1"/>
          <w:sz w:val="24"/>
          <w:szCs w:val="24"/>
        </w:rPr>
        <w:t xml:space="preserve">epartment is undertaking </w:t>
      </w:r>
      <w:r w:rsidR="00B21523">
        <w:rPr>
          <w:rFonts w:cs="Calibri"/>
          <w:color w:val="000000" w:themeColor="text1"/>
          <w:sz w:val="24"/>
          <w:szCs w:val="24"/>
        </w:rPr>
        <w:t xml:space="preserve">in regards to </w:t>
      </w:r>
      <w:r w:rsidR="00B21523" w:rsidRPr="00B21523">
        <w:rPr>
          <w:rFonts w:cs="Calibri"/>
          <w:color w:val="000000" w:themeColor="text1"/>
          <w:sz w:val="24"/>
          <w:szCs w:val="24"/>
        </w:rPr>
        <w:t>modernising the standards</w:t>
      </w:r>
      <w:r w:rsidR="004D1821">
        <w:rPr>
          <w:rFonts w:cs="Calibri"/>
          <w:color w:val="000000" w:themeColor="text1"/>
          <w:sz w:val="24"/>
          <w:szCs w:val="24"/>
        </w:rPr>
        <w:t>,</w:t>
      </w:r>
      <w:r w:rsidR="00B21523">
        <w:rPr>
          <w:rFonts w:cs="Calibri"/>
          <w:color w:val="000000" w:themeColor="text1"/>
          <w:sz w:val="24"/>
          <w:szCs w:val="24"/>
        </w:rPr>
        <w:t xml:space="preserve"> </w:t>
      </w:r>
      <w:r w:rsidR="00B21523" w:rsidRPr="00B21523">
        <w:rPr>
          <w:rFonts w:cs="Calibri"/>
          <w:color w:val="000000" w:themeColor="text1"/>
          <w:sz w:val="24"/>
          <w:szCs w:val="24"/>
        </w:rPr>
        <w:t xml:space="preserve">and therefore provide our submission </w:t>
      </w:r>
      <w:r w:rsidR="00B21523">
        <w:rPr>
          <w:rFonts w:cs="Calibri"/>
          <w:color w:val="000000" w:themeColor="text1"/>
          <w:sz w:val="24"/>
          <w:szCs w:val="24"/>
        </w:rPr>
        <w:t xml:space="preserve">for consideration into the </w:t>
      </w:r>
      <w:r w:rsidR="00B21523" w:rsidRPr="00B21523">
        <w:rPr>
          <w:rFonts w:cs="Calibri"/>
          <w:color w:val="000000" w:themeColor="text1"/>
          <w:sz w:val="24"/>
          <w:szCs w:val="24"/>
        </w:rPr>
        <w:t xml:space="preserve">wider </w:t>
      </w:r>
      <w:r w:rsidR="004D1821">
        <w:rPr>
          <w:rFonts w:cs="Calibri"/>
          <w:color w:val="000000" w:themeColor="text1"/>
          <w:sz w:val="24"/>
          <w:szCs w:val="24"/>
        </w:rPr>
        <w:t xml:space="preserve">transport </w:t>
      </w:r>
      <w:r w:rsidR="00B21523" w:rsidRPr="00B21523">
        <w:rPr>
          <w:rFonts w:cs="Calibri"/>
          <w:color w:val="000000" w:themeColor="text1"/>
          <w:sz w:val="24"/>
          <w:szCs w:val="24"/>
        </w:rPr>
        <w:t xml:space="preserve">reform agenda.  </w:t>
      </w:r>
    </w:p>
    <w:p w14:paraId="7EFF44E6" w14:textId="31BFE79B" w:rsidR="00A83DEB" w:rsidRDefault="000B3B5F" w:rsidP="008730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2.2</w:t>
      </w:r>
      <w:r>
        <w:rPr>
          <w:rFonts w:cs="Calibri"/>
          <w:sz w:val="24"/>
          <w:szCs w:val="24"/>
        </w:rPr>
        <w:tab/>
      </w:r>
      <w:r w:rsidR="005B12F3">
        <w:rPr>
          <w:rFonts w:cs="Calibri"/>
          <w:sz w:val="24"/>
          <w:szCs w:val="24"/>
        </w:rPr>
        <w:t xml:space="preserve">DPO Australia fully endorses the submission </w:t>
      </w:r>
      <w:r w:rsidR="00DF0F8E">
        <w:rPr>
          <w:rFonts w:cs="Calibri"/>
          <w:sz w:val="24"/>
          <w:szCs w:val="24"/>
        </w:rPr>
        <w:t xml:space="preserve">and associated </w:t>
      </w:r>
      <w:r w:rsidR="00355F64">
        <w:rPr>
          <w:rFonts w:cs="Calibri"/>
          <w:sz w:val="24"/>
          <w:szCs w:val="24"/>
        </w:rPr>
        <w:t xml:space="preserve">technical </w:t>
      </w:r>
      <w:r w:rsidR="00DF0F8E">
        <w:rPr>
          <w:rFonts w:cs="Calibri"/>
          <w:sz w:val="24"/>
          <w:szCs w:val="24"/>
        </w:rPr>
        <w:t xml:space="preserve">recommendations </w:t>
      </w:r>
      <w:r w:rsidR="005B12F3">
        <w:rPr>
          <w:rFonts w:cs="Calibri"/>
          <w:sz w:val="24"/>
          <w:szCs w:val="24"/>
        </w:rPr>
        <w:t xml:space="preserve">provided to the </w:t>
      </w:r>
      <w:r w:rsidR="00E70B0D">
        <w:rPr>
          <w:rFonts w:cs="Calibri"/>
          <w:sz w:val="24"/>
          <w:szCs w:val="24"/>
        </w:rPr>
        <w:t>Department of Infrastructure, Regional Development and Cities by Dr John McPherson</w:t>
      </w:r>
      <w:r w:rsidR="004D1821">
        <w:rPr>
          <w:rFonts w:cs="Calibri"/>
          <w:sz w:val="24"/>
          <w:szCs w:val="24"/>
        </w:rPr>
        <w:t>.</w:t>
      </w:r>
    </w:p>
    <w:p w14:paraId="3139CDB7" w14:textId="0F0D169B" w:rsidR="000B3B5F" w:rsidRPr="00DB52E0" w:rsidRDefault="00096D86" w:rsidP="00096D8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2.3</w:t>
      </w:r>
      <w:r>
        <w:rPr>
          <w:rFonts w:cs="Calibri"/>
          <w:sz w:val="24"/>
          <w:szCs w:val="24"/>
        </w:rPr>
        <w:tab/>
      </w:r>
      <w:r w:rsidR="008D54B4" w:rsidRPr="00DB52E0">
        <w:rPr>
          <w:rFonts w:cs="Calibri"/>
          <w:sz w:val="24"/>
          <w:szCs w:val="24"/>
        </w:rPr>
        <w:t>DPO Australia’s submission is based on the lived experiences of people with disability, and our many years of representing the rights of people with disability to access</w:t>
      </w:r>
      <w:r w:rsidR="00F839BC" w:rsidRPr="00DB52E0">
        <w:rPr>
          <w:rFonts w:cs="Calibri"/>
          <w:sz w:val="24"/>
          <w:szCs w:val="24"/>
        </w:rPr>
        <w:t xml:space="preserve"> and use</w:t>
      </w:r>
      <w:r w:rsidR="008D54B4" w:rsidRPr="00DB52E0">
        <w:rPr>
          <w:rFonts w:cs="Calibri"/>
          <w:sz w:val="24"/>
          <w:szCs w:val="24"/>
        </w:rPr>
        <w:t xml:space="preserve"> public transport on an equal basis with others.</w:t>
      </w:r>
      <w:r w:rsidR="0030500D" w:rsidRPr="00DB52E0">
        <w:rPr>
          <w:rFonts w:cs="Calibri"/>
          <w:sz w:val="24"/>
          <w:szCs w:val="24"/>
        </w:rPr>
        <w:t xml:space="preserve">  In response to this issues paper,</w:t>
      </w:r>
      <w:r w:rsidR="00DB52E0" w:rsidRPr="00DB52E0">
        <w:rPr>
          <w:rFonts w:cs="Calibri"/>
          <w:sz w:val="24"/>
          <w:szCs w:val="24"/>
        </w:rPr>
        <w:t xml:space="preserve"> DPO Australia </w:t>
      </w:r>
      <w:r w:rsidR="0030500D" w:rsidRPr="00DB52E0">
        <w:rPr>
          <w:rFonts w:cs="Calibri"/>
          <w:sz w:val="24"/>
          <w:szCs w:val="24"/>
        </w:rPr>
        <w:t xml:space="preserve">conducted a survey across </w:t>
      </w:r>
      <w:r w:rsidR="00DB52E0" w:rsidRPr="00DB52E0">
        <w:rPr>
          <w:rFonts w:cs="Calibri"/>
          <w:sz w:val="24"/>
          <w:szCs w:val="24"/>
        </w:rPr>
        <w:t xml:space="preserve">our membership to capture the </w:t>
      </w:r>
      <w:r w:rsidR="0030500D" w:rsidRPr="00DB52E0">
        <w:rPr>
          <w:rFonts w:cs="Calibri"/>
          <w:sz w:val="24"/>
          <w:szCs w:val="24"/>
        </w:rPr>
        <w:t xml:space="preserve">public transport </w:t>
      </w:r>
      <w:r w:rsidR="00DB52E0" w:rsidRPr="00DB52E0">
        <w:rPr>
          <w:rFonts w:cs="Calibri"/>
          <w:sz w:val="24"/>
          <w:szCs w:val="24"/>
        </w:rPr>
        <w:t>experiences of people with disability and</w:t>
      </w:r>
      <w:r w:rsidR="0030500D" w:rsidRPr="00DB52E0">
        <w:rPr>
          <w:rFonts w:cs="Calibri"/>
          <w:sz w:val="24"/>
          <w:szCs w:val="24"/>
        </w:rPr>
        <w:t xml:space="preserve"> incorporated their feedback into our submission.  </w:t>
      </w:r>
      <w:r w:rsidR="00DB52E0" w:rsidRPr="00DB52E0">
        <w:rPr>
          <w:rFonts w:cs="Calibri"/>
          <w:sz w:val="24"/>
          <w:szCs w:val="24"/>
        </w:rPr>
        <w:t xml:space="preserve">We also draw upon our submissions, collective input into national policy and legislation, and joint representative advocacy DPO Australia undertakes within national transport forums e.g. our membership on the National Accessible Public Transport Advisory Committee.  We </w:t>
      </w:r>
      <w:r w:rsidRPr="00DB52E0">
        <w:rPr>
          <w:rFonts w:cs="Calibri"/>
          <w:sz w:val="24"/>
          <w:szCs w:val="24"/>
        </w:rPr>
        <w:t>assert</w:t>
      </w:r>
      <w:r w:rsidR="000B3B5F" w:rsidRPr="00DB52E0">
        <w:rPr>
          <w:rFonts w:cs="Calibri"/>
          <w:sz w:val="24"/>
          <w:szCs w:val="24"/>
        </w:rPr>
        <w:t xml:space="preserve"> that the international human rights framework</w:t>
      </w:r>
      <w:r w:rsidR="00D5554D" w:rsidRPr="00DB52E0">
        <w:rPr>
          <w:rFonts w:cs="Calibri"/>
          <w:sz w:val="24"/>
          <w:szCs w:val="24"/>
        </w:rPr>
        <w:t xml:space="preserve"> must underpin </w:t>
      </w:r>
      <w:r w:rsidR="00DB52E0" w:rsidRPr="00DB52E0">
        <w:rPr>
          <w:rFonts w:cs="Calibri"/>
          <w:sz w:val="24"/>
          <w:szCs w:val="24"/>
        </w:rPr>
        <w:t xml:space="preserve">the </w:t>
      </w:r>
      <w:r w:rsidR="00D5554D" w:rsidRPr="00DB52E0">
        <w:rPr>
          <w:rFonts w:cs="Calibri"/>
          <w:sz w:val="24"/>
          <w:szCs w:val="24"/>
        </w:rPr>
        <w:t>human rights protections of people with disability</w:t>
      </w:r>
    </w:p>
    <w:p w14:paraId="43873E57" w14:textId="2F1C24B1" w:rsidR="00C443B8" w:rsidRDefault="000B3B5F" w:rsidP="008D54B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2.4</w:t>
      </w:r>
      <w:r>
        <w:rPr>
          <w:rFonts w:cs="Calibri"/>
          <w:sz w:val="24"/>
          <w:szCs w:val="24"/>
        </w:rPr>
        <w:tab/>
      </w:r>
      <w:r w:rsidR="00FB50A5">
        <w:rPr>
          <w:rFonts w:cs="Calibri"/>
          <w:sz w:val="24"/>
          <w:szCs w:val="24"/>
        </w:rPr>
        <w:t>DPO Australia is significantly concerned with the lack of progress with addressing recommendations arising from previous reviews and the relative priority these matters</w:t>
      </w:r>
      <w:r w:rsidR="004762BA">
        <w:rPr>
          <w:rFonts w:cs="Calibri"/>
          <w:sz w:val="24"/>
          <w:szCs w:val="24"/>
        </w:rPr>
        <w:t>, along with other issues pertaining to public transport for people with disability,</w:t>
      </w:r>
      <w:r w:rsidR="00FB50A5">
        <w:rPr>
          <w:rFonts w:cs="Calibri"/>
          <w:sz w:val="24"/>
          <w:szCs w:val="24"/>
        </w:rPr>
        <w:t xml:space="preserve"> have been accorded within the</w:t>
      </w:r>
      <w:r w:rsidR="004262E2">
        <w:rPr>
          <w:rFonts w:cs="Calibri"/>
          <w:sz w:val="24"/>
          <w:szCs w:val="24"/>
        </w:rPr>
        <w:t xml:space="preserve"> National Disability Strategy (NDS) and wider</w:t>
      </w:r>
      <w:r w:rsidR="00FB50A5">
        <w:rPr>
          <w:rFonts w:cs="Calibri"/>
          <w:sz w:val="24"/>
          <w:szCs w:val="24"/>
        </w:rPr>
        <w:t xml:space="preserve"> national transport reform agenda.  The failure to address recommendations has negatively impacted on people with disability who require accessible services and has provided a great deal of uncertainty to operators and regulators.  Implementation of recommendations need to be pro</w:t>
      </w:r>
      <w:r w:rsidR="00426AA6">
        <w:rPr>
          <w:rFonts w:cs="Calibri"/>
          <w:sz w:val="24"/>
          <w:szCs w:val="24"/>
        </w:rPr>
        <w:t xml:space="preserve">gressed </w:t>
      </w:r>
      <w:r w:rsidR="00FB50A5">
        <w:rPr>
          <w:rFonts w:cs="Calibri"/>
          <w:sz w:val="24"/>
          <w:szCs w:val="24"/>
        </w:rPr>
        <w:t xml:space="preserve">as a matter of priority.  </w:t>
      </w:r>
    </w:p>
    <w:p w14:paraId="6D88E1A7" w14:textId="579930E3" w:rsidR="000B3B5F" w:rsidRDefault="00C443B8" w:rsidP="000B3B5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2.5</w:t>
      </w:r>
      <w:r>
        <w:rPr>
          <w:rFonts w:cs="Calibri"/>
          <w:sz w:val="24"/>
          <w:szCs w:val="24"/>
        </w:rPr>
        <w:tab/>
        <w:t xml:space="preserve">Broadly speaking, public transport accessibility </w:t>
      </w:r>
      <w:r w:rsidR="00A02E62">
        <w:rPr>
          <w:rFonts w:cs="Calibri"/>
          <w:sz w:val="24"/>
          <w:szCs w:val="24"/>
        </w:rPr>
        <w:t>has improved</w:t>
      </w:r>
      <w:r w:rsidR="007C2ED2">
        <w:rPr>
          <w:rFonts w:cs="Calibri"/>
          <w:sz w:val="24"/>
          <w:szCs w:val="24"/>
        </w:rPr>
        <w:t>, incrementally,</w:t>
      </w:r>
      <w:r w:rsidR="00A02E62">
        <w:rPr>
          <w:rFonts w:cs="Calibri"/>
          <w:sz w:val="24"/>
          <w:szCs w:val="24"/>
        </w:rPr>
        <w:t xml:space="preserve"> since the last DSAPT review.  Nonetheless, people with disability continue to experience significant disadvantage due to</w:t>
      </w:r>
      <w:r w:rsidR="00B71651">
        <w:rPr>
          <w:rFonts w:cs="Calibri"/>
          <w:sz w:val="24"/>
          <w:szCs w:val="24"/>
        </w:rPr>
        <w:t xml:space="preserve"> </w:t>
      </w:r>
      <w:r w:rsidR="007C2ED2">
        <w:rPr>
          <w:rFonts w:cs="Calibri"/>
          <w:sz w:val="24"/>
          <w:szCs w:val="24"/>
        </w:rPr>
        <w:t xml:space="preserve">real </w:t>
      </w:r>
      <w:r w:rsidR="00A02E62">
        <w:rPr>
          <w:rFonts w:cs="Calibri"/>
          <w:sz w:val="24"/>
          <w:szCs w:val="24"/>
        </w:rPr>
        <w:t>public transport inaccessibility.</w:t>
      </w:r>
      <w:r w:rsidR="007C2ED2">
        <w:rPr>
          <w:rFonts w:cs="Calibri"/>
          <w:sz w:val="24"/>
          <w:szCs w:val="24"/>
        </w:rPr>
        <w:t xml:space="preserve">   Daily exclusion from public transport results in </w:t>
      </w:r>
      <w:r w:rsidR="00DB52E0">
        <w:rPr>
          <w:rFonts w:cs="Calibri"/>
          <w:sz w:val="24"/>
          <w:szCs w:val="24"/>
        </w:rPr>
        <w:t xml:space="preserve">people with disability </w:t>
      </w:r>
      <w:r w:rsidR="007C2ED2">
        <w:rPr>
          <w:rFonts w:cs="Calibri"/>
          <w:sz w:val="24"/>
          <w:szCs w:val="24"/>
        </w:rPr>
        <w:t>being shut out from the</w:t>
      </w:r>
      <w:r w:rsidR="004D1821">
        <w:rPr>
          <w:rFonts w:cs="Calibri"/>
          <w:sz w:val="24"/>
          <w:szCs w:val="24"/>
        </w:rPr>
        <w:t>ir</w:t>
      </w:r>
      <w:r w:rsidR="007C2ED2">
        <w:rPr>
          <w:rFonts w:cs="Calibri"/>
          <w:sz w:val="24"/>
          <w:szCs w:val="24"/>
        </w:rPr>
        <w:t xml:space="preserve"> community</w:t>
      </w:r>
      <w:r w:rsidR="004D1821">
        <w:rPr>
          <w:rFonts w:cs="Calibri"/>
          <w:sz w:val="24"/>
          <w:szCs w:val="24"/>
        </w:rPr>
        <w:t xml:space="preserve">.  It </w:t>
      </w:r>
      <w:r w:rsidR="007C2ED2">
        <w:rPr>
          <w:rFonts w:cs="Calibri"/>
          <w:sz w:val="24"/>
          <w:szCs w:val="24"/>
        </w:rPr>
        <w:t xml:space="preserve">restricts </w:t>
      </w:r>
      <w:r w:rsidR="00DB52E0">
        <w:rPr>
          <w:rFonts w:cs="Calibri"/>
          <w:sz w:val="24"/>
          <w:szCs w:val="24"/>
        </w:rPr>
        <w:t>their</w:t>
      </w:r>
      <w:r w:rsidR="007C2ED2">
        <w:rPr>
          <w:rFonts w:cs="Calibri"/>
          <w:sz w:val="24"/>
          <w:szCs w:val="24"/>
        </w:rPr>
        <w:t xml:space="preserve"> ability to work; study; shop; </w:t>
      </w:r>
      <w:r w:rsidR="00347C92">
        <w:rPr>
          <w:rFonts w:cs="Calibri"/>
          <w:sz w:val="24"/>
          <w:szCs w:val="24"/>
        </w:rPr>
        <w:t>socialise with</w:t>
      </w:r>
      <w:r w:rsidR="007C2ED2">
        <w:rPr>
          <w:rFonts w:cs="Calibri"/>
          <w:sz w:val="24"/>
          <w:szCs w:val="24"/>
        </w:rPr>
        <w:t xml:space="preserve"> family and friends; be engaged in recreational activities; and, access vital government</w:t>
      </w:r>
      <w:r w:rsidR="00DB52E0">
        <w:rPr>
          <w:rFonts w:cs="Calibri"/>
          <w:sz w:val="24"/>
          <w:szCs w:val="24"/>
        </w:rPr>
        <w:t xml:space="preserve"> </w:t>
      </w:r>
      <w:r w:rsidR="007C2ED2">
        <w:rPr>
          <w:rFonts w:cs="Calibri"/>
          <w:sz w:val="24"/>
          <w:szCs w:val="24"/>
        </w:rPr>
        <w:t xml:space="preserve">services.  As a result, </w:t>
      </w:r>
      <w:r w:rsidR="00DB52E0">
        <w:rPr>
          <w:rFonts w:cs="Calibri"/>
          <w:sz w:val="24"/>
          <w:szCs w:val="24"/>
        </w:rPr>
        <w:t>people with disability</w:t>
      </w:r>
      <w:r w:rsidR="007C2ED2">
        <w:rPr>
          <w:rFonts w:cs="Calibri"/>
          <w:sz w:val="24"/>
          <w:szCs w:val="24"/>
        </w:rPr>
        <w:t xml:space="preserve"> are cloistered in communities, stripped of </w:t>
      </w:r>
      <w:r w:rsidR="00DB52E0">
        <w:rPr>
          <w:rFonts w:cs="Calibri"/>
          <w:sz w:val="24"/>
          <w:szCs w:val="24"/>
        </w:rPr>
        <w:t>their independence</w:t>
      </w:r>
      <w:r w:rsidR="007C2ED2">
        <w:rPr>
          <w:rFonts w:cs="Calibri"/>
          <w:sz w:val="24"/>
          <w:szCs w:val="24"/>
        </w:rPr>
        <w:t xml:space="preserve">, and denied the right to socially and economically participate on an equal basis with others.  </w:t>
      </w:r>
      <w:r w:rsidR="00347C92">
        <w:rPr>
          <w:rFonts w:cs="Calibri"/>
          <w:sz w:val="24"/>
          <w:szCs w:val="24"/>
        </w:rPr>
        <w:t>P</w:t>
      </w:r>
      <w:r w:rsidR="00ED56D3">
        <w:rPr>
          <w:rFonts w:cs="Calibri"/>
          <w:sz w:val="24"/>
          <w:szCs w:val="24"/>
        </w:rPr>
        <w:t xml:space="preserve">eople with disability are </w:t>
      </w:r>
      <w:r w:rsidR="00347C92">
        <w:rPr>
          <w:rFonts w:cs="Calibri"/>
          <w:sz w:val="24"/>
          <w:szCs w:val="24"/>
        </w:rPr>
        <w:t xml:space="preserve">also </w:t>
      </w:r>
      <w:r w:rsidR="00ED56D3">
        <w:rPr>
          <w:rFonts w:cs="Calibri"/>
          <w:sz w:val="24"/>
          <w:szCs w:val="24"/>
        </w:rPr>
        <w:t>unable to undertake spontaneous and unscheduled journeys due to public transport inaccessibility and unreliability.  Therefore, p</w:t>
      </w:r>
      <w:r w:rsidR="007C2ED2">
        <w:rPr>
          <w:rFonts w:cs="Calibri"/>
          <w:sz w:val="24"/>
          <w:szCs w:val="24"/>
        </w:rPr>
        <w:t xml:space="preserve">ublic transport accessibility remains a critical human rights issue for people with disability.      </w:t>
      </w:r>
      <w:r w:rsidR="00A02E62">
        <w:rPr>
          <w:rFonts w:cs="Calibri"/>
          <w:sz w:val="24"/>
          <w:szCs w:val="24"/>
        </w:rPr>
        <w:t xml:space="preserve">  </w:t>
      </w:r>
      <w:r>
        <w:rPr>
          <w:rFonts w:cs="Calibri"/>
          <w:sz w:val="24"/>
          <w:szCs w:val="24"/>
        </w:rPr>
        <w:t xml:space="preserve"> </w:t>
      </w:r>
      <w:r w:rsidR="00EC0F12">
        <w:rPr>
          <w:rFonts w:cs="Calibri"/>
          <w:sz w:val="24"/>
          <w:szCs w:val="24"/>
        </w:rPr>
        <w:t xml:space="preserve">  </w:t>
      </w:r>
    </w:p>
    <w:p w14:paraId="20568288" w14:textId="67EBFA25" w:rsidR="00CF2781" w:rsidRPr="005629B0" w:rsidRDefault="000B3B5F" w:rsidP="00CF2781">
      <w:pPr>
        <w:pStyle w:val="Heading1"/>
        <w:ind w:hanging="720"/>
      </w:pPr>
      <w:bookmarkStart w:id="3" w:name="_Toc532458959"/>
      <w:r>
        <w:lastRenderedPageBreak/>
        <w:t>Human Rights</w:t>
      </w:r>
      <w:r w:rsidR="00DF69A2">
        <w:t xml:space="preserve"> Framework</w:t>
      </w:r>
      <w:bookmarkEnd w:id="3"/>
    </w:p>
    <w:p w14:paraId="2E13DCC5" w14:textId="77777777" w:rsidR="00F5359F" w:rsidRPr="005629B0" w:rsidRDefault="00F5359F" w:rsidP="00F5359F">
      <w:pPr>
        <w:pBdr>
          <w:bottom w:val="single" w:sz="12" w:space="1" w:color="auto"/>
        </w:pBdr>
        <w:rPr>
          <w:sz w:val="16"/>
          <w:szCs w:val="16"/>
        </w:rPr>
      </w:pPr>
    </w:p>
    <w:p w14:paraId="67607ED8" w14:textId="7C379FCD" w:rsidR="007E7D1D" w:rsidRDefault="001C06A9" w:rsidP="007978D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sidRPr="000D432E">
        <w:rPr>
          <w:rFonts w:asciiTheme="minorHAnsi" w:hAnsiTheme="minorHAnsi" w:cs="Calibri"/>
          <w:sz w:val="24"/>
          <w:szCs w:val="24"/>
        </w:rPr>
        <w:t>3.1</w:t>
      </w:r>
      <w:r w:rsidRPr="000D432E">
        <w:rPr>
          <w:rFonts w:asciiTheme="minorHAnsi" w:hAnsiTheme="minorHAnsi" w:cs="Calibri"/>
          <w:sz w:val="24"/>
          <w:szCs w:val="24"/>
        </w:rPr>
        <w:tab/>
      </w:r>
      <w:r w:rsidR="007E7D1D">
        <w:rPr>
          <w:rFonts w:cs="Calibri"/>
          <w:sz w:val="24"/>
          <w:szCs w:val="24"/>
        </w:rPr>
        <w:t>Article 9 of the Convention on the Rights of Persons with Disability (CRPD), which Australia is a signatory to, requires State Parties to ensure people with disabilities access, on an equal basis with others, transport and the physical environment, both in urban and rural areas</w:t>
      </w:r>
      <w:r w:rsidR="00AB479B">
        <w:rPr>
          <w:rFonts w:cs="Calibri"/>
          <w:sz w:val="24"/>
          <w:szCs w:val="24"/>
        </w:rPr>
        <w:t>.</w:t>
      </w:r>
      <w:r w:rsidR="007E7D1D">
        <w:rPr>
          <w:rStyle w:val="FootnoteReference"/>
          <w:rFonts w:cs="Calibri"/>
          <w:sz w:val="24"/>
          <w:szCs w:val="24"/>
        </w:rPr>
        <w:footnoteReference w:id="1"/>
      </w:r>
      <w:r w:rsidR="007E7D1D">
        <w:rPr>
          <w:rFonts w:cs="Calibri"/>
          <w:sz w:val="24"/>
          <w:szCs w:val="24"/>
        </w:rPr>
        <w:t xml:space="preserve"> </w:t>
      </w:r>
    </w:p>
    <w:p w14:paraId="63CA69AA" w14:textId="318882A4" w:rsidR="007978D7" w:rsidRDefault="007978D7" w:rsidP="007978D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 xml:space="preserve">3.2     The National Disability Strategy (NDS) is Australia’s key national policy framework for protection, promoting, and fulfilling the human rights of people with disability.  All Governments have agreed that the NDS is the mechanism to implement the CRPD and to report to the United Nations against process in achieving the CRPD.  Pillar one of the NDS, ‘Inclusive and accessible communities’ specifically relates to access to public transport and the build environment for people with disability.  </w:t>
      </w:r>
    </w:p>
    <w:p w14:paraId="21A5574B" w14:textId="4F05EE01" w:rsidR="0093410E" w:rsidRPr="0093410E" w:rsidRDefault="003934E3" w:rsidP="00A1579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 xml:space="preserve">3.3     </w:t>
      </w:r>
      <w:r w:rsidR="00BB10E1">
        <w:rPr>
          <w:rFonts w:cs="Calibri"/>
          <w:sz w:val="24"/>
          <w:szCs w:val="24"/>
        </w:rPr>
        <w:t xml:space="preserve">While the Disability </w:t>
      </w:r>
      <w:r w:rsidR="00A15790">
        <w:rPr>
          <w:rFonts w:cs="Calibri"/>
          <w:sz w:val="24"/>
          <w:szCs w:val="24"/>
        </w:rPr>
        <w:t>Discrimination</w:t>
      </w:r>
      <w:r w:rsidR="00BB10E1">
        <w:rPr>
          <w:rFonts w:cs="Calibri"/>
          <w:sz w:val="24"/>
          <w:szCs w:val="24"/>
        </w:rPr>
        <w:t xml:space="preserve"> Act 1992 (</w:t>
      </w:r>
      <w:proofErr w:type="spellStart"/>
      <w:r w:rsidR="00BB10E1">
        <w:rPr>
          <w:rFonts w:cs="Calibri"/>
          <w:sz w:val="24"/>
          <w:szCs w:val="24"/>
        </w:rPr>
        <w:t>Cth</w:t>
      </w:r>
      <w:proofErr w:type="spellEnd"/>
      <w:r w:rsidR="00BB10E1">
        <w:rPr>
          <w:rFonts w:cs="Calibri"/>
          <w:sz w:val="24"/>
          <w:szCs w:val="24"/>
        </w:rPr>
        <w:t xml:space="preserve">) (DDA) makes it unlawful to directly or indirectly discriminate against people with disability in certain areas of public life, significant limitations remain.  The DDA supports the development of the Disability Standards as a mechanism to address systemic discrimination and promote equity.  The Disability Standards for Accessible Public Transport (DSAPT) is designed to specify rights and responsibilities and clarify obligations under the DDA. </w:t>
      </w:r>
      <w:r w:rsidR="00A15790">
        <w:rPr>
          <w:rFonts w:cs="Calibri"/>
          <w:sz w:val="24"/>
          <w:szCs w:val="24"/>
        </w:rPr>
        <w:t xml:space="preserve"> The requirement for people with disability to make a compliant for a breach in Standards make this regulatory approach a less that ideal mechanism to drive systemic change and promote equity.  </w:t>
      </w:r>
      <w:r w:rsidR="00BB10E1">
        <w:rPr>
          <w:rFonts w:cs="Calibri"/>
          <w:sz w:val="24"/>
          <w:szCs w:val="24"/>
        </w:rPr>
        <w:t xml:space="preserve"> </w:t>
      </w:r>
    </w:p>
    <w:p w14:paraId="25D822FC" w14:textId="6B0120DD" w:rsidR="00BD520E" w:rsidRDefault="00DF69A2" w:rsidP="007978D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lang w:val="en-US"/>
        </w:rPr>
      </w:pPr>
      <w:r>
        <w:rPr>
          <w:rFonts w:cs="Calibri"/>
          <w:sz w:val="24"/>
          <w:szCs w:val="24"/>
        </w:rPr>
        <w:t>3.4</w:t>
      </w:r>
      <w:r>
        <w:rPr>
          <w:rFonts w:cs="Calibri"/>
          <w:sz w:val="24"/>
          <w:szCs w:val="24"/>
        </w:rPr>
        <w:tab/>
      </w:r>
      <w:r w:rsidR="000B3B5F">
        <w:rPr>
          <w:rFonts w:cs="Calibri"/>
          <w:sz w:val="24"/>
          <w:szCs w:val="24"/>
        </w:rPr>
        <w:t xml:space="preserve">For several years, DPO Australia </w:t>
      </w:r>
      <w:r w:rsidR="00FD6455">
        <w:rPr>
          <w:rFonts w:cs="Calibri"/>
          <w:sz w:val="24"/>
          <w:szCs w:val="24"/>
        </w:rPr>
        <w:t>and its’ member organisations</w:t>
      </w:r>
      <w:r w:rsidR="0052619C">
        <w:rPr>
          <w:rFonts w:cs="Calibri"/>
          <w:sz w:val="24"/>
          <w:szCs w:val="24"/>
        </w:rPr>
        <w:t xml:space="preserve"> </w:t>
      </w:r>
      <w:r w:rsidR="00FD6455">
        <w:rPr>
          <w:rFonts w:cs="Calibri"/>
          <w:sz w:val="24"/>
          <w:szCs w:val="24"/>
        </w:rPr>
        <w:t>have</w:t>
      </w:r>
      <w:r w:rsidR="000B3B5F">
        <w:rPr>
          <w:rFonts w:cs="Calibri"/>
          <w:sz w:val="24"/>
          <w:szCs w:val="24"/>
        </w:rPr>
        <w:t xml:space="preserve"> been using the international human rights framework to raise human rights concerns about </w:t>
      </w:r>
      <w:r w:rsidR="001D7A2A">
        <w:rPr>
          <w:rFonts w:cs="Calibri"/>
          <w:sz w:val="24"/>
          <w:szCs w:val="24"/>
        </w:rPr>
        <w:t>public transport related issues</w:t>
      </w:r>
      <w:r w:rsidR="000B3B5F">
        <w:rPr>
          <w:rFonts w:cs="Calibri"/>
          <w:sz w:val="24"/>
          <w:szCs w:val="24"/>
        </w:rPr>
        <w:t xml:space="preserve">, and to </w:t>
      </w:r>
      <w:r w:rsidR="001D7A2A">
        <w:rPr>
          <w:rFonts w:cs="Calibri"/>
          <w:sz w:val="24"/>
          <w:szCs w:val="24"/>
        </w:rPr>
        <w:t xml:space="preserve">push towards positive Whole of Journey experiences for people with disability.  </w:t>
      </w:r>
      <w:r w:rsidR="000B3B5F">
        <w:rPr>
          <w:rFonts w:cs="Calibri"/>
          <w:sz w:val="24"/>
          <w:szCs w:val="24"/>
        </w:rPr>
        <w:t xml:space="preserve"> We have raised these concerns at both the domestic level</w:t>
      </w:r>
      <w:r w:rsidR="0052619C">
        <w:rPr>
          <w:rFonts w:cs="Calibri"/>
          <w:sz w:val="24"/>
          <w:szCs w:val="24"/>
        </w:rPr>
        <w:t xml:space="preserve"> </w:t>
      </w:r>
      <w:r w:rsidR="000B3B5F">
        <w:rPr>
          <w:rFonts w:cs="Calibri"/>
          <w:sz w:val="24"/>
          <w:szCs w:val="24"/>
        </w:rPr>
        <w:t>and internationally through a broad rang</w:t>
      </w:r>
      <w:r w:rsidR="0052619C">
        <w:rPr>
          <w:rFonts w:cs="Calibri"/>
          <w:sz w:val="24"/>
          <w:szCs w:val="24"/>
        </w:rPr>
        <w:t>e of UN human rights mechanisms</w:t>
      </w:r>
      <w:r w:rsidR="00D87205">
        <w:rPr>
          <w:rFonts w:cs="Calibri"/>
          <w:sz w:val="24"/>
          <w:szCs w:val="24"/>
        </w:rPr>
        <w:t xml:space="preserve">. </w:t>
      </w:r>
    </w:p>
    <w:p w14:paraId="6FC2EDB8" w14:textId="0E4EA48B" w:rsidR="00BD520E" w:rsidRPr="005629B0" w:rsidRDefault="00BD520E" w:rsidP="00BD520E">
      <w:pPr>
        <w:pStyle w:val="Heading1"/>
        <w:ind w:hanging="720"/>
      </w:pPr>
      <w:r>
        <w:t xml:space="preserve">  </w:t>
      </w:r>
      <w:bookmarkStart w:id="4" w:name="_Toc532458960"/>
      <w:r>
        <w:t>‘Nothing about us without us’</w:t>
      </w:r>
      <w:bookmarkEnd w:id="4"/>
    </w:p>
    <w:p w14:paraId="24269352" w14:textId="77777777" w:rsidR="00BD520E" w:rsidRPr="005629B0" w:rsidRDefault="00BD520E" w:rsidP="00BD520E">
      <w:pPr>
        <w:pBdr>
          <w:bottom w:val="single" w:sz="12" w:space="1" w:color="auto"/>
        </w:pBdr>
        <w:jc w:val="right"/>
        <w:rPr>
          <w:sz w:val="16"/>
          <w:szCs w:val="16"/>
        </w:rPr>
      </w:pPr>
    </w:p>
    <w:p w14:paraId="0FF81BFD" w14:textId="1F16ABAB" w:rsidR="00040921" w:rsidRPr="00AB479B" w:rsidRDefault="00040921" w:rsidP="00AB479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AB479B">
        <w:rPr>
          <w:rFonts w:cs="Calibri"/>
          <w:i/>
          <w:color w:val="538135" w:themeColor="accent6" w:themeShade="BF"/>
          <w:sz w:val="24"/>
          <w:szCs w:val="24"/>
          <w:lang w:val="en-US"/>
        </w:rPr>
        <w:t xml:space="preserve">‘Talk with people with disabilities and gauge what </w:t>
      </w:r>
      <w:r w:rsidR="00AB479B">
        <w:rPr>
          <w:rFonts w:cs="Calibri"/>
          <w:i/>
          <w:color w:val="538135" w:themeColor="accent6" w:themeShade="BF"/>
          <w:sz w:val="24"/>
          <w:szCs w:val="24"/>
          <w:lang w:val="en-US"/>
        </w:rPr>
        <w:t>own</w:t>
      </w:r>
      <w:r w:rsidRPr="00AB479B">
        <w:rPr>
          <w:rFonts w:cs="Calibri"/>
          <w:i/>
          <w:color w:val="538135" w:themeColor="accent6" w:themeShade="BF"/>
          <w:sz w:val="24"/>
          <w:szCs w:val="24"/>
          <w:lang w:val="en-US"/>
        </w:rPr>
        <w:t xml:space="preserve"> needs are- that is the first step in the whole process’ </w:t>
      </w:r>
      <w:r w:rsidR="00AB479B" w:rsidRPr="00AB479B">
        <w:rPr>
          <w:rFonts w:cs="Calibri"/>
          <w:i/>
          <w:color w:val="538135" w:themeColor="accent6" w:themeShade="BF"/>
          <w:sz w:val="20"/>
          <w:szCs w:val="20"/>
          <w:lang w:val="en-US"/>
        </w:rPr>
        <w:t>(DPOA member)</w:t>
      </w:r>
    </w:p>
    <w:p w14:paraId="32BB52B0" w14:textId="6A967630" w:rsidR="005D15C4" w:rsidRDefault="00BD520E" w:rsidP="00BD520E">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4.1 </w:t>
      </w:r>
      <w:r>
        <w:rPr>
          <w:rFonts w:cs="Calibri"/>
          <w:sz w:val="24"/>
          <w:szCs w:val="24"/>
          <w:lang w:val="en-US"/>
        </w:rPr>
        <w:tab/>
        <w:t xml:space="preserve"> People with disability and their representative organisations are to</w:t>
      </w:r>
      <w:r w:rsidR="00835C3C">
        <w:rPr>
          <w:rFonts w:cs="Calibri"/>
          <w:sz w:val="24"/>
          <w:szCs w:val="24"/>
          <w:lang w:val="en-US"/>
        </w:rPr>
        <w:t xml:space="preserve"> be centrally </w:t>
      </w:r>
      <w:r>
        <w:rPr>
          <w:rFonts w:cs="Calibri"/>
          <w:sz w:val="24"/>
          <w:szCs w:val="24"/>
          <w:lang w:val="en-US"/>
        </w:rPr>
        <w:t>involved in all</w:t>
      </w:r>
      <w:r w:rsidR="005D15C4">
        <w:rPr>
          <w:rFonts w:cs="Calibri"/>
          <w:sz w:val="24"/>
          <w:szCs w:val="24"/>
          <w:lang w:val="en-US"/>
        </w:rPr>
        <w:t xml:space="preserve"> aspects of public transport and infrastructure policy that directly affects them.  This includes all activities relating to </w:t>
      </w:r>
      <w:r>
        <w:rPr>
          <w:rFonts w:cs="Calibri"/>
          <w:sz w:val="24"/>
          <w:szCs w:val="24"/>
          <w:lang w:val="en-US"/>
        </w:rPr>
        <w:t xml:space="preserve">scoping, </w:t>
      </w:r>
      <w:r w:rsidR="005D15C4">
        <w:rPr>
          <w:rFonts w:cs="Calibri"/>
          <w:sz w:val="24"/>
          <w:szCs w:val="24"/>
          <w:lang w:val="en-US"/>
        </w:rPr>
        <w:t xml:space="preserve">planning, </w:t>
      </w:r>
      <w:r>
        <w:rPr>
          <w:rFonts w:cs="Calibri"/>
          <w:sz w:val="24"/>
          <w:szCs w:val="24"/>
          <w:lang w:val="en-US"/>
        </w:rPr>
        <w:t>policy development</w:t>
      </w:r>
      <w:r w:rsidR="005D15C4">
        <w:rPr>
          <w:rFonts w:cs="Calibri"/>
          <w:sz w:val="24"/>
          <w:szCs w:val="24"/>
          <w:lang w:val="en-US"/>
        </w:rPr>
        <w:t xml:space="preserve">, </w:t>
      </w:r>
      <w:r>
        <w:rPr>
          <w:rFonts w:cs="Calibri"/>
          <w:sz w:val="24"/>
          <w:szCs w:val="24"/>
          <w:lang w:val="en-US"/>
        </w:rPr>
        <w:t>implementation, and evaluation</w:t>
      </w:r>
      <w:r w:rsidR="005D15C4">
        <w:rPr>
          <w:rFonts w:cs="Calibri"/>
          <w:sz w:val="24"/>
          <w:szCs w:val="24"/>
          <w:lang w:val="en-US"/>
        </w:rPr>
        <w:t xml:space="preserve">.  </w:t>
      </w:r>
    </w:p>
    <w:p w14:paraId="2940EE73" w14:textId="3CB78DE5" w:rsidR="00F42313" w:rsidRDefault="00F42313" w:rsidP="001170B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jc w:val="center"/>
        <w:rPr>
          <w:rFonts w:cs="Calibri"/>
          <w:sz w:val="24"/>
          <w:szCs w:val="24"/>
          <w:lang w:val="en-US"/>
        </w:rPr>
      </w:pPr>
      <w:r w:rsidRPr="00AB479B">
        <w:rPr>
          <w:rFonts w:cs="Calibri"/>
          <w:bCs/>
          <w:i/>
          <w:color w:val="538135" w:themeColor="accent6" w:themeShade="BF"/>
          <w:sz w:val="24"/>
          <w:szCs w:val="24"/>
        </w:rPr>
        <w:lastRenderedPageBreak/>
        <w:t xml:space="preserve">‘My housing choices are limited because my transport options are limited’ (DPOA </w:t>
      </w:r>
      <w:r>
        <w:rPr>
          <w:rFonts w:cs="Calibri"/>
          <w:bCs/>
          <w:i/>
          <w:color w:val="538135" w:themeColor="accent6" w:themeShade="BF"/>
          <w:sz w:val="24"/>
          <w:szCs w:val="24"/>
        </w:rPr>
        <w:t>m</w:t>
      </w:r>
      <w:r w:rsidRPr="00AB479B">
        <w:rPr>
          <w:rFonts w:cs="Calibri"/>
          <w:bCs/>
          <w:i/>
          <w:color w:val="538135" w:themeColor="accent6" w:themeShade="BF"/>
          <w:sz w:val="24"/>
          <w:szCs w:val="24"/>
        </w:rPr>
        <w:t>ember)</w:t>
      </w:r>
    </w:p>
    <w:p w14:paraId="3C437A1B" w14:textId="5D609F3B" w:rsidR="00E54E2B" w:rsidRDefault="005D15C4" w:rsidP="00BD520E">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4.2. </w:t>
      </w:r>
      <w:r>
        <w:rPr>
          <w:rFonts w:cs="Calibri"/>
          <w:sz w:val="24"/>
          <w:szCs w:val="24"/>
          <w:lang w:val="en-US"/>
        </w:rPr>
        <w:tab/>
      </w:r>
      <w:r w:rsidR="0049435A">
        <w:rPr>
          <w:rFonts w:cs="Calibri"/>
          <w:sz w:val="24"/>
          <w:szCs w:val="24"/>
          <w:lang w:val="en-US"/>
        </w:rPr>
        <w:t>When transport providers,</w:t>
      </w:r>
      <w:r w:rsidR="00D72CBC">
        <w:rPr>
          <w:rFonts w:cs="Calibri"/>
          <w:sz w:val="24"/>
          <w:szCs w:val="24"/>
          <w:lang w:val="en-US"/>
        </w:rPr>
        <w:t xml:space="preserve"> asset owners,</w:t>
      </w:r>
      <w:r w:rsidR="0049435A">
        <w:rPr>
          <w:rFonts w:cs="Calibri"/>
          <w:sz w:val="24"/>
          <w:szCs w:val="24"/>
          <w:lang w:val="en-US"/>
        </w:rPr>
        <w:t xml:space="preserve"> policy makers, and industry</w:t>
      </w:r>
      <w:r w:rsidR="007A0882">
        <w:rPr>
          <w:rFonts w:cs="Calibri"/>
          <w:sz w:val="24"/>
          <w:szCs w:val="24"/>
          <w:lang w:val="en-US"/>
        </w:rPr>
        <w:t xml:space="preserve"> do not have </w:t>
      </w:r>
      <w:r w:rsidR="0049435A">
        <w:rPr>
          <w:rFonts w:cs="Calibri"/>
          <w:sz w:val="24"/>
          <w:szCs w:val="24"/>
          <w:lang w:val="en-US"/>
        </w:rPr>
        <w:t xml:space="preserve">strong, </w:t>
      </w:r>
      <w:r w:rsidR="00A90DE7">
        <w:rPr>
          <w:rFonts w:cs="Calibri"/>
          <w:sz w:val="24"/>
          <w:szCs w:val="24"/>
          <w:lang w:val="en-US"/>
        </w:rPr>
        <w:t>effective mechanism</w:t>
      </w:r>
      <w:r w:rsidR="0049435A">
        <w:rPr>
          <w:rFonts w:cs="Calibri"/>
          <w:sz w:val="24"/>
          <w:szCs w:val="24"/>
          <w:lang w:val="en-US"/>
        </w:rPr>
        <w:t>s</w:t>
      </w:r>
      <w:r w:rsidR="00A90DE7">
        <w:rPr>
          <w:rFonts w:cs="Calibri"/>
          <w:sz w:val="24"/>
          <w:szCs w:val="24"/>
          <w:lang w:val="en-US"/>
        </w:rPr>
        <w:t xml:space="preserve"> </w:t>
      </w:r>
      <w:r w:rsidR="0049435A">
        <w:rPr>
          <w:rFonts w:cs="Calibri"/>
          <w:sz w:val="24"/>
          <w:szCs w:val="24"/>
          <w:lang w:val="en-US"/>
        </w:rPr>
        <w:t xml:space="preserve">for meaningful consultation with people with disability, </w:t>
      </w:r>
      <w:r w:rsidR="00A90DE7">
        <w:rPr>
          <w:rFonts w:cs="Calibri"/>
          <w:sz w:val="24"/>
          <w:szCs w:val="24"/>
          <w:lang w:val="en-US"/>
        </w:rPr>
        <w:t>public transport inaccessibility is</w:t>
      </w:r>
      <w:r w:rsidR="0049435A">
        <w:rPr>
          <w:rFonts w:cs="Calibri"/>
          <w:sz w:val="24"/>
          <w:szCs w:val="24"/>
          <w:lang w:val="en-US"/>
        </w:rPr>
        <w:t xml:space="preserve"> unavoidable and</w:t>
      </w:r>
      <w:r w:rsidR="00A90DE7">
        <w:rPr>
          <w:rFonts w:cs="Calibri"/>
          <w:sz w:val="24"/>
          <w:szCs w:val="24"/>
          <w:lang w:val="en-US"/>
        </w:rPr>
        <w:t xml:space="preserve"> </w:t>
      </w:r>
      <w:r w:rsidR="00835C3C">
        <w:rPr>
          <w:rFonts w:cs="Calibri"/>
          <w:sz w:val="24"/>
          <w:szCs w:val="24"/>
          <w:lang w:val="en-US"/>
        </w:rPr>
        <w:t>subsequently</w:t>
      </w:r>
      <w:r w:rsidR="00FB075C">
        <w:rPr>
          <w:rFonts w:cs="Calibri"/>
          <w:sz w:val="24"/>
          <w:szCs w:val="24"/>
          <w:lang w:val="en-US"/>
        </w:rPr>
        <w:t xml:space="preserve"> </w:t>
      </w:r>
      <w:r w:rsidR="0049435A">
        <w:rPr>
          <w:rFonts w:cs="Calibri"/>
          <w:sz w:val="24"/>
          <w:szCs w:val="24"/>
          <w:lang w:val="en-US"/>
        </w:rPr>
        <w:t>inevitable.</w:t>
      </w:r>
      <w:r w:rsidR="00FB075C">
        <w:rPr>
          <w:rFonts w:cs="Calibri"/>
          <w:sz w:val="24"/>
          <w:szCs w:val="24"/>
          <w:lang w:val="en-US"/>
        </w:rPr>
        <w:t xml:space="preserve">  </w:t>
      </w:r>
    </w:p>
    <w:p w14:paraId="22C5E5A8" w14:textId="2845EAC4" w:rsidR="00BD520E" w:rsidRDefault="00E54E2B" w:rsidP="009E5B2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rPr>
      </w:pPr>
      <w:r>
        <w:rPr>
          <w:rFonts w:cs="Calibri"/>
          <w:sz w:val="24"/>
          <w:szCs w:val="24"/>
          <w:lang w:val="en-US"/>
        </w:rPr>
        <w:t xml:space="preserve">4.3 </w:t>
      </w:r>
      <w:r>
        <w:rPr>
          <w:rFonts w:cs="Calibri"/>
          <w:sz w:val="24"/>
          <w:szCs w:val="24"/>
          <w:lang w:val="en-US"/>
        </w:rPr>
        <w:tab/>
        <w:t>Thorough, considered</w:t>
      </w:r>
      <w:r w:rsidR="00AF1624">
        <w:rPr>
          <w:rFonts w:cs="Calibri"/>
          <w:sz w:val="24"/>
          <w:szCs w:val="24"/>
          <w:lang w:val="en-US"/>
        </w:rPr>
        <w:t>,</w:t>
      </w:r>
      <w:r>
        <w:rPr>
          <w:rFonts w:cs="Calibri"/>
          <w:sz w:val="24"/>
          <w:szCs w:val="24"/>
          <w:lang w:val="en-US"/>
        </w:rPr>
        <w:t xml:space="preserve"> and meaningful engagement with disability </w:t>
      </w:r>
      <w:r w:rsidR="00AF1624">
        <w:rPr>
          <w:rFonts w:cs="Calibri"/>
          <w:sz w:val="24"/>
          <w:szCs w:val="24"/>
          <w:lang w:val="en-US"/>
        </w:rPr>
        <w:t>in relation to all aspects of public transport services and infrastructure</w:t>
      </w:r>
      <w:r w:rsidR="009E5B2B">
        <w:rPr>
          <w:rFonts w:cs="Calibri"/>
          <w:sz w:val="24"/>
          <w:szCs w:val="24"/>
          <w:lang w:val="en-US"/>
        </w:rPr>
        <w:t xml:space="preserve"> not only directly facilities improved public transport </w:t>
      </w:r>
      <w:proofErr w:type="gramStart"/>
      <w:r w:rsidR="00347C92">
        <w:rPr>
          <w:rFonts w:cs="Calibri"/>
          <w:sz w:val="24"/>
          <w:szCs w:val="24"/>
          <w:lang w:val="en-US"/>
        </w:rPr>
        <w:t>accessibility</w:t>
      </w:r>
      <w:r w:rsidR="004D1821">
        <w:rPr>
          <w:rFonts w:cs="Calibri"/>
          <w:sz w:val="24"/>
          <w:szCs w:val="24"/>
          <w:lang w:val="en-US"/>
        </w:rPr>
        <w:t>,</w:t>
      </w:r>
      <w:r w:rsidR="00347C92">
        <w:rPr>
          <w:rFonts w:cs="Calibri"/>
          <w:sz w:val="24"/>
          <w:szCs w:val="24"/>
          <w:lang w:val="en-US"/>
        </w:rPr>
        <w:t xml:space="preserve"> but</w:t>
      </w:r>
      <w:proofErr w:type="gramEnd"/>
      <w:r w:rsidR="009E5B2B">
        <w:rPr>
          <w:rFonts w:cs="Calibri"/>
          <w:sz w:val="24"/>
          <w:szCs w:val="24"/>
          <w:lang w:val="en-US"/>
        </w:rPr>
        <w:t xml:space="preserve"> </w:t>
      </w:r>
      <w:r w:rsidR="00835C3C">
        <w:rPr>
          <w:rFonts w:cs="Calibri"/>
          <w:sz w:val="24"/>
          <w:szCs w:val="24"/>
          <w:lang w:val="en-US"/>
        </w:rPr>
        <w:t xml:space="preserve">is also </w:t>
      </w:r>
      <w:r w:rsidR="009E5B2B">
        <w:rPr>
          <w:rFonts w:cs="Calibri"/>
          <w:sz w:val="24"/>
          <w:szCs w:val="24"/>
          <w:lang w:val="en-US"/>
        </w:rPr>
        <w:t>cost-effective.  Building accessibility into conveyances, infrastructure</w:t>
      </w:r>
      <w:r w:rsidR="00835C3C">
        <w:rPr>
          <w:rFonts w:cs="Calibri"/>
          <w:sz w:val="24"/>
          <w:szCs w:val="24"/>
          <w:lang w:val="en-US"/>
        </w:rPr>
        <w:t>,</w:t>
      </w:r>
      <w:r w:rsidR="009E5B2B">
        <w:rPr>
          <w:rFonts w:cs="Calibri"/>
          <w:sz w:val="24"/>
          <w:szCs w:val="24"/>
          <w:lang w:val="en-US"/>
        </w:rPr>
        <w:t xml:space="preserve"> and </w:t>
      </w:r>
      <w:r w:rsidR="004D1821">
        <w:rPr>
          <w:rFonts w:cs="Calibri"/>
          <w:sz w:val="24"/>
          <w:szCs w:val="24"/>
          <w:lang w:val="en-US"/>
        </w:rPr>
        <w:t xml:space="preserve">transport </w:t>
      </w:r>
      <w:r w:rsidR="009E5B2B">
        <w:rPr>
          <w:rFonts w:cs="Calibri"/>
          <w:sz w:val="24"/>
          <w:szCs w:val="24"/>
          <w:lang w:val="en-US"/>
        </w:rPr>
        <w:t xml:space="preserve">systems is significantly cheaper </w:t>
      </w:r>
      <w:r w:rsidR="007A0882">
        <w:rPr>
          <w:rFonts w:cs="Calibri"/>
          <w:sz w:val="24"/>
          <w:szCs w:val="24"/>
          <w:lang w:val="en-US"/>
        </w:rPr>
        <w:t>than</w:t>
      </w:r>
      <w:r w:rsidR="004D1821">
        <w:rPr>
          <w:rFonts w:cs="Calibri"/>
          <w:sz w:val="24"/>
          <w:szCs w:val="24"/>
          <w:lang w:val="en-US"/>
        </w:rPr>
        <w:t xml:space="preserve"> undertaking</w:t>
      </w:r>
      <w:r w:rsidR="007A0882">
        <w:rPr>
          <w:rFonts w:cs="Calibri"/>
          <w:sz w:val="24"/>
          <w:szCs w:val="24"/>
          <w:lang w:val="en-US"/>
        </w:rPr>
        <w:t xml:space="preserve"> retrospective works of</w:t>
      </w:r>
      <w:r w:rsidR="004D1821">
        <w:rPr>
          <w:rFonts w:cs="Calibri"/>
          <w:sz w:val="24"/>
          <w:szCs w:val="24"/>
          <w:lang w:val="en-US"/>
        </w:rPr>
        <w:t xml:space="preserve"> retrofitting or re-design</w:t>
      </w:r>
      <w:r w:rsidR="009E5B2B">
        <w:rPr>
          <w:rFonts w:cs="Calibri"/>
          <w:sz w:val="24"/>
          <w:szCs w:val="24"/>
          <w:lang w:val="en-US"/>
        </w:rPr>
        <w:t>.</w:t>
      </w:r>
      <w:r w:rsidR="009E5B2B">
        <w:rPr>
          <w:rStyle w:val="FootnoteReference"/>
          <w:rFonts w:cs="Calibri"/>
          <w:sz w:val="24"/>
          <w:szCs w:val="24"/>
          <w:lang w:val="en-US"/>
        </w:rPr>
        <w:footnoteReference w:id="2"/>
      </w:r>
      <w:r w:rsidR="00AF1624">
        <w:rPr>
          <w:rFonts w:cs="Calibri"/>
          <w:sz w:val="24"/>
          <w:szCs w:val="24"/>
          <w:lang w:val="en-US"/>
        </w:rPr>
        <w:t xml:space="preserve">   </w:t>
      </w:r>
      <w:r w:rsidR="00FB075C">
        <w:rPr>
          <w:rFonts w:cs="Calibri"/>
          <w:sz w:val="24"/>
          <w:szCs w:val="24"/>
          <w:lang w:val="en-US"/>
        </w:rPr>
        <w:t xml:space="preserve">  </w:t>
      </w:r>
      <w:r w:rsidR="0049435A">
        <w:rPr>
          <w:rFonts w:cs="Calibri"/>
          <w:sz w:val="24"/>
          <w:szCs w:val="24"/>
          <w:lang w:val="en-US"/>
        </w:rPr>
        <w:t xml:space="preserve"> </w:t>
      </w:r>
    </w:p>
    <w:p w14:paraId="7B1DBEE4" w14:textId="664F3D2E" w:rsidR="00DF69A2" w:rsidRDefault="00E531F3" w:rsidP="00DF69A2">
      <w:pPr>
        <w:pStyle w:val="Heading1"/>
        <w:ind w:hanging="720"/>
      </w:pPr>
      <w:bookmarkStart w:id="5" w:name="_Toc532458961"/>
      <w:r>
        <w:t>Realising the Standards is critical</w:t>
      </w:r>
      <w:bookmarkEnd w:id="5"/>
      <w:r>
        <w:t xml:space="preserve"> </w:t>
      </w:r>
    </w:p>
    <w:p w14:paraId="39E87E6E" w14:textId="77777777" w:rsidR="00B3001E" w:rsidRPr="005629B0" w:rsidRDefault="00B3001E" w:rsidP="00B3001E">
      <w:pPr>
        <w:pBdr>
          <w:bottom w:val="single" w:sz="12" w:space="1" w:color="auto"/>
        </w:pBdr>
        <w:rPr>
          <w:sz w:val="16"/>
          <w:szCs w:val="16"/>
        </w:rPr>
      </w:pPr>
    </w:p>
    <w:p w14:paraId="631AF000" w14:textId="2F92C900" w:rsidR="00D41890" w:rsidRDefault="007978D7" w:rsidP="00DF69A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5</w:t>
      </w:r>
      <w:r w:rsidR="00DF69A2">
        <w:rPr>
          <w:rFonts w:cs="Calibri"/>
          <w:sz w:val="24"/>
          <w:szCs w:val="24"/>
        </w:rPr>
        <w:t>.1</w:t>
      </w:r>
      <w:r w:rsidR="00DF69A2">
        <w:rPr>
          <w:rFonts w:cs="Calibri"/>
          <w:sz w:val="24"/>
          <w:szCs w:val="24"/>
        </w:rPr>
        <w:tab/>
      </w:r>
      <w:r w:rsidR="00B132EA">
        <w:rPr>
          <w:rFonts w:cs="Calibri"/>
          <w:sz w:val="24"/>
          <w:szCs w:val="24"/>
        </w:rPr>
        <w:t xml:space="preserve">A universal accessible public transport system is inclusive and helps to support the full social and economic participation of people with disability.  Furthermore, </w:t>
      </w:r>
      <w:r w:rsidR="00D41890">
        <w:rPr>
          <w:rFonts w:cs="Calibri"/>
          <w:sz w:val="24"/>
          <w:szCs w:val="24"/>
        </w:rPr>
        <w:t>an accessible public transport system provides access to most people at different stages across their life span: e.g. people with diverse mobility levels, such as children and older people, people carrying infants or shopping, people with a temporary impairment</w:t>
      </w:r>
      <w:r w:rsidR="00F42313">
        <w:rPr>
          <w:rFonts w:cs="Calibri"/>
          <w:sz w:val="24"/>
          <w:szCs w:val="24"/>
        </w:rPr>
        <w:t>,</w:t>
      </w:r>
      <w:r w:rsidR="00D41890">
        <w:rPr>
          <w:rFonts w:cs="Calibri"/>
          <w:sz w:val="24"/>
          <w:szCs w:val="24"/>
        </w:rPr>
        <w:t xml:space="preserve"> and pregnant women, </w:t>
      </w:r>
      <w:r w:rsidR="00F42313">
        <w:rPr>
          <w:rFonts w:cs="Calibri"/>
          <w:sz w:val="24"/>
          <w:szCs w:val="24"/>
        </w:rPr>
        <w:t xml:space="preserve">among </w:t>
      </w:r>
      <w:r w:rsidR="00D41890">
        <w:rPr>
          <w:rFonts w:cs="Calibri"/>
          <w:sz w:val="24"/>
          <w:szCs w:val="24"/>
        </w:rPr>
        <w:t xml:space="preserve">others.  </w:t>
      </w:r>
    </w:p>
    <w:p w14:paraId="6594DC3B" w14:textId="580A400D" w:rsidR="009A43CF" w:rsidRDefault="007978D7" w:rsidP="0005738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5</w:t>
      </w:r>
      <w:r w:rsidR="00DF69A2">
        <w:rPr>
          <w:rFonts w:cs="Calibri"/>
          <w:sz w:val="24"/>
          <w:szCs w:val="24"/>
        </w:rPr>
        <w:t>.2</w:t>
      </w:r>
      <w:r w:rsidR="00DF69A2">
        <w:rPr>
          <w:rFonts w:cs="Calibri"/>
          <w:sz w:val="24"/>
          <w:szCs w:val="24"/>
        </w:rPr>
        <w:tab/>
      </w:r>
      <w:r w:rsidR="00D41890">
        <w:rPr>
          <w:rFonts w:cs="Calibri"/>
          <w:sz w:val="24"/>
          <w:szCs w:val="24"/>
        </w:rPr>
        <w:t xml:space="preserve">Realising the Standards will also </w:t>
      </w:r>
      <w:r w:rsidR="002527A1">
        <w:rPr>
          <w:rFonts w:cs="Calibri"/>
          <w:sz w:val="24"/>
          <w:szCs w:val="24"/>
        </w:rPr>
        <w:t xml:space="preserve">directly </w:t>
      </w:r>
      <w:r w:rsidR="00C443B8">
        <w:rPr>
          <w:rFonts w:cs="Calibri"/>
          <w:sz w:val="24"/>
          <w:szCs w:val="24"/>
        </w:rPr>
        <w:t>improve</w:t>
      </w:r>
      <w:r w:rsidR="002527A1">
        <w:rPr>
          <w:rFonts w:cs="Calibri"/>
          <w:sz w:val="24"/>
          <w:szCs w:val="24"/>
        </w:rPr>
        <w:t xml:space="preserve"> </w:t>
      </w:r>
      <w:r w:rsidR="00D41890">
        <w:rPr>
          <w:rFonts w:cs="Calibri"/>
          <w:sz w:val="24"/>
          <w:szCs w:val="24"/>
        </w:rPr>
        <w:t>the social and economic participation of people with disability</w:t>
      </w:r>
      <w:r w:rsidR="002527A1">
        <w:rPr>
          <w:rFonts w:cs="Calibri"/>
          <w:sz w:val="24"/>
          <w:szCs w:val="24"/>
        </w:rPr>
        <w:t xml:space="preserve">.  </w:t>
      </w:r>
      <w:r w:rsidR="00C443B8">
        <w:rPr>
          <w:rFonts w:cs="Calibri"/>
          <w:sz w:val="24"/>
          <w:szCs w:val="24"/>
        </w:rPr>
        <w:t xml:space="preserve">Accessible public transport will </w:t>
      </w:r>
      <w:r w:rsidR="002527A1">
        <w:rPr>
          <w:rFonts w:cs="Calibri"/>
          <w:sz w:val="24"/>
          <w:szCs w:val="24"/>
        </w:rPr>
        <w:t>leverage</w:t>
      </w:r>
      <w:r w:rsidR="00C443B8">
        <w:rPr>
          <w:rFonts w:cs="Calibri"/>
          <w:sz w:val="24"/>
          <w:szCs w:val="24"/>
        </w:rPr>
        <w:t xml:space="preserve"> productivity and</w:t>
      </w:r>
      <w:r w:rsidR="002527A1">
        <w:rPr>
          <w:rFonts w:cs="Calibri"/>
          <w:sz w:val="24"/>
          <w:szCs w:val="24"/>
        </w:rPr>
        <w:t xml:space="preserve"> </w:t>
      </w:r>
      <w:r w:rsidR="00D41890">
        <w:rPr>
          <w:rFonts w:cs="Calibri"/>
          <w:sz w:val="24"/>
          <w:szCs w:val="24"/>
        </w:rPr>
        <w:t xml:space="preserve">wealth creation for </w:t>
      </w:r>
      <w:r w:rsidR="00C443B8">
        <w:rPr>
          <w:rFonts w:cs="Calibri"/>
          <w:sz w:val="24"/>
          <w:szCs w:val="24"/>
        </w:rPr>
        <w:t xml:space="preserve">both individuals and the economy as more people will access and participate in social and economic opportunities.  </w:t>
      </w:r>
    </w:p>
    <w:p w14:paraId="4B936B78" w14:textId="52961847" w:rsidR="00835C3C" w:rsidRDefault="007978D7" w:rsidP="00835C3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lang w:val="en-US"/>
        </w:rPr>
      </w:pPr>
      <w:r>
        <w:rPr>
          <w:rFonts w:cs="Calibri"/>
          <w:sz w:val="24"/>
          <w:szCs w:val="24"/>
        </w:rPr>
        <w:t>5</w:t>
      </w:r>
      <w:r w:rsidR="00835C3C">
        <w:rPr>
          <w:rFonts w:cs="Calibri"/>
          <w:sz w:val="24"/>
          <w:szCs w:val="24"/>
        </w:rPr>
        <w:t xml:space="preserve">.3     </w:t>
      </w:r>
      <w:r w:rsidR="00F42313">
        <w:rPr>
          <w:rFonts w:cs="Calibri"/>
          <w:sz w:val="24"/>
          <w:szCs w:val="24"/>
        </w:rPr>
        <w:t xml:space="preserve">Promoting </w:t>
      </w:r>
      <w:r w:rsidR="00835C3C">
        <w:rPr>
          <w:rFonts w:cs="Calibri"/>
          <w:sz w:val="24"/>
          <w:szCs w:val="24"/>
          <w:lang w:val="en-US"/>
        </w:rPr>
        <w:t>Universal design principles</w:t>
      </w:r>
      <w:r w:rsidR="00F42313">
        <w:rPr>
          <w:rFonts w:cs="Calibri"/>
          <w:sz w:val="24"/>
          <w:szCs w:val="24"/>
          <w:lang w:val="en-US"/>
        </w:rPr>
        <w:t xml:space="preserve"> also facilities</w:t>
      </w:r>
      <w:r w:rsidR="00835C3C">
        <w:rPr>
          <w:rFonts w:cs="Calibri"/>
          <w:sz w:val="24"/>
          <w:szCs w:val="24"/>
          <w:lang w:val="en-US"/>
        </w:rPr>
        <w:t xml:space="preserve"> accessib</w:t>
      </w:r>
      <w:r w:rsidR="00F42313">
        <w:rPr>
          <w:rFonts w:cs="Calibri"/>
          <w:sz w:val="24"/>
          <w:szCs w:val="24"/>
          <w:lang w:val="en-US"/>
        </w:rPr>
        <w:t>ility</w:t>
      </w:r>
      <w:r w:rsidR="00835C3C">
        <w:rPr>
          <w:rFonts w:cs="Calibri"/>
          <w:sz w:val="24"/>
          <w:szCs w:val="24"/>
          <w:lang w:val="en-US"/>
        </w:rPr>
        <w:t xml:space="preserve">.  As outlined in the National Disability Strategy ‘Taking a universal design approach to programs, services and facilities is an effective way to remove barriers that exclude people with disability.  Universal design allows everyone, to the greatest extent possible, and regardless of age or disability, to use buildings, transport, products and services without the need for specialized or adapted features.’    </w:t>
      </w:r>
    </w:p>
    <w:p w14:paraId="01F9D4EE" w14:textId="686A5220" w:rsidR="00F42313" w:rsidRPr="00715ED2" w:rsidRDefault="00F42313" w:rsidP="00F42313">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715ED2">
        <w:rPr>
          <w:rFonts w:cs="Calibri"/>
          <w:i/>
          <w:color w:val="538135" w:themeColor="accent6" w:themeShade="BF"/>
          <w:sz w:val="24"/>
          <w:szCs w:val="24"/>
          <w:lang w:val="en-US"/>
        </w:rPr>
        <w:t xml:space="preserve">‘Multiple bus stops at one stop is terrible.  I cannot tell which bus </w:t>
      </w:r>
      <w:proofErr w:type="gramStart"/>
      <w:r w:rsidRPr="00715ED2">
        <w:rPr>
          <w:rFonts w:cs="Calibri"/>
          <w:i/>
          <w:color w:val="538135" w:themeColor="accent6" w:themeShade="BF"/>
          <w:sz w:val="24"/>
          <w:szCs w:val="24"/>
          <w:lang w:val="en-US"/>
        </w:rPr>
        <w:t>is which</w:t>
      </w:r>
      <w:proofErr w:type="gramEnd"/>
      <w:r>
        <w:rPr>
          <w:rFonts w:cs="Calibri"/>
          <w:i/>
          <w:color w:val="538135" w:themeColor="accent6" w:themeShade="BF"/>
          <w:sz w:val="24"/>
          <w:szCs w:val="24"/>
          <w:lang w:val="en-US"/>
        </w:rPr>
        <w:t>,</w:t>
      </w:r>
      <w:r w:rsidRPr="00715ED2">
        <w:rPr>
          <w:rFonts w:cs="Calibri"/>
          <w:i/>
          <w:color w:val="538135" w:themeColor="accent6" w:themeShade="BF"/>
          <w:sz w:val="24"/>
          <w:szCs w:val="24"/>
          <w:lang w:val="en-US"/>
        </w:rPr>
        <w:t xml:space="preserve"> and surprisingly neither can my guide dog</w:t>
      </w:r>
      <w:r>
        <w:rPr>
          <w:rFonts w:cs="Calibri"/>
          <w:i/>
          <w:color w:val="538135" w:themeColor="accent6" w:themeShade="BF"/>
          <w:sz w:val="24"/>
          <w:szCs w:val="24"/>
          <w:lang w:val="en-US"/>
        </w:rPr>
        <w:t>!</w:t>
      </w:r>
      <w:r w:rsidRPr="00715ED2">
        <w:rPr>
          <w:rFonts w:cs="Calibri"/>
          <w:i/>
          <w:color w:val="538135" w:themeColor="accent6" w:themeShade="BF"/>
          <w:sz w:val="24"/>
          <w:szCs w:val="24"/>
          <w:lang w:val="en-US"/>
        </w:rPr>
        <w:t xml:space="preserve"> Drivers are often too disinterested to help me find the correct bus and the bus I need often jumps the queue after non-disabled people have boarded, which just leaves me standing the</w:t>
      </w:r>
      <w:r>
        <w:rPr>
          <w:rFonts w:cs="Calibri"/>
          <w:i/>
          <w:color w:val="538135" w:themeColor="accent6" w:themeShade="BF"/>
          <w:sz w:val="24"/>
          <w:szCs w:val="24"/>
          <w:lang w:val="en-US"/>
        </w:rPr>
        <w:t>re</w:t>
      </w:r>
      <w:r w:rsidRPr="00715ED2">
        <w:rPr>
          <w:rFonts w:cs="Calibri"/>
          <w:i/>
          <w:color w:val="538135" w:themeColor="accent6" w:themeShade="BF"/>
          <w:sz w:val="24"/>
          <w:szCs w:val="24"/>
          <w:lang w:val="en-US"/>
        </w:rPr>
        <w:t xml:space="preserve"> with no bus!</w:t>
      </w:r>
      <w:proofErr w:type="gramStart"/>
      <w:r w:rsidRPr="00715ED2">
        <w:rPr>
          <w:rFonts w:cs="Calibri"/>
          <w:i/>
          <w:color w:val="538135" w:themeColor="accent6" w:themeShade="BF"/>
          <w:sz w:val="24"/>
          <w:szCs w:val="24"/>
          <w:lang w:val="en-US"/>
        </w:rPr>
        <w:t>’</w:t>
      </w:r>
      <w:r>
        <w:rPr>
          <w:rFonts w:cs="Calibri"/>
          <w:i/>
          <w:color w:val="538135" w:themeColor="accent6" w:themeShade="BF"/>
          <w:sz w:val="24"/>
          <w:szCs w:val="24"/>
          <w:lang w:val="en-US"/>
        </w:rPr>
        <w:t>(</w:t>
      </w:r>
      <w:proofErr w:type="gramEnd"/>
      <w:r>
        <w:rPr>
          <w:rFonts w:cs="Calibri"/>
          <w:i/>
          <w:color w:val="538135" w:themeColor="accent6" w:themeShade="BF"/>
          <w:sz w:val="24"/>
          <w:szCs w:val="24"/>
          <w:lang w:val="en-US"/>
        </w:rPr>
        <w:t>DPOA member)</w:t>
      </w:r>
    </w:p>
    <w:p w14:paraId="529ACA70" w14:textId="165BEBC0" w:rsidR="00546BE5" w:rsidRPr="005629B0" w:rsidRDefault="00546BE5" w:rsidP="00546BE5">
      <w:pPr>
        <w:pStyle w:val="Heading1"/>
        <w:ind w:hanging="720"/>
      </w:pPr>
      <w:bookmarkStart w:id="6" w:name="_Toc532458962"/>
      <w:bookmarkStart w:id="7" w:name="_Hlk532379093"/>
      <w:r>
        <w:lastRenderedPageBreak/>
        <w:t>Whole of Journey Experiences</w:t>
      </w:r>
      <w:bookmarkEnd w:id="6"/>
      <w:r>
        <w:t xml:space="preserve"> </w:t>
      </w:r>
    </w:p>
    <w:p w14:paraId="17551AA2" w14:textId="77777777" w:rsidR="00546BE5" w:rsidRPr="005629B0" w:rsidRDefault="00546BE5" w:rsidP="00546BE5">
      <w:pPr>
        <w:pBdr>
          <w:bottom w:val="single" w:sz="12" w:space="1" w:color="auto"/>
        </w:pBdr>
        <w:jc w:val="right"/>
        <w:rPr>
          <w:sz w:val="16"/>
          <w:szCs w:val="16"/>
        </w:rPr>
      </w:pPr>
    </w:p>
    <w:p w14:paraId="49424144" w14:textId="691E049D" w:rsidR="00546BE5" w:rsidRDefault="00F139B8" w:rsidP="00546BE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6</w:t>
      </w:r>
      <w:r w:rsidR="00546BE5">
        <w:rPr>
          <w:rFonts w:cs="Calibri"/>
          <w:sz w:val="24"/>
          <w:szCs w:val="24"/>
          <w:lang w:val="en-US"/>
        </w:rPr>
        <w:t xml:space="preserve">.1 </w:t>
      </w:r>
      <w:r w:rsidR="00546BE5">
        <w:rPr>
          <w:rFonts w:cs="Calibri"/>
          <w:sz w:val="24"/>
          <w:szCs w:val="24"/>
          <w:lang w:val="en-US"/>
        </w:rPr>
        <w:tab/>
      </w:r>
      <w:r w:rsidR="00435051">
        <w:rPr>
          <w:rFonts w:cs="Calibri"/>
          <w:sz w:val="24"/>
          <w:szCs w:val="24"/>
          <w:lang w:val="en-US"/>
        </w:rPr>
        <w:t>In response to r</w:t>
      </w:r>
      <w:r w:rsidR="00785DCE">
        <w:rPr>
          <w:rFonts w:cs="Calibri"/>
          <w:sz w:val="24"/>
          <w:szCs w:val="24"/>
          <w:lang w:val="en-US"/>
        </w:rPr>
        <w:t>ecommendation 4, of the 2</w:t>
      </w:r>
      <w:r w:rsidR="00785DCE" w:rsidRPr="00785DCE">
        <w:rPr>
          <w:rFonts w:cs="Calibri"/>
          <w:sz w:val="24"/>
          <w:szCs w:val="24"/>
          <w:vertAlign w:val="superscript"/>
          <w:lang w:val="en-US"/>
        </w:rPr>
        <w:t>nd</w:t>
      </w:r>
      <w:r w:rsidR="00785DCE">
        <w:rPr>
          <w:rFonts w:cs="Calibri"/>
          <w:sz w:val="24"/>
          <w:szCs w:val="24"/>
          <w:lang w:val="en-US"/>
        </w:rPr>
        <w:t xml:space="preserve"> review of the DSAPT</w:t>
      </w:r>
      <w:r w:rsidR="00435051">
        <w:rPr>
          <w:rFonts w:cs="Calibri"/>
          <w:sz w:val="24"/>
          <w:szCs w:val="24"/>
          <w:lang w:val="en-US"/>
        </w:rPr>
        <w:t>, in 2017 the Australian Government developed and published accessibility guidelines for a ‘whole-of-journey’ approach to public transport planning</w:t>
      </w:r>
      <w:r w:rsidR="00546BE5">
        <w:rPr>
          <w:rFonts w:cs="Calibri"/>
          <w:sz w:val="24"/>
          <w:szCs w:val="24"/>
          <w:lang w:val="en-US"/>
        </w:rPr>
        <w:t xml:space="preserve">.  </w:t>
      </w:r>
      <w:r w:rsidR="00435051">
        <w:rPr>
          <w:rFonts w:cs="Calibri"/>
          <w:sz w:val="24"/>
          <w:szCs w:val="24"/>
          <w:lang w:val="en-US"/>
        </w:rPr>
        <w:t xml:space="preserve">Disabled People’s Organisations Australia (DPOA) worked closely with the Government to ensure meaningful consultations with diverse groups of people with disability occurred during the project.  </w:t>
      </w:r>
    </w:p>
    <w:p w14:paraId="48E2CF79" w14:textId="711FE92E" w:rsidR="00435051" w:rsidRDefault="00435051" w:rsidP="00546BE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6.2 </w:t>
      </w:r>
      <w:r>
        <w:rPr>
          <w:rFonts w:cs="Calibri"/>
          <w:sz w:val="24"/>
          <w:szCs w:val="24"/>
          <w:lang w:val="en-US"/>
        </w:rPr>
        <w:tab/>
        <w:t xml:space="preserve">The guide </w:t>
      </w:r>
      <w:r w:rsidR="00F42313">
        <w:rPr>
          <w:rFonts w:cs="Calibri"/>
          <w:sz w:val="24"/>
          <w:szCs w:val="24"/>
          <w:lang w:val="en-US"/>
        </w:rPr>
        <w:t>is</w:t>
      </w:r>
      <w:r>
        <w:rPr>
          <w:rFonts w:cs="Calibri"/>
          <w:sz w:val="24"/>
          <w:szCs w:val="24"/>
          <w:lang w:val="en-US"/>
        </w:rPr>
        <w:t xml:space="preserve"> designed to ‘encourage policy makers, planners, designers, builders, certifiers and operators to think beyond compliance and the physical governance boundaries of services and infrastructure, and to focus instead on people’s accessibility needs across their whole journey’.</w:t>
      </w:r>
      <w:r>
        <w:rPr>
          <w:rStyle w:val="FootnoteReference"/>
          <w:rFonts w:cs="Calibri"/>
          <w:sz w:val="24"/>
          <w:szCs w:val="24"/>
          <w:lang w:val="en-US"/>
        </w:rPr>
        <w:footnoteReference w:id="3"/>
      </w:r>
      <w:r>
        <w:rPr>
          <w:rFonts w:cs="Calibri"/>
          <w:sz w:val="24"/>
          <w:szCs w:val="24"/>
          <w:lang w:val="en-US"/>
        </w:rPr>
        <w:t xml:space="preserve">   </w:t>
      </w:r>
    </w:p>
    <w:p w14:paraId="411CAFB8" w14:textId="2A657D21" w:rsidR="008D54B4" w:rsidRDefault="005011D9" w:rsidP="00546BE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6.3</w:t>
      </w:r>
      <w:r>
        <w:rPr>
          <w:rFonts w:cs="Calibri"/>
          <w:sz w:val="24"/>
          <w:szCs w:val="24"/>
          <w:lang w:val="en-US"/>
        </w:rPr>
        <w:tab/>
        <w:t xml:space="preserve">DPO Australian </w:t>
      </w:r>
      <w:r w:rsidR="008E7372">
        <w:rPr>
          <w:rFonts w:cs="Calibri"/>
          <w:sz w:val="24"/>
          <w:szCs w:val="24"/>
          <w:lang w:val="en-US"/>
        </w:rPr>
        <w:t xml:space="preserve">congratulates the Government on producing and disseminating this guide as we believe reframing accessibility through a Whole of Journey approach helps to build more seamless, consistent, reliable, and accessible public transport experiences for people with disability.  </w:t>
      </w:r>
    </w:p>
    <w:p w14:paraId="7F5E7232" w14:textId="3E286376" w:rsidR="00A17B2B" w:rsidRDefault="001F4365" w:rsidP="00546BE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6.4        People with disability have whole of journey needs that span across industries, </w:t>
      </w:r>
      <w:r w:rsidR="00FA16E2">
        <w:rPr>
          <w:rFonts w:cs="Calibri"/>
          <w:sz w:val="24"/>
          <w:szCs w:val="24"/>
          <w:lang w:val="en-US"/>
        </w:rPr>
        <w:t xml:space="preserve">jurisdictions, governments and </w:t>
      </w:r>
      <w:r>
        <w:rPr>
          <w:rFonts w:cs="Calibri"/>
          <w:sz w:val="24"/>
          <w:szCs w:val="24"/>
          <w:lang w:val="en-US"/>
        </w:rPr>
        <w:t>portfolio areas,</w:t>
      </w:r>
      <w:r w:rsidR="00FA16E2">
        <w:rPr>
          <w:rFonts w:cs="Calibri"/>
          <w:sz w:val="24"/>
          <w:szCs w:val="24"/>
          <w:lang w:val="en-US"/>
        </w:rPr>
        <w:t xml:space="preserve"> and modalities of public transport and infrastructure.  Therefore, adequate whole of journey planning needs</w:t>
      </w:r>
      <w:r w:rsidR="00F42313">
        <w:rPr>
          <w:rFonts w:cs="Calibri"/>
          <w:sz w:val="24"/>
          <w:szCs w:val="24"/>
          <w:lang w:val="en-US"/>
        </w:rPr>
        <w:t xml:space="preserve"> to</w:t>
      </w:r>
      <w:r w:rsidR="00FA16E2">
        <w:rPr>
          <w:rFonts w:cs="Calibri"/>
          <w:sz w:val="24"/>
          <w:szCs w:val="24"/>
          <w:lang w:val="en-US"/>
        </w:rPr>
        <w:t xml:space="preserve"> occur via a whole of government approach, rather than through a piecemeal segmented or siloed system</w:t>
      </w:r>
      <w:r w:rsidR="00F42313">
        <w:rPr>
          <w:rFonts w:cs="Calibri"/>
          <w:sz w:val="24"/>
          <w:szCs w:val="24"/>
          <w:lang w:val="en-US"/>
        </w:rPr>
        <w:t xml:space="preserve">; siloed transport reforms creates islands of accessibility for people with disability.  </w:t>
      </w:r>
    </w:p>
    <w:p w14:paraId="3FA4C93D" w14:textId="77777777" w:rsidR="00C33EA8" w:rsidRPr="005629B0" w:rsidRDefault="00C33EA8" w:rsidP="00C33EA8">
      <w:pPr>
        <w:pStyle w:val="Heading1"/>
        <w:ind w:hanging="720"/>
      </w:pPr>
      <w:bookmarkStart w:id="8" w:name="_Toc532458963"/>
      <w:bookmarkEnd w:id="7"/>
      <w:r>
        <w:t>Diversity and Disability</w:t>
      </w:r>
      <w:bookmarkEnd w:id="8"/>
    </w:p>
    <w:p w14:paraId="2FC8F510" w14:textId="77777777" w:rsidR="00C33EA8" w:rsidRPr="005629B0" w:rsidRDefault="00C33EA8" w:rsidP="00C33EA8">
      <w:pPr>
        <w:pBdr>
          <w:bottom w:val="single" w:sz="12" w:space="1" w:color="auto"/>
        </w:pBdr>
        <w:jc w:val="right"/>
        <w:rPr>
          <w:sz w:val="16"/>
          <w:szCs w:val="16"/>
        </w:rPr>
      </w:pPr>
    </w:p>
    <w:p w14:paraId="05BF3565" w14:textId="4C61A70D" w:rsidR="009F00A4" w:rsidRDefault="009F00A4" w:rsidP="009F00A4">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Calibri"/>
          <w:i/>
          <w:color w:val="538135" w:themeColor="accent6" w:themeShade="BF"/>
          <w:sz w:val="24"/>
          <w:szCs w:val="24"/>
          <w:lang w:val="en-US"/>
        </w:rPr>
      </w:pPr>
      <w:r w:rsidRPr="00EE5DCA">
        <w:rPr>
          <w:rFonts w:cs="Calibri"/>
          <w:i/>
          <w:color w:val="538135" w:themeColor="accent6" w:themeShade="BF"/>
          <w:sz w:val="24"/>
          <w:szCs w:val="24"/>
          <w:lang w:val="en-US"/>
        </w:rPr>
        <w:t xml:space="preserve">‘For someone with psychosocial disabilities, badly behaved passengers are frightening for us.  This is especially true for women with disabilities.’ (DPOA </w:t>
      </w:r>
      <w:r>
        <w:rPr>
          <w:rFonts w:cs="Calibri"/>
          <w:i/>
          <w:color w:val="538135" w:themeColor="accent6" w:themeShade="BF"/>
          <w:sz w:val="24"/>
          <w:szCs w:val="24"/>
          <w:lang w:val="en-US"/>
        </w:rPr>
        <w:t>m</w:t>
      </w:r>
      <w:r w:rsidRPr="00EE5DCA">
        <w:rPr>
          <w:rFonts w:cs="Calibri"/>
          <w:i/>
          <w:color w:val="538135" w:themeColor="accent6" w:themeShade="BF"/>
          <w:sz w:val="24"/>
          <w:szCs w:val="24"/>
          <w:lang w:val="en-US"/>
        </w:rPr>
        <w:t>ember)</w:t>
      </w:r>
    </w:p>
    <w:p w14:paraId="59528C77" w14:textId="77777777" w:rsidR="009F00A4" w:rsidRPr="00715ED2" w:rsidRDefault="009F00A4" w:rsidP="009F00A4">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Calibri"/>
          <w:i/>
          <w:color w:val="538135" w:themeColor="accent6" w:themeShade="BF"/>
          <w:sz w:val="24"/>
          <w:szCs w:val="24"/>
          <w:lang w:val="en-US"/>
        </w:rPr>
      </w:pPr>
    </w:p>
    <w:p w14:paraId="137021E3" w14:textId="1F60AAFA" w:rsidR="009F00A4" w:rsidRDefault="009F00A4" w:rsidP="009F00A4">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7.1 </w:t>
      </w:r>
      <w:r>
        <w:rPr>
          <w:rFonts w:cs="Calibri"/>
          <w:sz w:val="24"/>
          <w:szCs w:val="24"/>
          <w:lang w:val="en-US"/>
        </w:rPr>
        <w:tab/>
        <w:t>Acknowledging intersectionality and the diversity of disability is fundamental to understanding and responding to the multiple and compounding barriers people with disability experience w</w:t>
      </w:r>
      <w:r w:rsidR="00A60D55">
        <w:rPr>
          <w:rFonts w:cs="Calibri"/>
          <w:sz w:val="24"/>
          <w:szCs w:val="24"/>
          <w:lang w:val="en-US"/>
        </w:rPr>
        <w:t>hen</w:t>
      </w:r>
      <w:r>
        <w:rPr>
          <w:rFonts w:cs="Calibri"/>
          <w:sz w:val="24"/>
          <w:szCs w:val="24"/>
          <w:lang w:val="en-US"/>
        </w:rPr>
        <w:t xml:space="preserve"> accessing or using public transport.  </w:t>
      </w:r>
    </w:p>
    <w:p w14:paraId="4FD0ABCC" w14:textId="75A2722F" w:rsidR="009F00A4" w:rsidRDefault="009F00A4" w:rsidP="009F00A4">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7.2 </w:t>
      </w:r>
      <w:r>
        <w:rPr>
          <w:rFonts w:cs="Calibri"/>
          <w:sz w:val="24"/>
          <w:szCs w:val="24"/>
          <w:lang w:val="en-US"/>
        </w:rPr>
        <w:tab/>
        <w:t xml:space="preserve">The DSAPT needs to better incorporate contemporary understandings of intersectionality, by adequately responding to the diverse accessibility needs of all people with disability.  This should take into consideration the intersectional </w:t>
      </w:r>
      <w:r>
        <w:rPr>
          <w:rFonts w:cs="Calibri"/>
          <w:sz w:val="24"/>
          <w:szCs w:val="24"/>
          <w:lang w:val="en-US"/>
        </w:rPr>
        <w:lastRenderedPageBreak/>
        <w:t xml:space="preserve">barriers people with disability experience that arise </w:t>
      </w:r>
      <w:r w:rsidR="00A60D55">
        <w:rPr>
          <w:rFonts w:cs="Calibri"/>
          <w:sz w:val="24"/>
          <w:szCs w:val="24"/>
          <w:lang w:val="en-US"/>
        </w:rPr>
        <w:t xml:space="preserve">due to </w:t>
      </w:r>
      <w:r>
        <w:rPr>
          <w:rFonts w:cs="Calibri"/>
          <w:sz w:val="24"/>
          <w:szCs w:val="24"/>
          <w:lang w:val="en-US"/>
        </w:rPr>
        <w:t xml:space="preserve">gender, age, Aboriginality, migrant/refugee and LGBTI </w:t>
      </w:r>
      <w:r w:rsidR="00A60D55">
        <w:rPr>
          <w:rFonts w:cs="Calibri"/>
          <w:sz w:val="24"/>
          <w:szCs w:val="24"/>
          <w:lang w:val="en-US"/>
        </w:rPr>
        <w:t xml:space="preserve">statuses and </w:t>
      </w:r>
      <w:r>
        <w:rPr>
          <w:rFonts w:cs="Calibri"/>
          <w:sz w:val="24"/>
          <w:szCs w:val="24"/>
          <w:lang w:val="en-US"/>
        </w:rPr>
        <w:t xml:space="preserve">identities.  </w:t>
      </w:r>
    </w:p>
    <w:p w14:paraId="135BA301" w14:textId="367A3D6E" w:rsidR="009F00A4" w:rsidRDefault="009F00A4" w:rsidP="009F00A4">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ab/>
      </w:r>
      <w:r w:rsidR="00A60D55">
        <w:rPr>
          <w:rFonts w:cs="Calibri"/>
          <w:sz w:val="24"/>
          <w:szCs w:val="24"/>
          <w:lang w:val="en-US"/>
        </w:rPr>
        <w:t>Some examples include but are not limited to:</w:t>
      </w:r>
      <w:r>
        <w:rPr>
          <w:rFonts w:cs="Calibri"/>
          <w:sz w:val="24"/>
          <w:szCs w:val="24"/>
          <w:lang w:val="en-US"/>
        </w:rPr>
        <w:t xml:space="preserve"> </w:t>
      </w:r>
    </w:p>
    <w:p w14:paraId="3D891470" w14:textId="604C16FD" w:rsidR="009F00A4" w:rsidRPr="00A60D55" w:rsidRDefault="009F00A4" w:rsidP="009F00A4">
      <w:pPr>
        <w:pStyle w:val="ListParagraph"/>
        <w:widowControl w:val="0"/>
        <w:numPr>
          <w:ilvl w:val="0"/>
          <w:numId w:val="3"/>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FF0000"/>
          <w:sz w:val="24"/>
          <w:szCs w:val="24"/>
          <w:lang w:val="en-US"/>
        </w:rPr>
      </w:pPr>
      <w:r w:rsidRPr="007F4F21">
        <w:rPr>
          <w:rFonts w:cs="Calibri"/>
          <w:sz w:val="24"/>
          <w:szCs w:val="24"/>
          <w:lang w:val="en-US"/>
        </w:rPr>
        <w:t xml:space="preserve">easy to </w:t>
      </w:r>
      <w:r>
        <w:rPr>
          <w:rFonts w:cs="Calibri"/>
          <w:sz w:val="24"/>
          <w:szCs w:val="24"/>
          <w:lang w:val="en-US"/>
        </w:rPr>
        <w:t>access</w:t>
      </w:r>
      <w:r w:rsidRPr="007F4F21">
        <w:rPr>
          <w:rFonts w:cs="Calibri"/>
          <w:sz w:val="24"/>
          <w:szCs w:val="24"/>
          <w:lang w:val="en-US"/>
        </w:rPr>
        <w:t xml:space="preserve"> and easy to understand timetabling information </w:t>
      </w:r>
      <w:r>
        <w:rPr>
          <w:rFonts w:cs="Calibri"/>
          <w:sz w:val="24"/>
          <w:szCs w:val="24"/>
          <w:lang w:val="en-US"/>
        </w:rPr>
        <w:t xml:space="preserve">or </w:t>
      </w:r>
      <w:r w:rsidR="00A60D55">
        <w:rPr>
          <w:rFonts w:cs="Calibri"/>
          <w:sz w:val="24"/>
          <w:szCs w:val="24"/>
          <w:lang w:val="en-US"/>
        </w:rPr>
        <w:t xml:space="preserve">changes to schedule is an accessibility need that is </w:t>
      </w:r>
      <w:r w:rsidRPr="007F4F21">
        <w:rPr>
          <w:rFonts w:cs="Calibri"/>
          <w:sz w:val="24"/>
          <w:szCs w:val="24"/>
          <w:lang w:val="en-US"/>
        </w:rPr>
        <w:t>equally as important for some cohorts of people with disability as an accessible build environment is for others</w:t>
      </w:r>
      <w:r>
        <w:rPr>
          <w:rFonts w:cs="Calibri"/>
          <w:sz w:val="24"/>
          <w:szCs w:val="24"/>
          <w:lang w:val="en-US"/>
        </w:rPr>
        <w:t>, and;</w:t>
      </w:r>
    </w:p>
    <w:p w14:paraId="432CFCBF" w14:textId="77777777" w:rsidR="00A60D55" w:rsidRPr="007F4F21" w:rsidRDefault="00A60D55" w:rsidP="00A60D55">
      <w:pPr>
        <w:pStyle w:val="ListParagraph"/>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FF0000"/>
          <w:sz w:val="24"/>
          <w:szCs w:val="24"/>
          <w:lang w:val="en-US"/>
        </w:rPr>
      </w:pPr>
    </w:p>
    <w:p w14:paraId="4EE1D392" w14:textId="30C95715" w:rsidR="009F00A4" w:rsidRDefault="009F00A4" w:rsidP="009F00A4">
      <w:pPr>
        <w:pStyle w:val="ListParagraph"/>
        <w:widowControl w:val="0"/>
        <w:numPr>
          <w:ilvl w:val="0"/>
          <w:numId w:val="3"/>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lang w:val="en-US"/>
        </w:rPr>
      </w:pPr>
      <w:r>
        <w:rPr>
          <w:rFonts w:cs="Calibri"/>
          <w:sz w:val="24"/>
          <w:szCs w:val="24"/>
          <w:lang w:val="en-US"/>
        </w:rPr>
        <w:t xml:space="preserve">strong reliance on online or </w:t>
      </w:r>
      <w:proofErr w:type="spellStart"/>
      <w:r>
        <w:rPr>
          <w:rFonts w:cs="Calibri"/>
          <w:sz w:val="24"/>
          <w:szCs w:val="24"/>
          <w:lang w:val="en-US"/>
        </w:rPr>
        <w:t>digitised</w:t>
      </w:r>
      <w:proofErr w:type="spellEnd"/>
      <w:r>
        <w:rPr>
          <w:rFonts w:cs="Calibri"/>
          <w:sz w:val="24"/>
          <w:szCs w:val="24"/>
          <w:lang w:val="en-US"/>
        </w:rPr>
        <w:t xml:space="preserve"> fare systems (e.g. ‘tap and go’) do enable some people with disability to have more efficient journeys; however same systems can also significantly disadvantage other cohorts of people with disability who are unable to access the internet/find the portals inaccessible, or who require a staff member ‘on the ground’ to discuss travel and fare arrangements</w:t>
      </w:r>
      <w:r w:rsidR="00A60D55">
        <w:rPr>
          <w:rFonts w:cs="Calibri"/>
          <w:sz w:val="24"/>
          <w:szCs w:val="24"/>
          <w:lang w:val="en-US"/>
        </w:rPr>
        <w:t>, and;</w:t>
      </w:r>
    </w:p>
    <w:p w14:paraId="371E8364" w14:textId="77777777" w:rsidR="00A60D55" w:rsidRDefault="00A60D55" w:rsidP="00A60D55">
      <w:pPr>
        <w:pStyle w:val="ListParagraph"/>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lang w:val="en-US"/>
        </w:rPr>
      </w:pPr>
    </w:p>
    <w:p w14:paraId="487E5B6F" w14:textId="77777777" w:rsidR="009F00A4" w:rsidRDefault="009F00A4" w:rsidP="009F00A4">
      <w:pPr>
        <w:pStyle w:val="ListParagraph"/>
        <w:widowControl w:val="0"/>
        <w:numPr>
          <w:ilvl w:val="0"/>
          <w:numId w:val="3"/>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lang w:val="en-US"/>
        </w:rPr>
      </w:pPr>
      <w:r>
        <w:rPr>
          <w:rFonts w:cs="Calibri"/>
          <w:sz w:val="24"/>
          <w:szCs w:val="24"/>
          <w:lang w:val="en-US"/>
        </w:rPr>
        <w:t xml:space="preserve">Women with disability have additional requirements around public transport safety that need to be incorporated in public transport reform agendas.   </w:t>
      </w:r>
      <w:r w:rsidRPr="007F4F21">
        <w:rPr>
          <w:rFonts w:cs="Calibri"/>
          <w:sz w:val="24"/>
          <w:szCs w:val="24"/>
          <w:lang w:val="en-US"/>
        </w:rPr>
        <w:t xml:space="preserve"> </w:t>
      </w:r>
    </w:p>
    <w:p w14:paraId="32869189" w14:textId="77777777" w:rsidR="009F00A4" w:rsidRDefault="009F00A4" w:rsidP="009F00A4">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rPr>
          <w:rFonts w:cs="Calibri"/>
          <w:sz w:val="24"/>
          <w:szCs w:val="24"/>
          <w:lang w:val="en-US"/>
        </w:rPr>
      </w:pPr>
    </w:p>
    <w:p w14:paraId="6F89F0EF" w14:textId="03265414" w:rsidR="009F00A4" w:rsidRPr="00800FC7" w:rsidRDefault="009F00A4" w:rsidP="009F00A4">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center"/>
        <w:rPr>
          <w:rFonts w:cs="Calibri"/>
          <w:i/>
          <w:color w:val="538135" w:themeColor="accent6" w:themeShade="BF"/>
          <w:sz w:val="24"/>
          <w:szCs w:val="24"/>
          <w:lang w:val="en-US"/>
        </w:rPr>
      </w:pPr>
      <w:r w:rsidRPr="00800FC7">
        <w:rPr>
          <w:rFonts w:cs="Calibri"/>
          <w:i/>
          <w:color w:val="538135" w:themeColor="accent6" w:themeShade="BF"/>
          <w:sz w:val="24"/>
          <w:szCs w:val="24"/>
          <w:lang w:val="en-US"/>
        </w:rPr>
        <w:t xml:space="preserve">‘Last minute platform changes and </w:t>
      </w:r>
      <w:r w:rsidR="00A60D55">
        <w:rPr>
          <w:rFonts w:cs="Calibri"/>
          <w:i/>
          <w:color w:val="538135" w:themeColor="accent6" w:themeShade="BF"/>
          <w:sz w:val="24"/>
          <w:szCs w:val="24"/>
          <w:lang w:val="en-US"/>
        </w:rPr>
        <w:t xml:space="preserve">poor </w:t>
      </w:r>
      <w:r w:rsidRPr="00800FC7">
        <w:rPr>
          <w:rFonts w:cs="Calibri"/>
          <w:i/>
          <w:color w:val="538135" w:themeColor="accent6" w:themeShade="BF"/>
          <w:sz w:val="24"/>
          <w:szCs w:val="24"/>
          <w:lang w:val="en-US"/>
        </w:rPr>
        <w:t>guard announcements make trains inaccessible for me’.</w:t>
      </w:r>
      <w:r w:rsidR="00A60D55">
        <w:rPr>
          <w:rFonts w:cs="Calibri"/>
          <w:i/>
          <w:color w:val="538135" w:themeColor="accent6" w:themeShade="BF"/>
          <w:sz w:val="24"/>
          <w:szCs w:val="24"/>
          <w:lang w:val="en-US"/>
        </w:rPr>
        <w:t xml:space="preserve"> (DPOA member)</w:t>
      </w:r>
    </w:p>
    <w:p w14:paraId="305A3B40" w14:textId="77777777" w:rsidR="00C33EA8" w:rsidRPr="005629B0" w:rsidRDefault="00C33EA8" w:rsidP="00C33EA8">
      <w:pPr>
        <w:pStyle w:val="Heading1"/>
        <w:ind w:hanging="720"/>
      </w:pPr>
      <w:bookmarkStart w:id="9" w:name="_Toc532458964"/>
      <w:r>
        <w:t>Rural and Remote Australia</w:t>
      </w:r>
      <w:bookmarkEnd w:id="9"/>
    </w:p>
    <w:p w14:paraId="109FDAB3" w14:textId="77777777" w:rsidR="00C33EA8" w:rsidRPr="005629B0" w:rsidRDefault="00C33EA8" w:rsidP="00C33EA8">
      <w:pPr>
        <w:pBdr>
          <w:bottom w:val="single" w:sz="12" w:space="1" w:color="auto"/>
        </w:pBdr>
        <w:jc w:val="right"/>
        <w:rPr>
          <w:sz w:val="16"/>
          <w:szCs w:val="16"/>
        </w:rPr>
      </w:pPr>
    </w:p>
    <w:p w14:paraId="16EAE221" w14:textId="56BF33C5" w:rsidR="00CF3A1F" w:rsidRDefault="00CF3A1F" w:rsidP="00CF3A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8.1 </w:t>
      </w:r>
      <w:r>
        <w:rPr>
          <w:rFonts w:cs="Calibri"/>
          <w:sz w:val="24"/>
          <w:szCs w:val="24"/>
          <w:lang w:val="en-US"/>
        </w:rPr>
        <w:tab/>
        <w:t>Access to</w:t>
      </w:r>
      <w:r w:rsidR="00A60D55">
        <w:rPr>
          <w:rFonts w:cs="Calibri"/>
          <w:sz w:val="24"/>
          <w:szCs w:val="24"/>
          <w:lang w:val="en-US"/>
        </w:rPr>
        <w:t xml:space="preserve"> and cost of</w:t>
      </w:r>
      <w:r>
        <w:rPr>
          <w:rFonts w:cs="Calibri"/>
          <w:sz w:val="24"/>
          <w:szCs w:val="24"/>
          <w:lang w:val="en-US"/>
        </w:rPr>
        <w:t xml:space="preserve"> transport is a </w:t>
      </w:r>
      <w:r w:rsidR="00A60D55">
        <w:rPr>
          <w:rFonts w:cs="Calibri"/>
          <w:sz w:val="24"/>
          <w:szCs w:val="24"/>
          <w:lang w:val="en-US"/>
        </w:rPr>
        <w:t>critical</w:t>
      </w:r>
      <w:r>
        <w:rPr>
          <w:rFonts w:cs="Calibri"/>
          <w:sz w:val="24"/>
          <w:szCs w:val="24"/>
          <w:lang w:val="en-US"/>
        </w:rPr>
        <w:t xml:space="preserve"> issue for people with disability in rural and remote Australia.  This significantly and disproportionality impacts on Aboriginal and Torres Strait islanders with disability, their families and communities.  </w:t>
      </w:r>
    </w:p>
    <w:p w14:paraId="4BF1D74A" w14:textId="77777777" w:rsidR="00CF3A1F" w:rsidRDefault="00CF3A1F" w:rsidP="00CF3A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8.2        The stark absence of transport infrastructure- let along accessible transport- is an obstacle to inclusive communities, and severely restricts social and economic participation.   Promoting and providing accessible public transport can be as significant as the logistical aspects of transport.   </w:t>
      </w:r>
    </w:p>
    <w:p w14:paraId="1C387331" w14:textId="2BDA7C14" w:rsidR="003A4330" w:rsidRDefault="0007433F" w:rsidP="003A4330">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Calibri"/>
          <w:i/>
          <w:color w:val="538135" w:themeColor="accent6" w:themeShade="BF"/>
          <w:sz w:val="24"/>
          <w:szCs w:val="24"/>
          <w:lang w:val="en-US"/>
        </w:rPr>
      </w:pPr>
      <w:r w:rsidRPr="003A4330">
        <w:rPr>
          <w:rFonts w:cs="Calibri"/>
          <w:i/>
          <w:color w:val="538135" w:themeColor="accent6" w:themeShade="BF"/>
          <w:sz w:val="24"/>
          <w:szCs w:val="24"/>
          <w:lang w:val="en-US"/>
        </w:rPr>
        <w:t>‘I live in rural NSW.  I’m unable to drive therefore I’m completely isolated’.</w:t>
      </w:r>
      <w:r w:rsidR="00A60D55">
        <w:rPr>
          <w:rFonts w:cs="Calibri"/>
          <w:i/>
          <w:color w:val="538135" w:themeColor="accent6" w:themeShade="BF"/>
          <w:sz w:val="24"/>
          <w:szCs w:val="24"/>
          <w:lang w:val="en-US"/>
        </w:rPr>
        <w:t xml:space="preserve"> (DPOA member)</w:t>
      </w:r>
    </w:p>
    <w:p w14:paraId="77D6C362" w14:textId="77777777" w:rsidR="00A60D55" w:rsidRDefault="00A60D55" w:rsidP="003A4330">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Calibri"/>
          <w:i/>
          <w:color w:val="538135" w:themeColor="accent6" w:themeShade="BF"/>
          <w:sz w:val="24"/>
          <w:szCs w:val="24"/>
          <w:lang w:val="en-US"/>
        </w:rPr>
      </w:pPr>
    </w:p>
    <w:p w14:paraId="0C0A4250" w14:textId="3389A7BB" w:rsidR="003A4330" w:rsidRPr="003A4330" w:rsidRDefault="003A4330" w:rsidP="003A433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color w:val="538135" w:themeColor="accent6" w:themeShade="BF"/>
          <w:sz w:val="24"/>
          <w:szCs w:val="24"/>
          <w:lang w:val="en-US"/>
        </w:rPr>
      </w:pPr>
      <w:r>
        <w:rPr>
          <w:rFonts w:cs="Calibri"/>
          <w:sz w:val="24"/>
          <w:szCs w:val="24"/>
          <w:lang w:val="en-US"/>
        </w:rPr>
        <w:t xml:space="preserve">8.3 </w:t>
      </w:r>
      <w:r>
        <w:rPr>
          <w:rFonts w:cs="Calibri"/>
          <w:sz w:val="24"/>
          <w:szCs w:val="24"/>
          <w:lang w:val="en-US"/>
        </w:rPr>
        <w:tab/>
        <w:t xml:space="preserve">State and territory jurisdictions need to prioritise rural and remote design into all transport reform agendas.  Remote settings need specifically tailored strategies and solutions to address transport issues, across all levels and portfolios of government, as lack of accessible public transport significantly impacts on all areas of life, such as health, education, and employment.  </w:t>
      </w:r>
    </w:p>
    <w:p w14:paraId="6177EF85" w14:textId="051288AE" w:rsidR="00021A65" w:rsidRPr="0007433F" w:rsidRDefault="003A4330" w:rsidP="00C33EA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FF0000"/>
          <w:sz w:val="24"/>
          <w:szCs w:val="24"/>
          <w:lang w:val="en-US"/>
        </w:rPr>
      </w:pPr>
      <w:r w:rsidRPr="0007433F">
        <w:rPr>
          <w:rFonts w:cs="Calibri"/>
          <w:color w:val="FF0000"/>
          <w:sz w:val="24"/>
          <w:szCs w:val="24"/>
          <w:lang w:val="en-US"/>
        </w:rPr>
        <w:t xml:space="preserve"> </w:t>
      </w:r>
    </w:p>
    <w:p w14:paraId="2AD2077A" w14:textId="77777777" w:rsidR="00835C3C" w:rsidRPr="005629B0" w:rsidRDefault="00835C3C" w:rsidP="00835C3C">
      <w:pPr>
        <w:pStyle w:val="Heading1"/>
        <w:ind w:hanging="720"/>
      </w:pPr>
      <w:bookmarkStart w:id="10" w:name="_Toc532458965"/>
      <w:r>
        <w:lastRenderedPageBreak/>
        <w:t>Attitudinal barriers</w:t>
      </w:r>
      <w:bookmarkEnd w:id="10"/>
      <w:r>
        <w:t xml:space="preserve"> </w:t>
      </w:r>
    </w:p>
    <w:p w14:paraId="5675A537" w14:textId="77777777" w:rsidR="00835C3C" w:rsidRPr="005629B0" w:rsidRDefault="00835C3C" w:rsidP="00835C3C">
      <w:pPr>
        <w:pBdr>
          <w:bottom w:val="single" w:sz="12" w:space="1" w:color="auto"/>
        </w:pBdr>
        <w:jc w:val="right"/>
        <w:rPr>
          <w:sz w:val="16"/>
          <w:szCs w:val="16"/>
        </w:rPr>
      </w:pPr>
    </w:p>
    <w:p w14:paraId="15A8160C" w14:textId="57EE9C27" w:rsidR="00E76B85" w:rsidRDefault="00E76B85" w:rsidP="00C150D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Calibri"/>
          <w:sz w:val="24"/>
          <w:szCs w:val="24"/>
          <w:lang w:val="en-US"/>
        </w:rPr>
      </w:pPr>
      <w:r w:rsidRPr="00E76B85">
        <w:rPr>
          <w:rFonts w:cs="Calibri"/>
          <w:i/>
          <w:color w:val="538135" w:themeColor="accent6" w:themeShade="BF"/>
          <w:sz w:val="24"/>
          <w:szCs w:val="24"/>
          <w:lang w:val="en-US"/>
        </w:rPr>
        <w:t>‘I’m harassed by commuters because of my disability’. (DPOA member)</w:t>
      </w:r>
    </w:p>
    <w:p w14:paraId="63C4D9DE" w14:textId="2748245F" w:rsidR="00FB4C4D" w:rsidRDefault="00B271AF" w:rsidP="00B271A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8.3 </w:t>
      </w:r>
      <w:r>
        <w:rPr>
          <w:rFonts w:cs="Calibri"/>
          <w:sz w:val="24"/>
          <w:szCs w:val="24"/>
          <w:lang w:val="en-US"/>
        </w:rPr>
        <w:tab/>
      </w:r>
      <w:r w:rsidR="00FB4C4D">
        <w:rPr>
          <w:rFonts w:cs="Calibri"/>
          <w:sz w:val="24"/>
          <w:szCs w:val="24"/>
          <w:lang w:val="en-US"/>
        </w:rPr>
        <w:t xml:space="preserve">Attitudinal barriers of </w:t>
      </w:r>
      <w:r w:rsidR="00A60D55">
        <w:rPr>
          <w:rFonts w:cs="Calibri"/>
          <w:sz w:val="24"/>
          <w:szCs w:val="24"/>
          <w:lang w:val="en-US"/>
        </w:rPr>
        <w:t>commuters</w:t>
      </w:r>
      <w:r w:rsidR="00FB4C4D">
        <w:rPr>
          <w:rFonts w:cs="Calibri"/>
          <w:sz w:val="24"/>
          <w:szCs w:val="24"/>
          <w:lang w:val="en-US"/>
        </w:rPr>
        <w:t xml:space="preserve"> and public transport staff can impact on access as much as poor design within the build environment.   </w:t>
      </w:r>
    </w:p>
    <w:p w14:paraId="38755C80" w14:textId="36F690DF" w:rsidR="005E3318" w:rsidRDefault="00FB4C4D" w:rsidP="00B271A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8.4      </w:t>
      </w:r>
      <w:r w:rsidR="00A60D55">
        <w:rPr>
          <w:rFonts w:cs="Calibri"/>
          <w:sz w:val="24"/>
          <w:szCs w:val="24"/>
          <w:lang w:val="en-US"/>
        </w:rPr>
        <w:t xml:space="preserve"> </w:t>
      </w:r>
      <w:r>
        <w:rPr>
          <w:rFonts w:cs="Calibri"/>
          <w:sz w:val="24"/>
          <w:szCs w:val="24"/>
          <w:lang w:val="en-US"/>
        </w:rPr>
        <w:t xml:space="preserve">Such barriers raised by our members include, but are not limited to: use of inappropriate, disrespectful, and derogatory language; not taking adequate time required to communicate effectively; impatience and disregard for individual travel requirements; reluctance or resistance to </w:t>
      </w:r>
      <w:proofErr w:type="gramStart"/>
      <w:r>
        <w:rPr>
          <w:rFonts w:cs="Calibri"/>
          <w:sz w:val="24"/>
          <w:szCs w:val="24"/>
          <w:lang w:val="en-US"/>
        </w:rPr>
        <w:t>provide assistance</w:t>
      </w:r>
      <w:proofErr w:type="gramEnd"/>
      <w:r>
        <w:rPr>
          <w:rFonts w:cs="Calibri"/>
          <w:sz w:val="24"/>
          <w:szCs w:val="24"/>
          <w:lang w:val="en-US"/>
        </w:rPr>
        <w:t xml:space="preserve"> when requested;</w:t>
      </w:r>
      <w:r w:rsidR="005E3318">
        <w:rPr>
          <w:rFonts w:cs="Calibri"/>
          <w:sz w:val="24"/>
          <w:szCs w:val="24"/>
          <w:lang w:val="en-US"/>
        </w:rPr>
        <w:t xml:space="preserve"> in-flexibility in provision of transport services from transport planning throughout the</w:t>
      </w:r>
      <w:r w:rsidR="00A60D55">
        <w:rPr>
          <w:rFonts w:cs="Calibri"/>
          <w:sz w:val="24"/>
          <w:szCs w:val="24"/>
          <w:lang w:val="en-US"/>
        </w:rPr>
        <w:t xml:space="preserve"> entire</w:t>
      </w:r>
      <w:r w:rsidR="005E3318">
        <w:rPr>
          <w:rFonts w:cs="Calibri"/>
          <w:sz w:val="24"/>
          <w:szCs w:val="24"/>
          <w:lang w:val="en-US"/>
        </w:rPr>
        <w:t xml:space="preserve"> whole of journey.   </w:t>
      </w:r>
      <w:r>
        <w:rPr>
          <w:rFonts w:cs="Calibri"/>
          <w:sz w:val="24"/>
          <w:szCs w:val="24"/>
          <w:lang w:val="en-US"/>
        </w:rPr>
        <w:t xml:space="preserve"> </w:t>
      </w:r>
    </w:p>
    <w:p w14:paraId="2C209334" w14:textId="4AFA585A" w:rsidR="00220A70" w:rsidRPr="00220A70" w:rsidRDefault="00220A70"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220A70">
        <w:rPr>
          <w:rFonts w:cs="Calibri"/>
          <w:i/>
          <w:color w:val="538135" w:themeColor="accent6" w:themeShade="BF"/>
          <w:sz w:val="24"/>
          <w:szCs w:val="24"/>
          <w:lang w:val="en-US"/>
        </w:rPr>
        <w:t>‘I want physically accessibility transport with empathetic staff who have the capacity to sensitively assist people without having to be explicitly asked’ (DPOA member)</w:t>
      </w:r>
    </w:p>
    <w:p w14:paraId="474AE4AB" w14:textId="30EF63BE" w:rsidR="00B271AF" w:rsidRDefault="005E3318" w:rsidP="00B271A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8.3       </w:t>
      </w:r>
      <w:r w:rsidR="00A60D55">
        <w:rPr>
          <w:rFonts w:cs="Calibri"/>
          <w:sz w:val="24"/>
          <w:szCs w:val="24"/>
          <w:lang w:val="en-US"/>
        </w:rPr>
        <w:t xml:space="preserve">Well-meaning </w:t>
      </w:r>
      <w:r>
        <w:rPr>
          <w:rFonts w:cs="Calibri"/>
          <w:sz w:val="24"/>
          <w:szCs w:val="24"/>
          <w:lang w:val="en-US"/>
        </w:rPr>
        <w:t>staff often assume the support needs of people with disability; they make assumptions of people’s transport</w:t>
      </w:r>
      <w:r w:rsidR="00A60D55">
        <w:rPr>
          <w:rFonts w:cs="Calibri"/>
          <w:sz w:val="24"/>
          <w:szCs w:val="24"/>
          <w:lang w:val="en-US"/>
        </w:rPr>
        <w:t xml:space="preserve"> needs</w:t>
      </w:r>
      <w:r>
        <w:rPr>
          <w:rFonts w:cs="Calibri"/>
          <w:sz w:val="24"/>
          <w:szCs w:val="24"/>
          <w:lang w:val="en-US"/>
        </w:rPr>
        <w:t xml:space="preserve"> due to the nature of their disability.  These assumptions are often misguided</w:t>
      </w:r>
      <w:r w:rsidR="00A60D55">
        <w:rPr>
          <w:rFonts w:cs="Calibri"/>
          <w:sz w:val="24"/>
          <w:szCs w:val="24"/>
          <w:lang w:val="en-US"/>
        </w:rPr>
        <w:t>-</w:t>
      </w:r>
      <w:r>
        <w:rPr>
          <w:rFonts w:cs="Calibri"/>
          <w:sz w:val="24"/>
          <w:szCs w:val="24"/>
          <w:lang w:val="en-US"/>
        </w:rPr>
        <w:t>or simply wrong</w:t>
      </w:r>
      <w:r w:rsidR="00A60D55">
        <w:rPr>
          <w:rFonts w:cs="Calibri"/>
          <w:sz w:val="24"/>
          <w:szCs w:val="24"/>
          <w:lang w:val="en-US"/>
        </w:rPr>
        <w:t xml:space="preserve">- and stifle independence, choice and accessibility. </w:t>
      </w:r>
      <w:r>
        <w:rPr>
          <w:rFonts w:cs="Calibri"/>
          <w:sz w:val="24"/>
          <w:szCs w:val="24"/>
          <w:lang w:val="en-US"/>
        </w:rPr>
        <w:t xml:space="preserve">   </w:t>
      </w:r>
    </w:p>
    <w:p w14:paraId="22D20204" w14:textId="5A238F04" w:rsidR="005E3318" w:rsidRPr="00EC0592" w:rsidRDefault="005E3318"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i/>
          <w:color w:val="538135" w:themeColor="accent6" w:themeShade="BF"/>
          <w:sz w:val="24"/>
          <w:szCs w:val="24"/>
          <w:lang w:val="en-US"/>
        </w:rPr>
      </w:pPr>
      <w:r>
        <w:rPr>
          <w:rFonts w:cs="Calibri"/>
          <w:sz w:val="24"/>
          <w:szCs w:val="24"/>
          <w:lang w:val="en-US"/>
        </w:rPr>
        <w:t xml:space="preserve">8.4        </w:t>
      </w:r>
      <w:r w:rsidR="00EC0592">
        <w:rPr>
          <w:rFonts w:cs="Calibri"/>
          <w:sz w:val="24"/>
          <w:szCs w:val="24"/>
          <w:lang w:val="en-US"/>
        </w:rPr>
        <w:t>Attitudinal</w:t>
      </w:r>
      <w:r>
        <w:rPr>
          <w:rFonts w:cs="Calibri"/>
          <w:sz w:val="24"/>
          <w:szCs w:val="24"/>
          <w:lang w:val="en-US"/>
        </w:rPr>
        <w:t xml:space="preserve"> barriers to public transport is a cross-cutting issue that needs to be address</w:t>
      </w:r>
      <w:r w:rsidR="00562A47">
        <w:rPr>
          <w:rFonts w:cs="Calibri"/>
          <w:sz w:val="24"/>
          <w:szCs w:val="24"/>
          <w:lang w:val="en-US"/>
        </w:rPr>
        <w:t>ed</w:t>
      </w:r>
      <w:r>
        <w:rPr>
          <w:rFonts w:cs="Calibri"/>
          <w:sz w:val="24"/>
          <w:szCs w:val="24"/>
          <w:lang w:val="en-US"/>
        </w:rPr>
        <w:t xml:space="preserve"> in </w:t>
      </w:r>
      <w:proofErr w:type="gramStart"/>
      <w:r>
        <w:rPr>
          <w:rFonts w:cs="Calibri"/>
          <w:sz w:val="24"/>
          <w:szCs w:val="24"/>
          <w:lang w:val="en-US"/>
        </w:rPr>
        <w:t>a number of</w:t>
      </w:r>
      <w:proofErr w:type="gramEnd"/>
      <w:r>
        <w:rPr>
          <w:rFonts w:cs="Calibri"/>
          <w:sz w:val="24"/>
          <w:szCs w:val="24"/>
          <w:lang w:val="en-US"/>
        </w:rPr>
        <w:t xml:space="preserve"> ways.  </w:t>
      </w:r>
      <w:r w:rsidR="00EC0592">
        <w:rPr>
          <w:rFonts w:cs="Calibri"/>
          <w:sz w:val="24"/>
          <w:szCs w:val="24"/>
          <w:lang w:val="en-US"/>
        </w:rPr>
        <w:t>O</w:t>
      </w:r>
      <w:r>
        <w:rPr>
          <w:rFonts w:cs="Calibri"/>
          <w:sz w:val="24"/>
          <w:szCs w:val="24"/>
          <w:lang w:val="en-US"/>
        </w:rPr>
        <w:t>rganisations needs to have strong and effective</w:t>
      </w:r>
      <w:r w:rsidR="00EC0592">
        <w:rPr>
          <w:rFonts w:cs="Calibri"/>
          <w:sz w:val="24"/>
          <w:szCs w:val="24"/>
          <w:lang w:val="en-US"/>
        </w:rPr>
        <w:t xml:space="preserve"> policies regarding disability-inclusive service provision.  All public transport managers and staff should be required to attend disability awareness training</w:t>
      </w:r>
      <w:r w:rsidR="00E76B85">
        <w:rPr>
          <w:rFonts w:cs="Calibri"/>
          <w:sz w:val="24"/>
          <w:szCs w:val="24"/>
          <w:lang w:val="en-US"/>
        </w:rPr>
        <w:t>,</w:t>
      </w:r>
      <w:r w:rsidR="00EC0592">
        <w:rPr>
          <w:rFonts w:cs="Calibri"/>
          <w:sz w:val="24"/>
          <w:szCs w:val="24"/>
          <w:lang w:val="en-US"/>
        </w:rPr>
        <w:t xml:space="preserve"> as this would directly facilitate increased access to public transport and improve whole of journey experiences for people with disability.  </w:t>
      </w:r>
    </w:p>
    <w:p w14:paraId="174640C2" w14:textId="60532DE9" w:rsidR="00546BE5" w:rsidRPr="005629B0" w:rsidRDefault="00546BE5" w:rsidP="00546BE5">
      <w:pPr>
        <w:pStyle w:val="Heading1"/>
        <w:ind w:hanging="720"/>
      </w:pPr>
      <w:r>
        <w:t xml:space="preserve"> </w:t>
      </w:r>
      <w:bookmarkStart w:id="11" w:name="_Toc532458966"/>
      <w:r w:rsidR="002C145F">
        <w:t xml:space="preserve">Member </w:t>
      </w:r>
      <w:r w:rsidR="0030500D">
        <w:t>feedback on barriers across modes of transport</w:t>
      </w:r>
      <w:bookmarkEnd w:id="11"/>
      <w:r w:rsidR="0030500D">
        <w:t xml:space="preserve"> </w:t>
      </w:r>
    </w:p>
    <w:p w14:paraId="7D2F1F0D" w14:textId="77777777" w:rsidR="00546BE5" w:rsidRPr="005629B0" w:rsidRDefault="00546BE5" w:rsidP="00546BE5">
      <w:pPr>
        <w:pBdr>
          <w:bottom w:val="single" w:sz="12" w:space="1" w:color="auto"/>
        </w:pBdr>
        <w:jc w:val="right"/>
        <w:rPr>
          <w:sz w:val="16"/>
          <w:szCs w:val="16"/>
        </w:rPr>
      </w:pPr>
    </w:p>
    <w:p w14:paraId="20B1E47E" w14:textId="3E106220" w:rsidR="00040921" w:rsidRPr="00C150DD" w:rsidRDefault="00040921" w:rsidP="00E76B8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color w:val="538135" w:themeColor="accent6" w:themeShade="BF"/>
          <w:sz w:val="24"/>
          <w:szCs w:val="24"/>
          <w:lang w:val="en-US"/>
        </w:rPr>
      </w:pPr>
      <w:r w:rsidRPr="00C150DD">
        <w:rPr>
          <w:rFonts w:cs="Calibri"/>
          <w:color w:val="538135" w:themeColor="accent6" w:themeShade="BF"/>
          <w:sz w:val="24"/>
          <w:szCs w:val="24"/>
          <w:lang w:val="en-US"/>
        </w:rPr>
        <w:t>‘</w:t>
      </w:r>
      <w:r w:rsidRPr="00C150DD">
        <w:rPr>
          <w:rFonts w:cs="Calibri"/>
          <w:i/>
          <w:color w:val="538135" w:themeColor="accent6" w:themeShade="BF"/>
          <w:sz w:val="24"/>
          <w:szCs w:val="24"/>
          <w:lang w:val="en-US"/>
        </w:rPr>
        <w:t>Were I live, not all buses are accessible, and there’s no way of knowing if an accessible one will turn up or not’.</w:t>
      </w:r>
      <w:r w:rsidR="00C27B8C" w:rsidRPr="00C150DD">
        <w:rPr>
          <w:rFonts w:cs="Calibri"/>
          <w:i/>
          <w:color w:val="538135" w:themeColor="accent6" w:themeShade="BF"/>
          <w:sz w:val="24"/>
          <w:szCs w:val="24"/>
          <w:lang w:val="en-US"/>
        </w:rPr>
        <w:t xml:space="preserve"> (DPOA member)</w:t>
      </w:r>
    </w:p>
    <w:p w14:paraId="48EA3100" w14:textId="21327129" w:rsidR="0055496B" w:rsidRDefault="00C27B8C"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10.1</w:t>
      </w:r>
      <w:r w:rsidR="00546BE5">
        <w:rPr>
          <w:rFonts w:cs="Calibri"/>
          <w:sz w:val="24"/>
          <w:szCs w:val="24"/>
          <w:lang w:val="en-US"/>
        </w:rPr>
        <w:t xml:space="preserve"> </w:t>
      </w:r>
      <w:r w:rsidR="00546BE5">
        <w:rPr>
          <w:rFonts w:cs="Calibri"/>
          <w:sz w:val="24"/>
          <w:szCs w:val="24"/>
          <w:lang w:val="en-US"/>
        </w:rPr>
        <w:tab/>
      </w:r>
      <w:r w:rsidR="001D3524">
        <w:rPr>
          <w:rFonts w:cs="Calibri"/>
          <w:sz w:val="24"/>
          <w:szCs w:val="24"/>
          <w:lang w:val="en-US"/>
        </w:rPr>
        <w:t>People with disability continue to experience many barriers with accessing or using trains and rail infrastructure.  Inaccessibly arises from poor signage, incorrect placement of tactile ground surface indicators (TGSI), lack of lifts</w:t>
      </w:r>
      <w:r w:rsidR="001F3EB3">
        <w:rPr>
          <w:rFonts w:cs="Calibri"/>
          <w:sz w:val="24"/>
          <w:szCs w:val="24"/>
          <w:lang w:val="en-US"/>
        </w:rPr>
        <w:t xml:space="preserve"> or </w:t>
      </w:r>
      <w:r w:rsidR="001D3524">
        <w:rPr>
          <w:rFonts w:cs="Calibri"/>
          <w:sz w:val="24"/>
          <w:szCs w:val="24"/>
          <w:lang w:val="en-US"/>
        </w:rPr>
        <w:t>broken lifts, lack of accessible toilets at stations, lack of ramps</w:t>
      </w:r>
      <w:r w:rsidR="00F96CBB">
        <w:rPr>
          <w:rFonts w:cs="Calibri"/>
          <w:sz w:val="24"/>
          <w:szCs w:val="24"/>
          <w:lang w:val="en-US"/>
        </w:rPr>
        <w:t xml:space="preserve">, lack of/reliance up/inconsistencies associated with </w:t>
      </w:r>
      <w:r w:rsidR="001D3524">
        <w:rPr>
          <w:rFonts w:cs="Calibri"/>
          <w:sz w:val="24"/>
          <w:szCs w:val="24"/>
          <w:lang w:val="en-US"/>
        </w:rPr>
        <w:t xml:space="preserve">direct assistance from staff, </w:t>
      </w:r>
      <w:r w:rsidR="00F139B8">
        <w:rPr>
          <w:rFonts w:cs="Calibri"/>
          <w:sz w:val="24"/>
          <w:szCs w:val="24"/>
          <w:lang w:val="en-US"/>
        </w:rPr>
        <w:t xml:space="preserve">and </w:t>
      </w:r>
      <w:r w:rsidR="001D3524">
        <w:rPr>
          <w:rFonts w:cs="Calibri"/>
          <w:sz w:val="24"/>
          <w:szCs w:val="24"/>
          <w:lang w:val="en-US"/>
        </w:rPr>
        <w:t xml:space="preserve">lack of </w:t>
      </w:r>
      <w:r w:rsidR="001F3EB3">
        <w:rPr>
          <w:rFonts w:cs="Calibri"/>
          <w:sz w:val="24"/>
          <w:szCs w:val="24"/>
          <w:lang w:val="en-US"/>
        </w:rPr>
        <w:t>(or muffled</w:t>
      </w:r>
      <w:r w:rsidR="001D3524">
        <w:rPr>
          <w:rFonts w:cs="Calibri"/>
          <w:sz w:val="24"/>
          <w:szCs w:val="24"/>
          <w:lang w:val="en-US"/>
        </w:rPr>
        <w:t>) audio announcements</w:t>
      </w:r>
      <w:r w:rsidR="00F139B8">
        <w:rPr>
          <w:rFonts w:cs="Calibri"/>
          <w:sz w:val="24"/>
          <w:szCs w:val="24"/>
          <w:lang w:val="en-US"/>
        </w:rPr>
        <w:t>, among other things</w:t>
      </w:r>
      <w:r w:rsidR="001D3524">
        <w:rPr>
          <w:rFonts w:cs="Calibri"/>
          <w:sz w:val="24"/>
          <w:szCs w:val="24"/>
          <w:lang w:val="en-US"/>
        </w:rPr>
        <w:t xml:space="preserve">. The lack of, or misuse of, allocated spaces on trains </w:t>
      </w:r>
      <w:r w:rsidR="001F3EB3">
        <w:rPr>
          <w:rFonts w:cs="Calibri"/>
          <w:sz w:val="24"/>
          <w:szCs w:val="24"/>
          <w:lang w:val="en-US"/>
        </w:rPr>
        <w:t xml:space="preserve">continues to be a </w:t>
      </w:r>
      <w:r w:rsidR="001D3524">
        <w:rPr>
          <w:rFonts w:cs="Calibri"/>
          <w:sz w:val="24"/>
          <w:szCs w:val="24"/>
          <w:lang w:val="en-US"/>
        </w:rPr>
        <w:t xml:space="preserve">significant barrier for people with disability </w:t>
      </w:r>
      <w:r w:rsidR="001F3EB3">
        <w:rPr>
          <w:rFonts w:cs="Calibri"/>
          <w:sz w:val="24"/>
          <w:szCs w:val="24"/>
          <w:lang w:val="en-US"/>
        </w:rPr>
        <w:t xml:space="preserve">travelling on </w:t>
      </w:r>
      <w:r w:rsidR="001D3524">
        <w:rPr>
          <w:rFonts w:cs="Calibri"/>
          <w:sz w:val="24"/>
          <w:szCs w:val="24"/>
          <w:lang w:val="en-US"/>
        </w:rPr>
        <w:t xml:space="preserve">rail.   </w:t>
      </w:r>
      <w:r w:rsidR="00546BE5">
        <w:rPr>
          <w:rFonts w:cs="Calibri"/>
          <w:sz w:val="24"/>
          <w:szCs w:val="24"/>
          <w:lang w:val="en-US"/>
        </w:rPr>
        <w:t xml:space="preserve"> </w:t>
      </w:r>
    </w:p>
    <w:p w14:paraId="272BEA2B" w14:textId="77777777" w:rsidR="00220A70" w:rsidRDefault="00220A70"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
    <w:p w14:paraId="0472BBA5" w14:textId="159137C0" w:rsidR="00C27B8C" w:rsidRPr="00CB050E" w:rsidRDefault="00CB050E" w:rsidP="00E76B85">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color w:val="FF0000"/>
          <w:sz w:val="24"/>
          <w:szCs w:val="24"/>
          <w:lang w:val="en-US"/>
        </w:rPr>
      </w:pPr>
      <w:r w:rsidRPr="00C27B8C">
        <w:rPr>
          <w:rFonts w:cs="Calibri"/>
          <w:color w:val="538135" w:themeColor="accent6" w:themeShade="BF"/>
          <w:sz w:val="24"/>
          <w:szCs w:val="24"/>
          <w:lang w:val="en-US"/>
        </w:rPr>
        <w:lastRenderedPageBreak/>
        <w:t>‘I sometimes get glares and am told to move from the roomy accessibility seats up front (which I obviously vacate for people using wheelchairs or prams) because my disability is invisible.  But this means I end up sitting in a seat with no room to have a seizure, and that causes extra injuries when I do.</w:t>
      </w:r>
      <w:r w:rsidR="00C27B8C">
        <w:rPr>
          <w:rFonts w:cs="Calibri"/>
          <w:color w:val="538135" w:themeColor="accent6" w:themeShade="BF"/>
          <w:sz w:val="24"/>
          <w:szCs w:val="24"/>
          <w:lang w:val="en-US"/>
        </w:rPr>
        <w:t>’ (DPOA member)</w:t>
      </w:r>
    </w:p>
    <w:p w14:paraId="15CD6E63" w14:textId="1A6997CD" w:rsidR="00835C3C" w:rsidRDefault="00835C3C"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10.</w:t>
      </w:r>
      <w:r w:rsidR="00C8799B">
        <w:rPr>
          <w:rFonts w:cs="Calibri"/>
          <w:sz w:val="24"/>
          <w:szCs w:val="24"/>
          <w:lang w:val="en-US"/>
        </w:rPr>
        <w:t>2</w:t>
      </w:r>
      <w:r>
        <w:rPr>
          <w:rFonts w:cs="Calibri"/>
          <w:sz w:val="24"/>
          <w:szCs w:val="24"/>
          <w:lang w:val="en-US"/>
        </w:rPr>
        <w:tab/>
        <w:t>Many people with disability use taxis as a means of transport; for some people with disability, taxis are their own mode of transport due to lack of access to other modes.  Taxi inaccessibility for people with disability often stems from: poor location and accessibility of taxi ranks; inconsistencies around driver service or payment of transport; absence of tactile and/or braille detailing taxi registration details on the inside of the doors; issues surrounding Wheelchair Accessible Taxi (WAT) allocated spaces and design, inconsistencies around safe restraint of mobility aids within WATs; actual number and response time of WATs.</w:t>
      </w:r>
    </w:p>
    <w:p w14:paraId="4DCFA4DB" w14:textId="48FECA23" w:rsidR="001B153B" w:rsidRDefault="00835C3C"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10.</w:t>
      </w:r>
      <w:r w:rsidR="00C8799B">
        <w:rPr>
          <w:rFonts w:cs="Calibri"/>
          <w:sz w:val="24"/>
          <w:szCs w:val="24"/>
          <w:lang w:val="en-US"/>
        </w:rPr>
        <w:t>3</w:t>
      </w:r>
      <w:r>
        <w:rPr>
          <w:rFonts w:cs="Calibri"/>
          <w:sz w:val="24"/>
          <w:szCs w:val="24"/>
          <w:lang w:val="en-US"/>
        </w:rPr>
        <w:t xml:space="preserve">     For many people with disability, taxis are the only way in which they can participate in their communities and travel to and from destinations.  The significant cost of taxi travel, however, is prohibitive and therefore is a real barrier for people with disability.  The prohibitive cost of taxi travel further isolates people with disability, and limits their social and economic participation, stifling their health and wellbeing.   </w:t>
      </w:r>
    </w:p>
    <w:p w14:paraId="6EC1662C" w14:textId="33AD2D7C" w:rsidR="00835C3C" w:rsidRDefault="00655BF9" w:rsidP="00C8799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sz w:val="24"/>
          <w:szCs w:val="24"/>
          <w:lang w:val="en-US"/>
        </w:rPr>
      </w:pPr>
      <w:r w:rsidRPr="00C8799B">
        <w:rPr>
          <w:rFonts w:cs="Calibri"/>
          <w:i/>
          <w:color w:val="538135" w:themeColor="accent6" w:themeShade="BF"/>
          <w:sz w:val="24"/>
          <w:szCs w:val="24"/>
          <w:lang w:val="en-US"/>
        </w:rPr>
        <w:t xml:space="preserve">‘I have a bus near my house that goes to town at 9:30am, but I come home in a taxi as there is no bus back from town’. </w:t>
      </w:r>
      <w:r w:rsidR="00C8799B" w:rsidRPr="00C8799B">
        <w:rPr>
          <w:rFonts w:cs="Calibri"/>
          <w:i/>
          <w:color w:val="538135" w:themeColor="accent6" w:themeShade="BF"/>
          <w:sz w:val="24"/>
          <w:szCs w:val="24"/>
          <w:lang w:val="en-US"/>
        </w:rPr>
        <w:t>(DPOA member)</w:t>
      </w:r>
      <w:r w:rsidR="001B153B">
        <w:rPr>
          <w:rFonts w:cs="Calibri"/>
          <w:sz w:val="24"/>
          <w:szCs w:val="24"/>
          <w:lang w:val="en-US"/>
        </w:rPr>
        <w:t xml:space="preserve">     </w:t>
      </w:r>
    </w:p>
    <w:p w14:paraId="39062276" w14:textId="66A6EC40" w:rsidR="00835C3C" w:rsidRDefault="00835C3C"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10. </w:t>
      </w:r>
      <w:r w:rsidR="00C8799B">
        <w:rPr>
          <w:rFonts w:cs="Calibri"/>
          <w:sz w:val="24"/>
          <w:szCs w:val="24"/>
          <w:lang w:val="en-US"/>
        </w:rPr>
        <w:t>4</w:t>
      </w:r>
      <w:r>
        <w:rPr>
          <w:rFonts w:cs="Calibri"/>
          <w:sz w:val="24"/>
          <w:szCs w:val="24"/>
          <w:lang w:val="en-US"/>
        </w:rPr>
        <w:t xml:space="preserve">     Many barriers prevent people with disability from using bus services.  Concerns around inaccessibility stem from: the lack of and intermittent availability of low door buses; inability of people with disability to travel on buses using their mobility devices; location and general accessibility of bus stops and interchanges; problems with accessing and understanding timetabling information or changes; inability to flag buses when required; challenges around appropriate allocated spaces on buses and their use, thereof; lack of driver training in understanding and accommodating the needs of people with disability.  </w:t>
      </w:r>
    </w:p>
    <w:p w14:paraId="3A0C4CBD" w14:textId="28C4B45D" w:rsidR="00CB050E" w:rsidRPr="00C8799B" w:rsidRDefault="00CB050E" w:rsidP="00C8799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C8799B">
        <w:rPr>
          <w:rFonts w:cs="Calibri"/>
          <w:i/>
          <w:color w:val="538135" w:themeColor="accent6" w:themeShade="BF"/>
          <w:sz w:val="24"/>
          <w:szCs w:val="24"/>
          <w:lang w:val="en-US"/>
        </w:rPr>
        <w:t>‘There are no bus routes near where I need to go.  I rely on my parents or expensive support workers to provide transport’.</w:t>
      </w:r>
      <w:r w:rsidR="00C8799B">
        <w:rPr>
          <w:rFonts w:cs="Calibri"/>
          <w:i/>
          <w:color w:val="538135" w:themeColor="accent6" w:themeShade="BF"/>
          <w:sz w:val="24"/>
          <w:szCs w:val="24"/>
          <w:lang w:val="en-US"/>
        </w:rPr>
        <w:t xml:space="preserve"> (DPOA member)</w:t>
      </w:r>
    </w:p>
    <w:p w14:paraId="731FDC0C" w14:textId="77E959BC" w:rsidR="00E76B85" w:rsidRDefault="00C8799B"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10.5     </w:t>
      </w:r>
      <w:r w:rsidR="00C42F48">
        <w:rPr>
          <w:rFonts w:cs="Calibri"/>
          <w:sz w:val="24"/>
          <w:szCs w:val="24"/>
          <w:lang w:val="en-US"/>
        </w:rPr>
        <w:t xml:space="preserve">People with disability have stated that they are regularly unable to complete whole journeys across the tram network </w:t>
      </w:r>
      <w:r w:rsidR="00771F61">
        <w:rPr>
          <w:rFonts w:cs="Calibri"/>
          <w:sz w:val="24"/>
          <w:szCs w:val="24"/>
          <w:lang w:val="en-US"/>
        </w:rPr>
        <w:t>throughout</w:t>
      </w:r>
      <w:r w:rsidR="00C42F48">
        <w:rPr>
          <w:rFonts w:cs="Calibri"/>
          <w:sz w:val="24"/>
          <w:szCs w:val="24"/>
          <w:lang w:val="en-US"/>
        </w:rPr>
        <w:t xml:space="preserve"> Melbourne</w:t>
      </w:r>
      <w:r w:rsidR="00E76B85">
        <w:rPr>
          <w:rFonts w:cs="Calibri"/>
          <w:sz w:val="24"/>
          <w:szCs w:val="24"/>
          <w:lang w:val="en-US"/>
        </w:rPr>
        <w:t xml:space="preserve">.  For example, </w:t>
      </w:r>
      <w:r w:rsidR="00C42F48">
        <w:rPr>
          <w:rFonts w:cs="Calibri"/>
          <w:sz w:val="24"/>
          <w:szCs w:val="24"/>
          <w:lang w:val="en-US"/>
        </w:rPr>
        <w:t xml:space="preserve">they may be able to board a tram at and accessible </w:t>
      </w:r>
      <w:proofErr w:type="gramStart"/>
      <w:r w:rsidR="00C42F48">
        <w:rPr>
          <w:rFonts w:cs="Calibri"/>
          <w:sz w:val="24"/>
          <w:szCs w:val="24"/>
          <w:lang w:val="en-US"/>
        </w:rPr>
        <w:t>stop, but</w:t>
      </w:r>
      <w:proofErr w:type="gramEnd"/>
      <w:r w:rsidR="00C42F48">
        <w:rPr>
          <w:rFonts w:cs="Calibri"/>
          <w:sz w:val="24"/>
          <w:szCs w:val="24"/>
          <w:lang w:val="en-US"/>
        </w:rPr>
        <w:t xml:space="preserve"> are unable to disembark where needed as their required stop is inaccessible.  Barriers to tram accessibility are also compounded by unreliable information and updates regarding cancelled low floor trams, or due to the absence of audible or accurate audio announcements.  </w:t>
      </w:r>
    </w:p>
    <w:p w14:paraId="40C9B304" w14:textId="4E246BC5" w:rsidR="00040921" w:rsidRDefault="00040921" w:rsidP="00C8799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C8799B">
        <w:rPr>
          <w:rFonts w:cs="Calibri"/>
          <w:i/>
          <w:color w:val="538135" w:themeColor="accent6" w:themeShade="BF"/>
          <w:sz w:val="24"/>
          <w:szCs w:val="24"/>
          <w:lang w:val="en-US"/>
        </w:rPr>
        <w:t xml:space="preserve">‘We need more staff on the ground to provide direct assistance, especially with service </w:t>
      </w:r>
      <w:r w:rsidR="00C8799B" w:rsidRPr="00C8799B">
        <w:rPr>
          <w:rFonts w:cs="Calibri"/>
          <w:i/>
          <w:color w:val="538135" w:themeColor="accent6" w:themeShade="BF"/>
          <w:sz w:val="24"/>
          <w:szCs w:val="24"/>
          <w:lang w:val="en-US"/>
        </w:rPr>
        <w:t>disruptions</w:t>
      </w:r>
      <w:r w:rsidRPr="00C8799B">
        <w:rPr>
          <w:rFonts w:cs="Calibri"/>
          <w:i/>
          <w:color w:val="538135" w:themeColor="accent6" w:themeShade="BF"/>
          <w:sz w:val="24"/>
          <w:szCs w:val="24"/>
          <w:lang w:val="en-US"/>
        </w:rPr>
        <w:t>.</w:t>
      </w:r>
      <w:r w:rsidR="00C8799B">
        <w:rPr>
          <w:rFonts w:cs="Calibri"/>
          <w:i/>
          <w:color w:val="538135" w:themeColor="accent6" w:themeShade="BF"/>
          <w:sz w:val="24"/>
          <w:szCs w:val="24"/>
          <w:lang w:val="en-US"/>
        </w:rPr>
        <w:t>’ (DPOA member)</w:t>
      </w:r>
    </w:p>
    <w:p w14:paraId="664742C0" w14:textId="77777777" w:rsidR="00C150DD" w:rsidRPr="00C8799B" w:rsidRDefault="00C150DD" w:rsidP="00C8799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p>
    <w:p w14:paraId="4DD2BB92" w14:textId="6E4B4687" w:rsidR="006F5909" w:rsidRDefault="00C8799B"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lastRenderedPageBreak/>
        <w:t xml:space="preserve">10.6     </w:t>
      </w:r>
      <w:r w:rsidR="00C42F48">
        <w:rPr>
          <w:rFonts w:cs="Calibri"/>
          <w:sz w:val="24"/>
          <w:szCs w:val="24"/>
          <w:lang w:val="en-US"/>
        </w:rPr>
        <w:t xml:space="preserve">For people with disability, on board access paths, </w:t>
      </w:r>
      <w:r w:rsidR="00CE393E">
        <w:rPr>
          <w:rFonts w:cs="Calibri"/>
          <w:sz w:val="24"/>
          <w:szCs w:val="24"/>
          <w:lang w:val="en-US"/>
        </w:rPr>
        <w:t>adequate</w:t>
      </w:r>
      <w:r w:rsidR="00C42F48">
        <w:rPr>
          <w:rFonts w:cs="Calibri"/>
          <w:sz w:val="24"/>
          <w:szCs w:val="24"/>
          <w:lang w:val="en-US"/>
        </w:rPr>
        <w:t xml:space="preserve"> allocated spaces, </w:t>
      </w:r>
      <w:r w:rsidR="00317D34">
        <w:rPr>
          <w:rFonts w:cs="Calibri"/>
          <w:sz w:val="24"/>
          <w:szCs w:val="24"/>
          <w:lang w:val="en-US"/>
        </w:rPr>
        <w:t>poor design and/or inappropriate</w:t>
      </w:r>
      <w:r w:rsidR="00C42F48">
        <w:rPr>
          <w:rFonts w:cs="Calibri"/>
          <w:sz w:val="24"/>
          <w:szCs w:val="24"/>
          <w:lang w:val="en-US"/>
        </w:rPr>
        <w:t xml:space="preserve"> use of boarding ramps remain critical barriers to accessing ferries.  Additionally, </w:t>
      </w:r>
      <w:r w:rsidR="00317D34">
        <w:rPr>
          <w:rFonts w:cs="Calibri"/>
          <w:sz w:val="24"/>
          <w:szCs w:val="24"/>
          <w:lang w:val="en-US"/>
        </w:rPr>
        <w:t>the pontoon and ramp angles can often be too steep at</w:t>
      </w:r>
      <w:r w:rsidR="00C42F48">
        <w:rPr>
          <w:rFonts w:cs="Calibri"/>
          <w:sz w:val="24"/>
          <w:szCs w:val="24"/>
          <w:lang w:val="en-US"/>
        </w:rPr>
        <w:t xml:space="preserve"> ferry </w:t>
      </w:r>
      <w:r w:rsidR="00317D34">
        <w:rPr>
          <w:rFonts w:cs="Calibri"/>
          <w:sz w:val="24"/>
          <w:szCs w:val="24"/>
          <w:lang w:val="en-US"/>
        </w:rPr>
        <w:t xml:space="preserve">terminals, often resulting in wheelchair users being unable to independently board.  </w:t>
      </w:r>
      <w:r w:rsidR="00C42F48">
        <w:rPr>
          <w:rFonts w:cs="Calibri"/>
          <w:sz w:val="24"/>
          <w:szCs w:val="24"/>
          <w:lang w:val="en-US"/>
        </w:rPr>
        <w:t xml:space="preserve">  </w:t>
      </w:r>
    </w:p>
    <w:p w14:paraId="58DD9BCB" w14:textId="27A2F993" w:rsidR="00220A70" w:rsidRDefault="00220A70" w:rsidP="00835C3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i/>
          <w:color w:val="538135" w:themeColor="accent6" w:themeShade="BF"/>
          <w:sz w:val="24"/>
          <w:szCs w:val="24"/>
          <w:lang w:val="en-US"/>
        </w:rPr>
        <w:t>“</w:t>
      </w:r>
      <w:r w:rsidRPr="00EC0592">
        <w:rPr>
          <w:rFonts w:cs="Calibri"/>
          <w:i/>
          <w:color w:val="538135" w:themeColor="accent6" w:themeShade="BF"/>
          <w:sz w:val="24"/>
          <w:szCs w:val="24"/>
          <w:lang w:val="en-US"/>
        </w:rPr>
        <w:t xml:space="preserve">Being a person with vision impairment, I rely on meet and assist services when flying.  This is the most problematic area </w:t>
      </w:r>
      <w:r>
        <w:rPr>
          <w:rFonts w:cs="Calibri"/>
          <w:i/>
          <w:color w:val="538135" w:themeColor="accent6" w:themeShade="BF"/>
          <w:sz w:val="24"/>
          <w:szCs w:val="24"/>
          <w:lang w:val="en-US"/>
        </w:rPr>
        <w:t xml:space="preserve">of </w:t>
      </w:r>
      <w:r w:rsidRPr="00EC0592">
        <w:rPr>
          <w:rFonts w:cs="Calibri"/>
          <w:i/>
          <w:color w:val="538135" w:themeColor="accent6" w:themeShade="BF"/>
          <w:sz w:val="24"/>
          <w:szCs w:val="24"/>
          <w:lang w:val="en-US"/>
        </w:rPr>
        <w:t>travel for me due to the lack of consistency, reliability, and predictability with being able to access the type of service I need</w:t>
      </w:r>
      <w:r>
        <w:rPr>
          <w:rFonts w:cs="Calibri"/>
          <w:i/>
          <w:color w:val="538135" w:themeColor="accent6" w:themeShade="BF"/>
          <w:sz w:val="24"/>
          <w:szCs w:val="24"/>
          <w:lang w:val="en-US"/>
        </w:rPr>
        <w:t>.  This occurs</w:t>
      </w:r>
      <w:r w:rsidRPr="00EC0592">
        <w:rPr>
          <w:rFonts w:cs="Calibri"/>
          <w:i/>
          <w:color w:val="538135" w:themeColor="accent6" w:themeShade="BF"/>
          <w:sz w:val="24"/>
          <w:szCs w:val="24"/>
          <w:lang w:val="en-US"/>
        </w:rPr>
        <w:t xml:space="preserve"> even when using the same carrier </w:t>
      </w:r>
      <w:r>
        <w:rPr>
          <w:rFonts w:cs="Calibri"/>
          <w:i/>
          <w:color w:val="538135" w:themeColor="accent6" w:themeShade="BF"/>
          <w:sz w:val="24"/>
          <w:szCs w:val="24"/>
          <w:lang w:val="en-US"/>
        </w:rPr>
        <w:t>at</w:t>
      </w:r>
      <w:r w:rsidRPr="00EC0592">
        <w:rPr>
          <w:rFonts w:cs="Calibri"/>
          <w:i/>
          <w:color w:val="538135" w:themeColor="accent6" w:themeShade="BF"/>
          <w:sz w:val="24"/>
          <w:szCs w:val="24"/>
          <w:lang w:val="en-US"/>
        </w:rPr>
        <w:t xml:space="preserve"> the same airport</w:t>
      </w:r>
      <w:r>
        <w:rPr>
          <w:rFonts w:cs="Calibri"/>
          <w:i/>
          <w:color w:val="538135" w:themeColor="accent6" w:themeShade="BF"/>
          <w:sz w:val="24"/>
          <w:szCs w:val="24"/>
          <w:lang w:val="en-US"/>
        </w:rPr>
        <w:t>!</w:t>
      </w:r>
      <w:r w:rsidRPr="00EC0592">
        <w:rPr>
          <w:rFonts w:cs="Calibri"/>
          <w:i/>
          <w:color w:val="538135" w:themeColor="accent6" w:themeShade="BF"/>
          <w:sz w:val="24"/>
          <w:szCs w:val="24"/>
          <w:lang w:val="en-US"/>
        </w:rPr>
        <w:t>’  (DPOA member)</w:t>
      </w:r>
    </w:p>
    <w:p w14:paraId="6AA4CEA9" w14:textId="160D4275" w:rsidR="00C8799B" w:rsidRDefault="00C8799B" w:rsidP="00A16434">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10.7     </w:t>
      </w:r>
      <w:r w:rsidR="00317D34">
        <w:rPr>
          <w:rFonts w:cs="Calibri"/>
          <w:sz w:val="24"/>
          <w:szCs w:val="24"/>
          <w:lang w:val="en-US"/>
        </w:rPr>
        <w:t xml:space="preserve">Air travel accessibility remains a significant issue for people with disability.  ‘Two </w:t>
      </w:r>
      <w:proofErr w:type="gramStart"/>
      <w:r w:rsidR="00317D34">
        <w:rPr>
          <w:rFonts w:cs="Calibri"/>
          <w:sz w:val="24"/>
          <w:szCs w:val="24"/>
          <w:lang w:val="en-US"/>
        </w:rPr>
        <w:t>wheelchair</w:t>
      </w:r>
      <w:proofErr w:type="gramEnd"/>
      <w:r w:rsidR="00317D34">
        <w:rPr>
          <w:rFonts w:cs="Calibri"/>
          <w:sz w:val="24"/>
          <w:szCs w:val="24"/>
          <w:lang w:val="en-US"/>
        </w:rPr>
        <w:t xml:space="preserve">’ policies adopted by some </w:t>
      </w:r>
      <w:r w:rsidR="00373CAD">
        <w:rPr>
          <w:rFonts w:cs="Calibri"/>
          <w:sz w:val="24"/>
          <w:szCs w:val="24"/>
          <w:lang w:val="en-US"/>
        </w:rPr>
        <w:t xml:space="preserve">airline fleets, which allow no more than two passengers requiring the use of wheelchairs on a single flight, </w:t>
      </w:r>
      <w:r w:rsidR="00317D34">
        <w:rPr>
          <w:rFonts w:cs="Calibri"/>
          <w:sz w:val="24"/>
          <w:szCs w:val="24"/>
          <w:lang w:val="en-US"/>
        </w:rPr>
        <w:t>are discriminatory</w:t>
      </w:r>
      <w:r w:rsidR="00373CAD">
        <w:rPr>
          <w:rFonts w:cs="Calibri"/>
          <w:sz w:val="24"/>
          <w:szCs w:val="24"/>
          <w:lang w:val="en-US"/>
        </w:rPr>
        <w:t xml:space="preserve"> and unreasonable.  </w:t>
      </w:r>
      <w:r w:rsidR="00317D34">
        <w:rPr>
          <w:rFonts w:cs="Calibri"/>
          <w:sz w:val="24"/>
          <w:szCs w:val="24"/>
          <w:lang w:val="en-US"/>
        </w:rPr>
        <w:t xml:space="preserve"> </w:t>
      </w:r>
      <w:r w:rsidR="00373CAD">
        <w:rPr>
          <w:rFonts w:cs="Calibri"/>
          <w:sz w:val="24"/>
          <w:szCs w:val="24"/>
          <w:lang w:val="en-US"/>
        </w:rPr>
        <w:t xml:space="preserve">Booking processes need to be improved so that wheelchair users know if the ‘two </w:t>
      </w:r>
      <w:proofErr w:type="gramStart"/>
      <w:r w:rsidR="00373CAD">
        <w:rPr>
          <w:rFonts w:cs="Calibri"/>
          <w:sz w:val="24"/>
          <w:szCs w:val="24"/>
          <w:lang w:val="en-US"/>
        </w:rPr>
        <w:t>wheelchair</w:t>
      </w:r>
      <w:proofErr w:type="gramEnd"/>
      <w:r w:rsidR="00373CAD">
        <w:rPr>
          <w:rFonts w:cs="Calibri"/>
          <w:sz w:val="24"/>
          <w:szCs w:val="24"/>
          <w:lang w:val="en-US"/>
        </w:rPr>
        <w:t xml:space="preserve">’ threshold for flights have been reached.  Additionally, the rigidity of some ‘two </w:t>
      </w:r>
      <w:proofErr w:type="gramStart"/>
      <w:r w:rsidR="00373CAD">
        <w:rPr>
          <w:rFonts w:cs="Calibri"/>
          <w:sz w:val="24"/>
          <w:szCs w:val="24"/>
          <w:lang w:val="en-US"/>
        </w:rPr>
        <w:t>wheelchair</w:t>
      </w:r>
      <w:proofErr w:type="gramEnd"/>
      <w:r w:rsidR="00373CAD">
        <w:rPr>
          <w:rFonts w:cs="Calibri"/>
          <w:sz w:val="24"/>
          <w:szCs w:val="24"/>
          <w:lang w:val="en-US"/>
        </w:rPr>
        <w:t>’ airline policies discounts that wheelchair users have varied support o</w:t>
      </w:r>
      <w:r w:rsidR="00E76B85">
        <w:rPr>
          <w:rFonts w:cs="Calibri"/>
          <w:sz w:val="24"/>
          <w:szCs w:val="24"/>
          <w:lang w:val="en-US"/>
        </w:rPr>
        <w:t xml:space="preserve">r accessibility </w:t>
      </w:r>
      <w:r w:rsidR="00373CAD">
        <w:rPr>
          <w:rFonts w:cs="Calibri"/>
          <w:sz w:val="24"/>
          <w:szCs w:val="24"/>
          <w:lang w:val="en-US"/>
        </w:rPr>
        <w:t>needs</w:t>
      </w:r>
      <w:r w:rsidR="00E76B85">
        <w:rPr>
          <w:rFonts w:cs="Calibri"/>
          <w:sz w:val="24"/>
          <w:szCs w:val="24"/>
          <w:lang w:val="en-US"/>
        </w:rPr>
        <w:t>, i.e.</w:t>
      </w:r>
      <w:r w:rsidR="00373CAD">
        <w:rPr>
          <w:rFonts w:cs="Calibri"/>
          <w:sz w:val="24"/>
          <w:szCs w:val="24"/>
          <w:lang w:val="en-US"/>
        </w:rPr>
        <w:t xml:space="preserve"> some passengers travelling with light weight foldable wheelchairs </w:t>
      </w:r>
      <w:r w:rsidR="00E76B85">
        <w:rPr>
          <w:rFonts w:cs="Calibri"/>
          <w:sz w:val="24"/>
          <w:szCs w:val="24"/>
          <w:lang w:val="en-US"/>
        </w:rPr>
        <w:t xml:space="preserve">can </w:t>
      </w:r>
      <w:r w:rsidR="00373CAD">
        <w:rPr>
          <w:rFonts w:cs="Calibri"/>
          <w:sz w:val="24"/>
          <w:szCs w:val="24"/>
          <w:lang w:val="en-US"/>
        </w:rPr>
        <w:t>independently self-transfer between seats</w:t>
      </w:r>
      <w:r w:rsidR="004D745E">
        <w:rPr>
          <w:rFonts w:cs="Calibri"/>
          <w:sz w:val="24"/>
          <w:szCs w:val="24"/>
          <w:lang w:val="en-US"/>
        </w:rPr>
        <w:t xml:space="preserve">.  </w:t>
      </w:r>
    </w:p>
    <w:p w14:paraId="098C2A63" w14:textId="1C590F0F" w:rsidR="00A16434" w:rsidRDefault="00C8799B" w:rsidP="00A16434">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10.8     </w:t>
      </w:r>
      <w:r w:rsidR="004D745E">
        <w:rPr>
          <w:rFonts w:cs="Calibri"/>
          <w:sz w:val="24"/>
          <w:szCs w:val="24"/>
          <w:lang w:val="en-US"/>
        </w:rPr>
        <w:t xml:space="preserve">Policies pertaining to aisle wheelchair </w:t>
      </w:r>
      <w:r>
        <w:rPr>
          <w:rFonts w:cs="Calibri"/>
          <w:sz w:val="24"/>
          <w:szCs w:val="24"/>
          <w:lang w:val="en-US"/>
        </w:rPr>
        <w:t>usage</w:t>
      </w:r>
      <w:r w:rsidR="004D745E">
        <w:rPr>
          <w:rFonts w:cs="Calibri"/>
          <w:sz w:val="24"/>
          <w:szCs w:val="24"/>
          <w:lang w:val="en-US"/>
        </w:rPr>
        <w:t xml:space="preserve"> are also known to be frustrating for people with disability</w:t>
      </w:r>
      <w:r w:rsidR="00E76B85">
        <w:rPr>
          <w:rFonts w:cs="Calibri"/>
          <w:sz w:val="24"/>
          <w:szCs w:val="24"/>
          <w:lang w:val="en-US"/>
        </w:rPr>
        <w:t>.  F</w:t>
      </w:r>
      <w:r w:rsidR="00A16434">
        <w:rPr>
          <w:rFonts w:cs="Calibri"/>
          <w:sz w:val="24"/>
          <w:szCs w:val="24"/>
          <w:lang w:val="en-US"/>
        </w:rPr>
        <w:t>or example, many passengers who utilise wheelchairs or mobility aids are often required to wait long periods sitting in cabin wheelchairs at departure gates, waiting to board.  Many other ongoing issues relating to accessibility of signage, wayfinding, poor curbside assistance</w:t>
      </w:r>
      <w:r w:rsidR="00E76B85">
        <w:rPr>
          <w:rFonts w:cs="Calibri"/>
          <w:sz w:val="24"/>
          <w:szCs w:val="24"/>
          <w:lang w:val="en-US"/>
        </w:rPr>
        <w:t>,</w:t>
      </w:r>
      <w:r w:rsidR="00A16434">
        <w:rPr>
          <w:rFonts w:cs="Calibri"/>
          <w:sz w:val="24"/>
          <w:szCs w:val="24"/>
          <w:lang w:val="en-US"/>
        </w:rPr>
        <w:t xml:space="preserve"> and inconsistent service provision still prevent people with disability from undertaking whole journey’s across air transport.  </w:t>
      </w:r>
    </w:p>
    <w:p w14:paraId="3938B34F" w14:textId="299B1CF0" w:rsidR="00A16434" w:rsidRPr="005629B0" w:rsidRDefault="00A16434" w:rsidP="00A16434">
      <w:pPr>
        <w:pStyle w:val="Heading1"/>
        <w:ind w:hanging="720"/>
      </w:pPr>
      <w:bookmarkStart w:id="12" w:name="_Toc532458967"/>
      <w:r>
        <w:t>Accessibility of Ridesharing</w:t>
      </w:r>
      <w:bookmarkEnd w:id="12"/>
      <w:r>
        <w:t xml:space="preserve">  </w:t>
      </w:r>
    </w:p>
    <w:p w14:paraId="4F43BBF5" w14:textId="77777777" w:rsidR="00A16434" w:rsidRPr="005629B0" w:rsidRDefault="00A16434" w:rsidP="00A16434">
      <w:pPr>
        <w:pBdr>
          <w:bottom w:val="single" w:sz="12" w:space="1" w:color="auto"/>
        </w:pBdr>
        <w:jc w:val="right"/>
        <w:rPr>
          <w:sz w:val="16"/>
          <w:szCs w:val="16"/>
        </w:rPr>
      </w:pPr>
    </w:p>
    <w:p w14:paraId="6EC18939" w14:textId="25739FB3" w:rsidR="00530C43" w:rsidRDefault="00530C43" w:rsidP="00B271A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cs="Calibri"/>
          <w:color w:val="FF0000"/>
          <w:sz w:val="24"/>
          <w:szCs w:val="24"/>
          <w:lang w:val="en-US"/>
        </w:rPr>
      </w:pPr>
      <w:r w:rsidRPr="00530C43">
        <w:rPr>
          <w:rFonts w:cs="Calibri"/>
          <w:i/>
          <w:color w:val="538135" w:themeColor="accent6" w:themeShade="BF"/>
          <w:sz w:val="24"/>
          <w:szCs w:val="24"/>
          <w:lang w:val="en-US"/>
        </w:rPr>
        <w:t>‘I’m discriminated against because I have a guide dog.  Uber don’t let dogs in their cars- it’s absolute rubbish!’</w:t>
      </w:r>
      <w:r>
        <w:rPr>
          <w:rFonts w:cs="Calibri"/>
          <w:i/>
          <w:color w:val="538135" w:themeColor="accent6" w:themeShade="BF"/>
          <w:sz w:val="24"/>
          <w:szCs w:val="24"/>
          <w:lang w:val="en-US"/>
        </w:rPr>
        <w:t xml:space="preserve"> (DPOA member)</w:t>
      </w:r>
    </w:p>
    <w:p w14:paraId="0696ED9F" w14:textId="5AC336E8" w:rsidR="00530C43" w:rsidRDefault="00530C43" w:rsidP="00530C43">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11.1 </w:t>
      </w:r>
      <w:r>
        <w:rPr>
          <w:rFonts w:cs="Calibri"/>
          <w:sz w:val="24"/>
          <w:szCs w:val="24"/>
          <w:lang w:val="en-US"/>
        </w:rPr>
        <w:tab/>
        <w:t>Considering ride-sharing operators and drivers are in effect providing public transport services, they should be held accountable under the DSAPT.  The lack of national regulation, and growth in new modes of ride-sharing services, is already impacting on the sustainability of regular taxi services and wheelchair accessible taxis (WATs).  Many people with disability will continue to rely on these forms of specialist taxi transport in preference to other point to point service providers.  Therefore, it is critical that the national monitoring and regulation of ride-sharing services is covered by DSAPT to ensure of viability of regular taxis and WATs</w:t>
      </w:r>
    </w:p>
    <w:p w14:paraId="0E1E4078" w14:textId="77777777" w:rsidR="00220A70" w:rsidRDefault="00220A70" w:rsidP="00530C43">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
    <w:p w14:paraId="45889D20" w14:textId="74072372" w:rsidR="00ED25CF" w:rsidRDefault="00530C43" w:rsidP="00530C43">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lastRenderedPageBreak/>
        <w:t xml:space="preserve">11.2      Key barriers remain for people with disability when accessing point to point ride-share services.  These barriers need to </w:t>
      </w:r>
      <w:proofErr w:type="gramStart"/>
      <w:r>
        <w:rPr>
          <w:rFonts w:cs="Calibri"/>
          <w:sz w:val="24"/>
          <w:szCs w:val="24"/>
          <w:lang w:val="en-US"/>
        </w:rPr>
        <w:t>addressed</w:t>
      </w:r>
      <w:proofErr w:type="gramEnd"/>
      <w:r>
        <w:rPr>
          <w:rFonts w:cs="Calibri"/>
          <w:sz w:val="24"/>
          <w:szCs w:val="24"/>
          <w:lang w:val="en-US"/>
        </w:rPr>
        <w:t xml:space="preserve"> under the DSAPT</w:t>
      </w:r>
      <w:r w:rsidR="00E76B85">
        <w:rPr>
          <w:rFonts w:cs="Calibri"/>
          <w:sz w:val="24"/>
          <w:szCs w:val="24"/>
          <w:lang w:val="en-US"/>
        </w:rPr>
        <w:t>.  S</w:t>
      </w:r>
      <w:r>
        <w:rPr>
          <w:rFonts w:cs="Calibri"/>
          <w:sz w:val="24"/>
          <w:szCs w:val="24"/>
          <w:lang w:val="en-US"/>
        </w:rPr>
        <w:t xml:space="preserve">uch barriers include but are not limited to: inaccessibility of vehicle, inaccessibility of booking/payment services, lack of driving training, </w:t>
      </w:r>
      <w:r w:rsidR="00E76B85">
        <w:rPr>
          <w:rFonts w:cs="Calibri"/>
          <w:sz w:val="24"/>
          <w:szCs w:val="24"/>
          <w:lang w:val="en-US"/>
        </w:rPr>
        <w:t xml:space="preserve">and </w:t>
      </w:r>
      <w:r>
        <w:rPr>
          <w:rFonts w:cs="Calibri"/>
          <w:sz w:val="24"/>
          <w:szCs w:val="24"/>
          <w:lang w:val="en-US"/>
        </w:rPr>
        <w:t xml:space="preserve">driver’s not accepting guide dogs and/or mobility devices in the vehicle.  </w:t>
      </w:r>
      <w:proofErr w:type="gramStart"/>
      <w:r>
        <w:rPr>
          <w:rFonts w:cs="Calibri"/>
          <w:sz w:val="24"/>
          <w:szCs w:val="24"/>
          <w:lang w:val="en-US"/>
        </w:rPr>
        <w:t>Also</w:t>
      </w:r>
      <w:proofErr w:type="gramEnd"/>
      <w:r w:rsidR="00E76B85">
        <w:rPr>
          <w:rFonts w:cs="Calibri"/>
          <w:sz w:val="24"/>
          <w:szCs w:val="24"/>
          <w:lang w:val="en-US"/>
        </w:rPr>
        <w:t xml:space="preserve"> some</w:t>
      </w:r>
      <w:r>
        <w:rPr>
          <w:rFonts w:cs="Calibri"/>
          <w:sz w:val="24"/>
          <w:szCs w:val="24"/>
          <w:lang w:val="en-US"/>
        </w:rPr>
        <w:t xml:space="preserve"> people with disability</w:t>
      </w:r>
      <w:r w:rsidR="00E76B85">
        <w:rPr>
          <w:rFonts w:cs="Calibri"/>
          <w:sz w:val="24"/>
          <w:szCs w:val="24"/>
          <w:lang w:val="en-US"/>
        </w:rPr>
        <w:t>,</w:t>
      </w:r>
      <w:r>
        <w:rPr>
          <w:rFonts w:cs="Calibri"/>
          <w:sz w:val="24"/>
          <w:szCs w:val="24"/>
          <w:lang w:val="en-US"/>
        </w:rPr>
        <w:t xml:space="preserve"> such as those with low vision</w:t>
      </w:r>
      <w:r w:rsidR="00E76B85">
        <w:rPr>
          <w:rFonts w:cs="Calibri"/>
          <w:sz w:val="24"/>
          <w:szCs w:val="24"/>
          <w:lang w:val="en-US"/>
        </w:rPr>
        <w:t>,</w:t>
      </w:r>
      <w:r>
        <w:rPr>
          <w:rFonts w:cs="Calibri"/>
          <w:sz w:val="24"/>
          <w:szCs w:val="24"/>
          <w:lang w:val="en-US"/>
        </w:rPr>
        <w:t xml:space="preserve"> have difficulty with identifying a ride-share vehicle, which is both an access and safety issue.</w:t>
      </w:r>
    </w:p>
    <w:p w14:paraId="75FBE585" w14:textId="1A54CF46" w:rsidR="00530C43" w:rsidRDefault="00530C43" w:rsidP="00ED25C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color w:val="FF0000"/>
          <w:sz w:val="24"/>
          <w:szCs w:val="24"/>
          <w:lang w:val="en-US"/>
        </w:rPr>
      </w:pPr>
      <w:r>
        <w:rPr>
          <w:rFonts w:cs="Calibri"/>
          <w:sz w:val="24"/>
          <w:szCs w:val="24"/>
          <w:lang w:val="en-US"/>
        </w:rPr>
        <w:t>11.3      Point to point and ride-share transport operators should be required to address the range of access barriers to their services</w:t>
      </w:r>
      <w:r w:rsidR="00E76B85">
        <w:rPr>
          <w:rFonts w:cs="Calibri"/>
          <w:sz w:val="24"/>
          <w:szCs w:val="24"/>
          <w:lang w:val="en-US"/>
        </w:rPr>
        <w:t>;</w:t>
      </w:r>
      <w:r>
        <w:rPr>
          <w:rFonts w:cs="Calibri"/>
          <w:sz w:val="24"/>
          <w:szCs w:val="24"/>
          <w:lang w:val="en-US"/>
        </w:rPr>
        <w:t xml:space="preserve"> in addition, these point to point transport service providers should be required to ensure their drivers are appropriately train</w:t>
      </w:r>
      <w:r w:rsidR="00E76B85">
        <w:rPr>
          <w:rFonts w:cs="Calibri"/>
          <w:sz w:val="24"/>
          <w:szCs w:val="24"/>
          <w:lang w:val="en-US"/>
        </w:rPr>
        <w:t xml:space="preserve">ed </w:t>
      </w:r>
      <w:r>
        <w:rPr>
          <w:rFonts w:cs="Calibri"/>
          <w:sz w:val="24"/>
          <w:szCs w:val="24"/>
          <w:lang w:val="en-US"/>
        </w:rPr>
        <w:t xml:space="preserve">in communicating and assisting passengers with disability.  </w:t>
      </w:r>
    </w:p>
    <w:p w14:paraId="7DD4DC3D" w14:textId="0A7DB8BA" w:rsidR="00546BE5" w:rsidRPr="005629B0" w:rsidRDefault="0030500D" w:rsidP="00546BE5">
      <w:pPr>
        <w:pStyle w:val="Heading1"/>
        <w:ind w:hanging="720"/>
      </w:pPr>
      <w:bookmarkStart w:id="13" w:name="_Toc532458968"/>
      <w:r>
        <w:t xml:space="preserve">National </w:t>
      </w:r>
      <w:r w:rsidR="008C5D90">
        <w:t>Consistency</w:t>
      </w:r>
      <w:r>
        <w:t xml:space="preserve"> across </w:t>
      </w:r>
      <w:r w:rsidR="008C5D90">
        <w:t>jurisdictions</w:t>
      </w:r>
      <w:bookmarkEnd w:id="13"/>
      <w:r>
        <w:t xml:space="preserve"> </w:t>
      </w:r>
    </w:p>
    <w:p w14:paraId="6A11FC21" w14:textId="77777777" w:rsidR="00546BE5" w:rsidRPr="005629B0" w:rsidRDefault="00546BE5" w:rsidP="00546BE5">
      <w:pPr>
        <w:pBdr>
          <w:bottom w:val="single" w:sz="12" w:space="1" w:color="auto"/>
        </w:pBdr>
        <w:jc w:val="right"/>
        <w:rPr>
          <w:sz w:val="16"/>
          <w:szCs w:val="16"/>
        </w:rPr>
      </w:pPr>
    </w:p>
    <w:p w14:paraId="13E88B28" w14:textId="50816C9A" w:rsidR="008533EF" w:rsidRDefault="008533EF" w:rsidP="00546BE5">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FF0000"/>
          <w:sz w:val="24"/>
          <w:szCs w:val="24"/>
          <w:lang w:val="en-US"/>
        </w:rPr>
      </w:pPr>
    </w:p>
    <w:p w14:paraId="25AB3412" w14:textId="02CBDD61" w:rsidR="008533EF" w:rsidRDefault="008533EF"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roofErr w:type="gramStart"/>
      <w:r>
        <w:rPr>
          <w:rFonts w:cs="Calibri"/>
          <w:sz w:val="24"/>
          <w:szCs w:val="24"/>
          <w:lang w:val="en-US"/>
        </w:rPr>
        <w:t xml:space="preserve">12.1  </w:t>
      </w:r>
      <w:r>
        <w:rPr>
          <w:rFonts w:cs="Calibri"/>
          <w:sz w:val="24"/>
          <w:szCs w:val="24"/>
          <w:lang w:val="en-US"/>
        </w:rPr>
        <w:tab/>
      </w:r>
      <w:proofErr w:type="gramEnd"/>
      <w:r>
        <w:rPr>
          <w:rFonts w:cs="Calibri"/>
          <w:sz w:val="24"/>
          <w:szCs w:val="24"/>
          <w:lang w:val="en-US"/>
        </w:rPr>
        <w:t xml:space="preserve">There remains a great deal of inconsistencies of taxi subsidies across </w:t>
      </w:r>
      <w:r w:rsidR="00E76B85">
        <w:rPr>
          <w:rFonts w:cs="Calibri"/>
          <w:sz w:val="24"/>
          <w:szCs w:val="24"/>
          <w:lang w:val="en-US"/>
        </w:rPr>
        <w:t>S</w:t>
      </w:r>
      <w:r>
        <w:rPr>
          <w:rFonts w:cs="Calibri"/>
          <w:sz w:val="24"/>
          <w:szCs w:val="24"/>
          <w:lang w:val="en-US"/>
        </w:rPr>
        <w:t xml:space="preserve">tates and </w:t>
      </w:r>
      <w:r w:rsidR="00E76B85">
        <w:rPr>
          <w:rFonts w:cs="Calibri"/>
          <w:sz w:val="24"/>
          <w:szCs w:val="24"/>
          <w:lang w:val="en-US"/>
        </w:rPr>
        <w:t>T</w:t>
      </w:r>
      <w:r>
        <w:rPr>
          <w:rFonts w:cs="Calibri"/>
          <w:sz w:val="24"/>
          <w:szCs w:val="24"/>
          <w:lang w:val="en-US"/>
        </w:rPr>
        <w:t xml:space="preserve">erritories, with some </w:t>
      </w:r>
      <w:r w:rsidR="00E76B85">
        <w:rPr>
          <w:rFonts w:cs="Calibri"/>
          <w:sz w:val="24"/>
          <w:szCs w:val="24"/>
          <w:lang w:val="en-US"/>
        </w:rPr>
        <w:t>S</w:t>
      </w:r>
      <w:r>
        <w:rPr>
          <w:rFonts w:cs="Calibri"/>
          <w:sz w:val="24"/>
          <w:szCs w:val="24"/>
          <w:lang w:val="en-US"/>
        </w:rPr>
        <w:t xml:space="preserve">tates </w:t>
      </w:r>
      <w:r w:rsidR="00E76B85">
        <w:rPr>
          <w:rFonts w:cs="Calibri"/>
          <w:sz w:val="24"/>
          <w:szCs w:val="24"/>
          <w:lang w:val="en-US"/>
        </w:rPr>
        <w:t xml:space="preserve">further </w:t>
      </w:r>
      <w:r>
        <w:rPr>
          <w:rFonts w:cs="Calibri"/>
          <w:sz w:val="24"/>
          <w:szCs w:val="24"/>
          <w:lang w:val="en-US"/>
        </w:rPr>
        <w:t>considering cashing in subsides for those people participating in the National Disability Insurance Scheme (NDIS).  Although interstate subsidies exist, people with disability have reported great difficulty using these subsidies when travelling interstate, because driver’s claim they are either unaware of the system or no longer accept interstate subsidies; this is exacerbated by there being different systems across states e.g</w:t>
      </w:r>
      <w:r w:rsidR="00E76B85">
        <w:rPr>
          <w:rFonts w:cs="Calibri"/>
          <w:sz w:val="24"/>
          <w:szCs w:val="24"/>
          <w:lang w:val="en-US"/>
        </w:rPr>
        <w:t>.</w:t>
      </w:r>
      <w:r>
        <w:rPr>
          <w:rFonts w:cs="Calibri"/>
          <w:sz w:val="24"/>
          <w:szCs w:val="24"/>
          <w:lang w:val="en-US"/>
        </w:rPr>
        <w:t xml:space="preserve"> NSW uses a voucher system, Victoria uses a card system. </w:t>
      </w:r>
    </w:p>
    <w:p w14:paraId="33F94C44" w14:textId="77777777" w:rsidR="008533EF" w:rsidRDefault="008533EF"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12. 2    Inconsistencies also arrive from inaccessible payment systems, and the DSAPT needs to address these.  Payment systems pose a direct barrier to accessing public transport.    A full range of payment options should be provided e.g. cash, card, smartphone, over the phone payments, and ‘in person’ at stations.  In addition to meeting access requirements, payment systems must be transparent and be able to be tracked by passengers with disability.  </w:t>
      </w:r>
    </w:p>
    <w:p w14:paraId="7DEF893E" w14:textId="6195D1E3" w:rsidR="008533EF" w:rsidRDefault="008533EF"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12.3      A payment system that relies solely on the internet or smartphone technology will not be </w:t>
      </w:r>
      <w:r w:rsidR="003265CD">
        <w:rPr>
          <w:rFonts w:cs="Calibri"/>
          <w:sz w:val="24"/>
          <w:szCs w:val="24"/>
          <w:lang w:val="en-US"/>
        </w:rPr>
        <w:t xml:space="preserve">accessible </w:t>
      </w:r>
      <w:r>
        <w:rPr>
          <w:rFonts w:cs="Calibri"/>
          <w:sz w:val="24"/>
          <w:szCs w:val="24"/>
          <w:lang w:val="en-US"/>
        </w:rPr>
        <w:t xml:space="preserve">for many people with disability, nor will a system that requires payment by credit or debit card.  </w:t>
      </w:r>
    </w:p>
    <w:p w14:paraId="5137A5CB" w14:textId="1E7728BC" w:rsidR="006543E9" w:rsidRDefault="008533EF"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12.4      DSAPT needs to provide for a range of payment options that suit the varied accessibility and financial needs of people with disability </w:t>
      </w:r>
    </w:p>
    <w:p w14:paraId="5C626779" w14:textId="482CB1A8" w:rsidR="00220A70" w:rsidRDefault="00220A70"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
    <w:p w14:paraId="55A663AF" w14:textId="77777777" w:rsidR="00220A70" w:rsidRDefault="00220A70"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i/>
          <w:color w:val="538135" w:themeColor="accent6" w:themeShade="BF"/>
          <w:sz w:val="24"/>
          <w:szCs w:val="24"/>
          <w:lang w:val="en-US"/>
        </w:rPr>
      </w:pPr>
      <w:r w:rsidRPr="00220A70">
        <w:rPr>
          <w:rFonts w:cs="Calibri"/>
          <w:i/>
          <w:color w:val="538135" w:themeColor="accent6" w:themeShade="BF"/>
          <w:sz w:val="24"/>
          <w:szCs w:val="24"/>
          <w:lang w:val="en-US"/>
        </w:rPr>
        <w:t>‘I applied for transport support from the NDIS but was deemed ineligible’ (DPOA member)</w:t>
      </w:r>
    </w:p>
    <w:p w14:paraId="75A853DE" w14:textId="77777777" w:rsidR="00220A70" w:rsidRDefault="00220A70" w:rsidP="008533E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
    <w:p w14:paraId="52B45F37" w14:textId="54B49964" w:rsidR="00C33EA8" w:rsidRPr="005629B0" w:rsidRDefault="00C33EA8" w:rsidP="00C33EA8">
      <w:pPr>
        <w:pStyle w:val="Heading1"/>
        <w:ind w:hanging="720"/>
      </w:pPr>
      <w:bookmarkStart w:id="14" w:name="_Toc532458969"/>
      <w:r>
        <w:lastRenderedPageBreak/>
        <w:t>Affordability of Public Transport</w:t>
      </w:r>
      <w:bookmarkEnd w:id="14"/>
      <w:r>
        <w:t xml:space="preserve"> </w:t>
      </w:r>
    </w:p>
    <w:p w14:paraId="6CB5B232" w14:textId="77777777" w:rsidR="00C33EA8" w:rsidRPr="005629B0" w:rsidRDefault="00C33EA8" w:rsidP="00C33EA8">
      <w:pPr>
        <w:pBdr>
          <w:bottom w:val="single" w:sz="12" w:space="1" w:color="auto"/>
        </w:pBdr>
        <w:jc w:val="right"/>
        <w:rPr>
          <w:sz w:val="16"/>
          <w:szCs w:val="16"/>
        </w:rPr>
      </w:pPr>
    </w:p>
    <w:p w14:paraId="03E83A41" w14:textId="4D4C4461" w:rsidR="00A9524C" w:rsidRDefault="00A9524C"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jc w:val="center"/>
        <w:rPr>
          <w:rFonts w:cs="Calibri"/>
          <w:sz w:val="24"/>
          <w:szCs w:val="24"/>
          <w:lang w:val="en-US"/>
        </w:rPr>
      </w:pPr>
      <w:r w:rsidRPr="00220A70">
        <w:rPr>
          <w:rFonts w:cs="Calibri"/>
          <w:i/>
          <w:color w:val="538135" w:themeColor="accent6" w:themeShade="BF"/>
          <w:sz w:val="24"/>
          <w:szCs w:val="24"/>
          <w:lang w:val="en-US"/>
        </w:rPr>
        <w:t>‘My transport funds don’t match the cost of living in Sydney</w:t>
      </w:r>
      <w:r w:rsidR="00220A70" w:rsidRPr="00220A70">
        <w:rPr>
          <w:rFonts w:cs="Calibri"/>
          <w:i/>
          <w:color w:val="538135" w:themeColor="accent6" w:themeShade="BF"/>
          <w:sz w:val="24"/>
          <w:szCs w:val="24"/>
          <w:lang w:val="en-US"/>
        </w:rPr>
        <w:t>’ (DPOA member)</w:t>
      </w:r>
    </w:p>
    <w:p w14:paraId="4555DF14" w14:textId="04A33300" w:rsidR="00C4657B" w:rsidRDefault="00C4657B" w:rsidP="00C4657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proofErr w:type="gramStart"/>
      <w:r>
        <w:rPr>
          <w:rFonts w:cs="Calibri"/>
          <w:sz w:val="24"/>
          <w:szCs w:val="24"/>
          <w:lang w:val="en-US"/>
        </w:rPr>
        <w:t xml:space="preserve">13.1  </w:t>
      </w:r>
      <w:r>
        <w:rPr>
          <w:rFonts w:cs="Calibri"/>
          <w:sz w:val="24"/>
          <w:szCs w:val="24"/>
          <w:lang w:val="en-US"/>
        </w:rPr>
        <w:tab/>
      </w:r>
      <w:proofErr w:type="gramEnd"/>
      <w:r>
        <w:rPr>
          <w:rFonts w:cs="Calibri"/>
          <w:sz w:val="24"/>
          <w:szCs w:val="24"/>
          <w:lang w:val="en-US"/>
        </w:rPr>
        <w:t xml:space="preserve">Considering people with disability are more likely to live in poverty, be unemployed, underemployed, or work in </w:t>
      </w:r>
      <w:proofErr w:type="spellStart"/>
      <w:r>
        <w:rPr>
          <w:rFonts w:cs="Calibri"/>
          <w:sz w:val="24"/>
          <w:szCs w:val="24"/>
          <w:lang w:val="en-US"/>
        </w:rPr>
        <w:t>casualised</w:t>
      </w:r>
      <w:proofErr w:type="spellEnd"/>
      <w:r>
        <w:rPr>
          <w:rFonts w:cs="Calibri"/>
          <w:sz w:val="24"/>
          <w:szCs w:val="24"/>
          <w:lang w:val="en-US"/>
        </w:rPr>
        <w:t xml:space="preserve"> or low-wage position, the financial affordability of public transport remains a significant barrier. </w:t>
      </w:r>
    </w:p>
    <w:p w14:paraId="0A5BCD59" w14:textId="225C4939" w:rsidR="00C4657B" w:rsidRDefault="00C4657B" w:rsidP="00C4657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13.2      Affordability of transport continues to be a key barrier to social and economic participation for many people with disability who, because of the inaccessibility of other public transport options, rely on the use of either private vehicles, point to point services and taxis for their transport needs</w:t>
      </w:r>
    </w:p>
    <w:p w14:paraId="2C69D09D" w14:textId="133105CD" w:rsidR="00C4657B" w:rsidRDefault="00C4657B"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13.3      Most states and territories offer some forms of taxi subsidy scheme, whereby a proportion of the taxi fare is subsidies, which plays a critical role in addressing financial barriers to public transport.  Nonetheless, although vital, these subsidy schemes only slight ease the transport cost pressures experienced by people with disability.   Subsequently, people with disability are forced to prioritise their transport needs due to limited resources.  The DSAPT, as the regulatory framework for accessible public transport, must </w:t>
      </w:r>
      <w:proofErr w:type="gramStart"/>
      <w:r>
        <w:rPr>
          <w:rFonts w:cs="Calibri"/>
          <w:sz w:val="24"/>
          <w:szCs w:val="24"/>
          <w:lang w:val="en-US"/>
        </w:rPr>
        <w:t>take into account</w:t>
      </w:r>
      <w:proofErr w:type="gramEnd"/>
      <w:r>
        <w:rPr>
          <w:rFonts w:cs="Calibri"/>
          <w:sz w:val="24"/>
          <w:szCs w:val="24"/>
          <w:lang w:val="en-US"/>
        </w:rPr>
        <w:t xml:space="preserve"> financial and adorability barrier to public transport, including the availability of incentives, subsidies and concessional or free fares.  </w:t>
      </w:r>
    </w:p>
    <w:p w14:paraId="7274E82E" w14:textId="6B236FA2" w:rsidR="00C4657B" w:rsidRDefault="00C4657B" w:rsidP="00C4657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13.</w:t>
      </w:r>
      <w:r w:rsidR="00220A70">
        <w:rPr>
          <w:rFonts w:cs="Calibri"/>
          <w:sz w:val="24"/>
          <w:szCs w:val="24"/>
          <w:lang w:val="en-US"/>
        </w:rPr>
        <w:t>4</w:t>
      </w:r>
      <w:r>
        <w:rPr>
          <w:rFonts w:cs="Calibri"/>
          <w:sz w:val="24"/>
          <w:szCs w:val="24"/>
          <w:lang w:val="en-US"/>
        </w:rPr>
        <w:t xml:space="preserve">      Financial affordability regarding transport for people with disability is further compounded by changes being brought about with the roll out of the NDIS.  Many people with disability in the NDIS have indicated that their transport needs are not being met within their plan, either because of the complexities of predicting and budgeting for the transport needs in advance, and/or the allocated transport funds in their plans are not adequate or less than what they previously received. </w:t>
      </w:r>
    </w:p>
    <w:p w14:paraId="09FC220D" w14:textId="0F44DF54" w:rsidR="00C4657B" w:rsidRDefault="00C4657B" w:rsidP="00C4657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13.</w:t>
      </w:r>
      <w:r w:rsidR="00220A70">
        <w:rPr>
          <w:rFonts w:cs="Calibri"/>
          <w:sz w:val="24"/>
          <w:szCs w:val="24"/>
          <w:lang w:val="en-US"/>
        </w:rPr>
        <w:t>5</w:t>
      </w:r>
      <w:r>
        <w:rPr>
          <w:rFonts w:cs="Calibri"/>
          <w:sz w:val="24"/>
          <w:szCs w:val="24"/>
          <w:lang w:val="en-US"/>
        </w:rPr>
        <w:t xml:space="preserve">    NDIS participants are required to predict what level of support they will require for future participation needs in order to include appropriate funding for transport in their NDIS plan.  This becomes difficult when considering a person’s transport requirements may fluctuate over time and on the reason for travel.  For example, travel to regular employment is likely to be more predictable than travel to social outings or accessing vital government services.    Participants are often forced to choose between funding for economic participation, and other essential areas of life, such as access to medical and health services, over actively participating in social and community activities.  </w:t>
      </w:r>
    </w:p>
    <w:p w14:paraId="572DAA97" w14:textId="6E1ED937" w:rsidR="00C33EA8" w:rsidRDefault="00C4657B" w:rsidP="00C4657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13.</w:t>
      </w:r>
      <w:r w:rsidR="00220A70">
        <w:rPr>
          <w:rFonts w:cs="Calibri"/>
          <w:sz w:val="24"/>
          <w:szCs w:val="24"/>
          <w:lang w:val="en-US"/>
        </w:rPr>
        <w:t>6</w:t>
      </w:r>
      <w:r>
        <w:rPr>
          <w:rFonts w:cs="Calibri"/>
          <w:sz w:val="24"/>
          <w:szCs w:val="24"/>
          <w:lang w:val="en-US"/>
        </w:rPr>
        <w:t xml:space="preserve">    The impact of the NDIS rollout on the national mobility allowance and state taxi subsidy systems result in some people with less supports for transport than they require; this is particularly the case for people with disability who lost access to the mobility allowance or state-based subsidies who are not NDIS eligible.  </w:t>
      </w:r>
    </w:p>
    <w:p w14:paraId="63361ACE" w14:textId="795F09F1" w:rsidR="00C32A45" w:rsidRPr="005629B0" w:rsidRDefault="00C32A45" w:rsidP="00C32A45">
      <w:pPr>
        <w:pStyle w:val="Heading1"/>
        <w:ind w:hanging="720"/>
      </w:pPr>
      <w:bookmarkStart w:id="15" w:name="_Toc532458970"/>
      <w:r>
        <w:lastRenderedPageBreak/>
        <w:t xml:space="preserve">Equivalent Access </w:t>
      </w:r>
      <w:r w:rsidR="00046907">
        <w:t>and Unjustifiable Hardship</w:t>
      </w:r>
      <w:bookmarkEnd w:id="15"/>
      <w:r w:rsidR="00046907">
        <w:t xml:space="preserve"> </w:t>
      </w:r>
    </w:p>
    <w:p w14:paraId="2DAF46B3" w14:textId="77777777" w:rsidR="00C32A45" w:rsidRPr="005629B0" w:rsidRDefault="00C32A45" w:rsidP="00C32A45">
      <w:pPr>
        <w:pBdr>
          <w:bottom w:val="single" w:sz="12" w:space="1" w:color="auto"/>
        </w:pBdr>
        <w:jc w:val="right"/>
        <w:rPr>
          <w:sz w:val="16"/>
          <w:szCs w:val="16"/>
        </w:rPr>
      </w:pPr>
    </w:p>
    <w:p w14:paraId="46EAB502" w14:textId="1C852AFE" w:rsidR="00ED33A3" w:rsidRDefault="00ED33A3" w:rsidP="00C32A45">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lang w:val="en-US"/>
        </w:rPr>
      </w:pPr>
    </w:p>
    <w:p w14:paraId="10B1E1B3" w14:textId="77777777" w:rsidR="00D208BB" w:rsidRDefault="00D208BB" w:rsidP="00D208B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14.1     Currently, there is too little rigor around process regarding Equivalent Access or Unjustifiable Hardship.  </w:t>
      </w:r>
    </w:p>
    <w:p w14:paraId="132C52F1" w14:textId="1658AACC" w:rsidR="00D208BB" w:rsidRDefault="00D208BB" w:rsidP="00D208B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14.2      Transport operators, designers, builders, or asset owners are reluctant to explore Equivalent Access solutions due to the </w:t>
      </w:r>
      <w:r w:rsidR="00433E2C">
        <w:rPr>
          <w:rFonts w:cs="Calibri"/>
          <w:sz w:val="24"/>
          <w:szCs w:val="24"/>
          <w:lang w:val="en-US"/>
        </w:rPr>
        <w:t>perceived</w:t>
      </w:r>
      <w:r>
        <w:rPr>
          <w:rFonts w:cs="Calibri"/>
          <w:sz w:val="24"/>
          <w:szCs w:val="24"/>
          <w:lang w:val="en-US"/>
        </w:rPr>
        <w:t xml:space="preserve"> risk that the outcomes may not be DSAPT compliant.  However, if the correct process is followed as </w:t>
      </w:r>
      <w:r w:rsidR="00433E2C">
        <w:rPr>
          <w:rFonts w:cs="Calibri"/>
          <w:sz w:val="24"/>
          <w:szCs w:val="24"/>
          <w:lang w:val="en-US"/>
        </w:rPr>
        <w:t>defined</w:t>
      </w:r>
      <w:r>
        <w:rPr>
          <w:rFonts w:cs="Calibri"/>
          <w:sz w:val="24"/>
          <w:szCs w:val="24"/>
          <w:lang w:val="en-US"/>
        </w:rPr>
        <w:t xml:space="preserve"> by the DSAPT, Equivalent Access solutions are a </w:t>
      </w:r>
      <w:r w:rsidR="00C20CF7">
        <w:rPr>
          <w:rFonts w:cs="Calibri"/>
          <w:sz w:val="24"/>
          <w:szCs w:val="24"/>
          <w:lang w:val="en-US"/>
        </w:rPr>
        <w:t>performance-based</w:t>
      </w:r>
      <w:r>
        <w:rPr>
          <w:rFonts w:cs="Calibri"/>
          <w:sz w:val="24"/>
          <w:szCs w:val="24"/>
          <w:lang w:val="en-US"/>
        </w:rPr>
        <w:t xml:space="preserve"> approach that is fully DSAPT compliant. </w:t>
      </w:r>
    </w:p>
    <w:p w14:paraId="2676A2E5" w14:textId="77777777" w:rsidR="00D208BB" w:rsidRDefault="00D208BB" w:rsidP="00D208B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14.3      Uncertainty of DSAPT compliance sees designers, asset owners, operators or their legal representatives reluctant to explore Equivalent Access solutions.  Subsequently, research or meaningful consultation with people with disability is avoided, resulting in the denial of accessibility equivalent alternatives for people with disability</w:t>
      </w:r>
    </w:p>
    <w:p w14:paraId="72321C00" w14:textId="4517AE2C" w:rsidR="00D208BB" w:rsidRPr="007C2EAB" w:rsidRDefault="00D208BB" w:rsidP="00433E2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14.4     Rather than limit accessibility through risk aversion, the DSAPT needs to strengthen the Equivalent Access process; a process that directs asset owners to meaningfully engage with people with disability and the disability advocacy sector </w:t>
      </w:r>
      <w:proofErr w:type="gramStart"/>
      <w:r>
        <w:rPr>
          <w:rFonts w:cs="Calibri"/>
          <w:sz w:val="24"/>
          <w:szCs w:val="24"/>
          <w:lang w:val="en-US"/>
        </w:rPr>
        <w:t>in an effort to</w:t>
      </w:r>
      <w:proofErr w:type="gramEnd"/>
      <w:r>
        <w:rPr>
          <w:rFonts w:cs="Calibri"/>
          <w:sz w:val="24"/>
          <w:szCs w:val="24"/>
          <w:lang w:val="en-US"/>
        </w:rPr>
        <w:t xml:space="preserve"> reach mutually agreeable solutions ensures Equivalent Access solutions are compliant and provide accessibility outcomes for people with disability.  </w:t>
      </w:r>
      <w:r w:rsidR="00C4657B">
        <w:rPr>
          <w:rFonts w:cs="Calibri"/>
          <w:sz w:val="24"/>
          <w:szCs w:val="24"/>
          <w:lang w:val="en-US"/>
        </w:rPr>
        <w:t xml:space="preserve">    </w:t>
      </w:r>
    </w:p>
    <w:p w14:paraId="6B5D134D" w14:textId="5F1BF1D3" w:rsidR="00546BE5" w:rsidRPr="005629B0" w:rsidRDefault="00447781" w:rsidP="00546BE5">
      <w:pPr>
        <w:pStyle w:val="Heading1"/>
        <w:ind w:hanging="720"/>
      </w:pPr>
      <w:bookmarkStart w:id="16" w:name="_Toc532458971"/>
      <w:r>
        <w:t xml:space="preserve">A </w:t>
      </w:r>
      <w:r w:rsidR="00433E2C">
        <w:t>S</w:t>
      </w:r>
      <w:r>
        <w:t xml:space="preserve">trong </w:t>
      </w:r>
      <w:r w:rsidR="00C33EA8">
        <w:t>Reporting Framework</w:t>
      </w:r>
      <w:bookmarkEnd w:id="16"/>
      <w:r w:rsidR="00C33EA8">
        <w:t xml:space="preserve"> </w:t>
      </w:r>
    </w:p>
    <w:p w14:paraId="6CBA69C1" w14:textId="77777777" w:rsidR="00546BE5" w:rsidRPr="005629B0" w:rsidRDefault="00546BE5" w:rsidP="00546BE5">
      <w:pPr>
        <w:pBdr>
          <w:bottom w:val="single" w:sz="12" w:space="1" w:color="auto"/>
        </w:pBdr>
        <w:jc w:val="right"/>
        <w:rPr>
          <w:sz w:val="16"/>
          <w:szCs w:val="16"/>
        </w:rPr>
      </w:pPr>
    </w:p>
    <w:p w14:paraId="2833B0B3" w14:textId="77777777" w:rsidR="00D5271F" w:rsidRDefault="00D5271F" w:rsidP="00D527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15.1 </w:t>
      </w:r>
      <w:r>
        <w:rPr>
          <w:rFonts w:cs="Calibri"/>
          <w:sz w:val="24"/>
          <w:szCs w:val="24"/>
          <w:lang w:val="en-US"/>
        </w:rPr>
        <w:tab/>
        <w:t xml:space="preserve"> States and Territories are struggling to achieve minimum DSAPT compliance benchmarks.  Subsequently, time extensions or exemptions are becoming common practice at the detriment of people with disability</w:t>
      </w:r>
    </w:p>
    <w:p w14:paraId="620E7F0B" w14:textId="77777777" w:rsidR="00D5271F" w:rsidRDefault="00D5271F" w:rsidP="00D527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15.2 </w:t>
      </w:r>
      <w:proofErr w:type="gramStart"/>
      <w:r>
        <w:rPr>
          <w:rFonts w:cs="Calibri"/>
          <w:sz w:val="24"/>
          <w:szCs w:val="24"/>
          <w:lang w:val="en-US"/>
        </w:rPr>
        <w:t xml:space="preserve">   ‘</w:t>
      </w:r>
      <w:proofErr w:type="gramEnd"/>
      <w:r>
        <w:rPr>
          <w:rFonts w:cs="Calibri"/>
          <w:sz w:val="24"/>
          <w:szCs w:val="24"/>
          <w:lang w:val="en-US"/>
        </w:rPr>
        <w:t xml:space="preserve">Inclusive and Accessible Communities’ is a listed pillar of the National Disability Strategy, the key national framework for fully implementing the CRDP across Australia- yet, there is no real action plan for driving public transport accessibility across jurisdictions </w:t>
      </w:r>
    </w:p>
    <w:p w14:paraId="612CB5CA" w14:textId="6BDF9B39" w:rsidR="00D5271F" w:rsidRDefault="00D5271F" w:rsidP="00D527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15.3     The Council of Australian Governments (COAG) Transport and Infrastructure Council has a broad remit but is not tasked or resourced with facilitating or monitoring accessible public transport agendas.  Therefore, there is no independent, state/territory or Commonwealth mechanism that is responsible for driving DSAPT compliance and accessible whole of journey experiences for people with disability.  </w:t>
      </w:r>
    </w:p>
    <w:p w14:paraId="0B46FCB3" w14:textId="77777777" w:rsidR="00D5271F" w:rsidRDefault="00D5271F" w:rsidP="00D527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15.4      There is a need for ‘Whole of Journey Access Audit’ regulatory function, or something very similar, to exist at a state/territory level, tasked with overseeing and </w:t>
      </w:r>
      <w:r>
        <w:rPr>
          <w:rFonts w:cs="Calibri"/>
          <w:sz w:val="24"/>
          <w:szCs w:val="24"/>
          <w:lang w:val="en-US"/>
        </w:rPr>
        <w:lastRenderedPageBreak/>
        <w:t xml:space="preserve">monitoring against each jurisdiction and their plan to achieve full DSAPT compliance.  This work would directly stem from- and feed back into- a national transport action plan that would sit under and align with the priorities within the National Disability Strategy.  </w:t>
      </w:r>
    </w:p>
    <w:p w14:paraId="3D590B3C" w14:textId="77777777" w:rsidR="00D5271F" w:rsidRDefault="00D5271F" w:rsidP="00D5271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15.5      The Whole of Journey Audit function could be responsible for:</w:t>
      </w:r>
    </w:p>
    <w:p w14:paraId="1C10DD15" w14:textId="77777777" w:rsidR="00D5271F" w:rsidRPr="00A47AE8" w:rsidRDefault="00D5271F" w:rsidP="00D5271F">
      <w:pPr>
        <w:pStyle w:val="ListParagraph"/>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sidRPr="00A47AE8">
        <w:rPr>
          <w:rFonts w:cs="Calibri"/>
          <w:sz w:val="24"/>
          <w:szCs w:val="24"/>
          <w:lang w:val="en-US"/>
        </w:rPr>
        <w:t>Working with the state/territory Government and people with disability to develop reasonable, achievable, and deliverable transport accessibility action plans</w:t>
      </w:r>
    </w:p>
    <w:p w14:paraId="4DFE31C4" w14:textId="77777777" w:rsidR="00D5271F" w:rsidRDefault="00D5271F" w:rsidP="00D5271F">
      <w:pPr>
        <w:pStyle w:val="ListParagraph"/>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sidRPr="00A47AE8">
        <w:rPr>
          <w:rFonts w:cs="Calibri"/>
          <w:sz w:val="24"/>
          <w:szCs w:val="24"/>
          <w:lang w:val="en-US"/>
        </w:rPr>
        <w:t xml:space="preserve">having responsibility for collecting and collating both transport usages and DSAPT compliance data; this in turn would better inform local transport agendas and could feed up to federal departments to provide a national insight into public transport accessibility for people with disability, reporting against our expectations under the CRPD.  </w:t>
      </w:r>
    </w:p>
    <w:p w14:paraId="2BC7FC74" w14:textId="77777777" w:rsidR="00D5271F" w:rsidRDefault="00D5271F" w:rsidP="00D5271F">
      <w:pPr>
        <w:pStyle w:val="ListParagraph"/>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Pr>
          <w:rFonts w:cs="Calibri"/>
          <w:sz w:val="24"/>
          <w:szCs w:val="24"/>
          <w:lang w:val="en-US"/>
        </w:rPr>
        <w:t xml:space="preserve">Developing and undertaking ‘Disability Impact Statements’ on all public transport works, services and infrastructure to ensure the needs of people with disability have been heard, considered and adequately incorporated into all scoping of transport reform projects.  These Disability Impact Statements should be assessed and undertaker on a sliding scale/proportional basis i.e. more thorough research and analysis should occur on changes to an entire bus fleet, compared to proposed changes to one bus route. </w:t>
      </w:r>
    </w:p>
    <w:p w14:paraId="322CB639" w14:textId="77777777" w:rsidR="00D5271F" w:rsidRPr="00A47AE8" w:rsidRDefault="00D5271F" w:rsidP="00D5271F">
      <w:pPr>
        <w:pStyle w:val="ListParagraph"/>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sidRPr="00A47AE8">
        <w:rPr>
          <w:rFonts w:cs="Calibri"/>
          <w:sz w:val="24"/>
          <w:szCs w:val="24"/>
          <w:lang w:val="en-US"/>
        </w:rPr>
        <w:t>Developing strong working relationships with local Disabled People’s Organisations, disability advocacy organisations and local government to ensure people with disability are meaningfully engaged in all transport reform agendas</w:t>
      </w:r>
    </w:p>
    <w:p w14:paraId="149D233A" w14:textId="6B4B0A1C" w:rsidR="00546BE5" w:rsidRDefault="00D5271F" w:rsidP="00220A7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15.4      These Whole of Journey Audit mechanisms need to be adequately resourced to ensure they effectively perform their functions.  A mechanism like the above stated function would facilitate increase public transport accessibility for people with disability.  Additionally, it would be a cost-effective as jurisdictions would be prevented from expensive retro-fits or redesigns, and Government would not have to resource and manage ongoing exemption applications.  </w:t>
      </w:r>
    </w:p>
    <w:p w14:paraId="32FAFF07" w14:textId="164EC3E6" w:rsidR="00C33EA8" w:rsidRPr="005629B0" w:rsidRDefault="00C33EA8" w:rsidP="00C33EA8">
      <w:pPr>
        <w:pStyle w:val="Heading1"/>
        <w:ind w:hanging="720"/>
      </w:pPr>
      <w:bookmarkStart w:id="17" w:name="_Toc532458972"/>
      <w:r>
        <w:t>Best Practice Clearinghouse</w:t>
      </w:r>
      <w:bookmarkEnd w:id="17"/>
    </w:p>
    <w:p w14:paraId="62167034" w14:textId="77777777" w:rsidR="00C33EA8" w:rsidRPr="005629B0" w:rsidRDefault="00C33EA8" w:rsidP="00C33EA8">
      <w:pPr>
        <w:pBdr>
          <w:bottom w:val="single" w:sz="12" w:space="1" w:color="auto"/>
        </w:pBdr>
        <w:jc w:val="right"/>
        <w:rPr>
          <w:sz w:val="16"/>
          <w:szCs w:val="16"/>
        </w:rPr>
      </w:pPr>
    </w:p>
    <w:p w14:paraId="051BE656" w14:textId="77777777" w:rsidR="00916F91" w:rsidRDefault="00916F91" w:rsidP="00916F91">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16.1 </w:t>
      </w:r>
      <w:r>
        <w:rPr>
          <w:rFonts w:cs="Calibri"/>
          <w:sz w:val="24"/>
          <w:szCs w:val="24"/>
          <w:lang w:val="en-US"/>
        </w:rPr>
        <w:tab/>
        <w:t xml:space="preserve">As noted in previous DSAPT reviews, people with disability would benefit from a ‘best practice clearinghouse’ that collected and disseminated best practice solutions and ideas relating to accessibility public transport. </w:t>
      </w:r>
    </w:p>
    <w:p w14:paraId="1A602E76" w14:textId="07266DA2" w:rsidR="00916F91" w:rsidRDefault="00916F91" w:rsidP="00916F91">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16.2     This clearinghouse needs to be adequately resourced and developed and owned in partnership between people with disability and, research institutes and the Commonwealth Government.  It would be a repository that evaluates, showcases, and disseminates best practice resources on all issues pertaining to public transport and infrastructure accessibility.   </w:t>
      </w:r>
    </w:p>
    <w:p w14:paraId="66794A1E" w14:textId="34B49CC3" w:rsidR="0013751C" w:rsidRPr="00A9524C" w:rsidRDefault="008C5D90" w:rsidP="00517414">
      <w:pPr>
        <w:pStyle w:val="Heading1"/>
        <w:ind w:hanging="720"/>
        <w:rPr>
          <w:sz w:val="24"/>
          <w:szCs w:val="24"/>
        </w:rPr>
      </w:pPr>
      <w:bookmarkStart w:id="18" w:name="_Toc532458973"/>
      <w:r>
        <w:lastRenderedPageBreak/>
        <w:t>Recommendations</w:t>
      </w:r>
      <w:bookmarkEnd w:id="18"/>
    </w:p>
    <w:p w14:paraId="33153BB2" w14:textId="08900EC2" w:rsidR="00321813" w:rsidRDefault="0013751C" w:rsidP="00220A70">
      <w:pPr>
        <w:pStyle w:val="ListParagraph"/>
        <w:numPr>
          <w:ilvl w:val="0"/>
          <w:numId w:val="4"/>
        </w:numPr>
        <w:spacing w:line="240" w:lineRule="auto"/>
        <w:rPr>
          <w:sz w:val="24"/>
          <w:szCs w:val="24"/>
        </w:rPr>
      </w:pPr>
      <w:r w:rsidRPr="007978D7">
        <w:rPr>
          <w:sz w:val="24"/>
          <w:szCs w:val="24"/>
        </w:rPr>
        <w:t xml:space="preserve">Commonwealth to work with </w:t>
      </w:r>
      <w:r w:rsidR="00A9524C">
        <w:rPr>
          <w:sz w:val="24"/>
          <w:szCs w:val="24"/>
        </w:rPr>
        <w:t>S</w:t>
      </w:r>
      <w:r w:rsidRPr="007978D7">
        <w:rPr>
          <w:sz w:val="24"/>
          <w:szCs w:val="24"/>
        </w:rPr>
        <w:t xml:space="preserve">tate and </w:t>
      </w:r>
      <w:r w:rsidR="00A9524C">
        <w:rPr>
          <w:sz w:val="24"/>
          <w:szCs w:val="24"/>
        </w:rPr>
        <w:t>T</w:t>
      </w:r>
      <w:r w:rsidRPr="007978D7">
        <w:rPr>
          <w:sz w:val="24"/>
          <w:szCs w:val="24"/>
        </w:rPr>
        <w:t xml:space="preserve">erritory governments to allocate adequate resources to implement recommendations from previous DSAPT reviews, as a matter of urgency.  </w:t>
      </w:r>
    </w:p>
    <w:p w14:paraId="5CB9291C" w14:textId="77777777" w:rsidR="00AE3C9B" w:rsidRDefault="00AE3C9B" w:rsidP="00220A70">
      <w:pPr>
        <w:pStyle w:val="ListParagraph"/>
        <w:spacing w:line="240" w:lineRule="auto"/>
        <w:rPr>
          <w:sz w:val="24"/>
          <w:szCs w:val="24"/>
        </w:rPr>
      </w:pPr>
    </w:p>
    <w:p w14:paraId="7B508D20" w14:textId="35EDAF05" w:rsidR="00AE3C9B" w:rsidRPr="007978D7" w:rsidRDefault="00AE3C9B" w:rsidP="00220A70">
      <w:pPr>
        <w:pStyle w:val="ListParagraph"/>
        <w:numPr>
          <w:ilvl w:val="0"/>
          <w:numId w:val="4"/>
        </w:numPr>
        <w:spacing w:line="240" w:lineRule="auto"/>
        <w:rPr>
          <w:sz w:val="24"/>
          <w:szCs w:val="24"/>
        </w:rPr>
      </w:pPr>
      <w:r>
        <w:rPr>
          <w:sz w:val="24"/>
          <w:szCs w:val="24"/>
        </w:rPr>
        <w:t xml:space="preserve">The DSAPT should be amended to strengthen and clarify equivalent access processes.  Genuine engagement with people with disability and their representative organisations </w:t>
      </w:r>
      <w:r w:rsidR="004B0111">
        <w:rPr>
          <w:sz w:val="24"/>
          <w:szCs w:val="24"/>
        </w:rPr>
        <w:t xml:space="preserve">during </w:t>
      </w:r>
      <w:r w:rsidR="00916F91">
        <w:rPr>
          <w:sz w:val="24"/>
          <w:szCs w:val="24"/>
        </w:rPr>
        <w:t>equivalent</w:t>
      </w:r>
      <w:r>
        <w:rPr>
          <w:sz w:val="24"/>
          <w:szCs w:val="24"/>
        </w:rPr>
        <w:t xml:space="preserve"> access</w:t>
      </w:r>
      <w:r w:rsidR="004B0111">
        <w:rPr>
          <w:sz w:val="24"/>
          <w:szCs w:val="24"/>
        </w:rPr>
        <w:t xml:space="preserve"> processes leads to equivalent access solutions.  Stronger equivalent access processes create accessibility; exemption and unjustifiable hardship outcomes need to be limited as they deny accessibility.  </w:t>
      </w:r>
    </w:p>
    <w:p w14:paraId="5832E0AE" w14:textId="77777777" w:rsidR="00321813" w:rsidRPr="007978D7" w:rsidRDefault="00321813" w:rsidP="00220A70">
      <w:pPr>
        <w:pStyle w:val="ListParagraph"/>
        <w:spacing w:line="240" w:lineRule="auto"/>
        <w:rPr>
          <w:sz w:val="24"/>
          <w:szCs w:val="24"/>
        </w:rPr>
      </w:pPr>
    </w:p>
    <w:p w14:paraId="3DC5EBC3" w14:textId="12789792" w:rsidR="0090274E" w:rsidRPr="007978D7" w:rsidRDefault="007978D7" w:rsidP="00220A70">
      <w:pPr>
        <w:pStyle w:val="ListParagraph"/>
        <w:numPr>
          <w:ilvl w:val="0"/>
          <w:numId w:val="4"/>
        </w:numPr>
        <w:spacing w:line="240" w:lineRule="auto"/>
        <w:rPr>
          <w:sz w:val="24"/>
          <w:szCs w:val="24"/>
        </w:rPr>
      </w:pPr>
      <w:r>
        <w:rPr>
          <w:sz w:val="24"/>
          <w:szCs w:val="24"/>
        </w:rPr>
        <w:t>The Commonwealth G</w:t>
      </w:r>
      <w:r w:rsidR="0013751C" w:rsidRPr="007978D7">
        <w:rPr>
          <w:sz w:val="24"/>
          <w:szCs w:val="24"/>
        </w:rPr>
        <w:t>overnment</w:t>
      </w:r>
      <w:r w:rsidR="00D52238">
        <w:rPr>
          <w:sz w:val="24"/>
          <w:szCs w:val="24"/>
        </w:rPr>
        <w:t xml:space="preserve"> need</w:t>
      </w:r>
      <w:r w:rsidR="0013751C" w:rsidRPr="007978D7">
        <w:rPr>
          <w:sz w:val="24"/>
          <w:szCs w:val="24"/>
        </w:rPr>
        <w:t xml:space="preserve"> to develop an independent, national framework and coordinating mechanism</w:t>
      </w:r>
      <w:r w:rsidR="00321813" w:rsidRPr="007978D7">
        <w:rPr>
          <w:sz w:val="24"/>
          <w:szCs w:val="24"/>
        </w:rPr>
        <w:t>:</w:t>
      </w:r>
      <w:r w:rsidR="0013751C" w:rsidRPr="007978D7">
        <w:rPr>
          <w:sz w:val="24"/>
          <w:szCs w:val="24"/>
        </w:rPr>
        <w:t xml:space="preserve"> </w:t>
      </w:r>
    </w:p>
    <w:p w14:paraId="6F6BFBB9" w14:textId="77777777" w:rsidR="00321813" w:rsidRPr="007978D7" w:rsidRDefault="00321813" w:rsidP="00220A70">
      <w:pPr>
        <w:pStyle w:val="ListParagraph"/>
        <w:spacing w:line="240" w:lineRule="auto"/>
        <w:rPr>
          <w:sz w:val="24"/>
          <w:szCs w:val="24"/>
        </w:rPr>
      </w:pPr>
    </w:p>
    <w:p w14:paraId="6BCEC3B3" w14:textId="4919FFD0" w:rsidR="0090274E" w:rsidRPr="007978D7" w:rsidRDefault="0090274E" w:rsidP="00220A70">
      <w:pPr>
        <w:pStyle w:val="ListParagraph"/>
        <w:numPr>
          <w:ilvl w:val="0"/>
          <w:numId w:val="5"/>
        </w:numPr>
        <w:spacing w:line="240" w:lineRule="auto"/>
        <w:rPr>
          <w:sz w:val="24"/>
          <w:szCs w:val="24"/>
        </w:rPr>
      </w:pPr>
      <w:r w:rsidRPr="007978D7">
        <w:rPr>
          <w:sz w:val="24"/>
          <w:szCs w:val="24"/>
        </w:rPr>
        <w:t>in partnership with people with disability, and their representative organisations, to ensure all transport reform agendas are informed by people with disability and responsive to their diverse accessibility needs</w:t>
      </w:r>
      <w:r w:rsidR="00321813" w:rsidRPr="007978D7">
        <w:rPr>
          <w:sz w:val="24"/>
          <w:szCs w:val="24"/>
        </w:rPr>
        <w:t xml:space="preserve">; </w:t>
      </w:r>
    </w:p>
    <w:p w14:paraId="0577A230" w14:textId="77777777" w:rsidR="00321813" w:rsidRPr="007978D7" w:rsidRDefault="00321813" w:rsidP="00220A70">
      <w:pPr>
        <w:pStyle w:val="ListParagraph"/>
        <w:spacing w:line="240" w:lineRule="auto"/>
        <w:ind w:left="1080"/>
        <w:rPr>
          <w:sz w:val="24"/>
          <w:szCs w:val="24"/>
        </w:rPr>
      </w:pPr>
    </w:p>
    <w:p w14:paraId="7E006828" w14:textId="72485400" w:rsidR="00321813" w:rsidRPr="007978D7" w:rsidRDefault="0090274E" w:rsidP="00220A70">
      <w:pPr>
        <w:pStyle w:val="ListParagraph"/>
        <w:numPr>
          <w:ilvl w:val="0"/>
          <w:numId w:val="5"/>
        </w:numPr>
        <w:spacing w:line="240" w:lineRule="auto"/>
        <w:rPr>
          <w:sz w:val="24"/>
          <w:szCs w:val="24"/>
        </w:rPr>
      </w:pPr>
      <w:r w:rsidRPr="007978D7">
        <w:rPr>
          <w:sz w:val="24"/>
          <w:szCs w:val="24"/>
        </w:rPr>
        <w:t xml:space="preserve">for </w:t>
      </w:r>
      <w:r w:rsidR="0013751C" w:rsidRPr="007978D7">
        <w:rPr>
          <w:sz w:val="24"/>
          <w:szCs w:val="24"/>
        </w:rPr>
        <w:t>driving DSAPT compliance</w:t>
      </w:r>
      <w:r w:rsidRPr="007978D7">
        <w:rPr>
          <w:sz w:val="24"/>
          <w:szCs w:val="24"/>
        </w:rPr>
        <w:t xml:space="preserve"> and monitoring of </w:t>
      </w:r>
      <w:r w:rsidR="0013751C" w:rsidRPr="007978D7">
        <w:rPr>
          <w:sz w:val="24"/>
          <w:szCs w:val="24"/>
        </w:rPr>
        <w:t>whole of journey transport action plans at both national, and state/territory levels</w:t>
      </w:r>
      <w:r w:rsidRPr="007978D7">
        <w:rPr>
          <w:sz w:val="24"/>
          <w:szCs w:val="24"/>
        </w:rPr>
        <w:t>, and;</w:t>
      </w:r>
    </w:p>
    <w:p w14:paraId="5F207BD1" w14:textId="77777777" w:rsidR="00321813" w:rsidRPr="007978D7" w:rsidRDefault="00321813" w:rsidP="00220A70">
      <w:pPr>
        <w:pStyle w:val="ListParagraph"/>
        <w:spacing w:line="240" w:lineRule="auto"/>
        <w:ind w:left="1080"/>
        <w:rPr>
          <w:sz w:val="24"/>
          <w:szCs w:val="24"/>
        </w:rPr>
      </w:pPr>
    </w:p>
    <w:p w14:paraId="7C80EC3C" w14:textId="49EE4409" w:rsidR="00321813" w:rsidRPr="007978D7" w:rsidRDefault="0090274E" w:rsidP="00220A70">
      <w:pPr>
        <w:pStyle w:val="ListParagraph"/>
        <w:numPr>
          <w:ilvl w:val="0"/>
          <w:numId w:val="5"/>
        </w:numPr>
        <w:spacing w:line="240" w:lineRule="auto"/>
        <w:rPr>
          <w:sz w:val="24"/>
          <w:szCs w:val="24"/>
        </w:rPr>
      </w:pPr>
      <w:r w:rsidRPr="007978D7">
        <w:rPr>
          <w:sz w:val="24"/>
          <w:szCs w:val="24"/>
        </w:rPr>
        <w:t>to view transport as a national, whole of Government issue that cuts across jurisdictions, government portfolios and industry sectors</w:t>
      </w:r>
      <w:r w:rsidR="00321813" w:rsidRPr="007978D7">
        <w:rPr>
          <w:sz w:val="24"/>
          <w:szCs w:val="24"/>
        </w:rPr>
        <w:t xml:space="preserve">, and; </w:t>
      </w:r>
    </w:p>
    <w:p w14:paraId="2546028F" w14:textId="77777777" w:rsidR="00321813" w:rsidRPr="007978D7" w:rsidRDefault="00321813" w:rsidP="00220A70">
      <w:pPr>
        <w:pStyle w:val="ListParagraph"/>
        <w:spacing w:line="240" w:lineRule="auto"/>
        <w:ind w:left="1080"/>
        <w:rPr>
          <w:sz w:val="24"/>
          <w:szCs w:val="24"/>
        </w:rPr>
      </w:pPr>
    </w:p>
    <w:p w14:paraId="68951892" w14:textId="1992D61C" w:rsidR="00EC0592" w:rsidRDefault="0090274E" w:rsidP="00220A70">
      <w:pPr>
        <w:pStyle w:val="ListParagraph"/>
        <w:numPr>
          <w:ilvl w:val="0"/>
          <w:numId w:val="5"/>
        </w:numPr>
        <w:spacing w:line="240" w:lineRule="auto"/>
        <w:rPr>
          <w:sz w:val="24"/>
          <w:szCs w:val="24"/>
        </w:rPr>
      </w:pPr>
      <w:r w:rsidRPr="007978D7">
        <w:rPr>
          <w:sz w:val="24"/>
          <w:szCs w:val="24"/>
        </w:rPr>
        <w:t xml:space="preserve">To respond to </w:t>
      </w:r>
      <w:r w:rsidR="007978D7">
        <w:rPr>
          <w:sz w:val="24"/>
          <w:szCs w:val="24"/>
        </w:rPr>
        <w:t xml:space="preserve">the diverse and intersecting </w:t>
      </w:r>
      <w:r w:rsidRPr="007978D7">
        <w:rPr>
          <w:sz w:val="24"/>
          <w:szCs w:val="24"/>
        </w:rPr>
        <w:t>barriers to accessible public transport experience</w:t>
      </w:r>
      <w:r w:rsidR="00A9524C">
        <w:rPr>
          <w:sz w:val="24"/>
          <w:szCs w:val="24"/>
        </w:rPr>
        <w:t>d</w:t>
      </w:r>
      <w:r w:rsidRPr="007978D7">
        <w:rPr>
          <w:sz w:val="24"/>
          <w:szCs w:val="24"/>
        </w:rPr>
        <w:t xml:space="preserve"> by people with disability, including but not limited to DSAPT compliance, </w:t>
      </w:r>
      <w:r w:rsidR="007978D7">
        <w:rPr>
          <w:sz w:val="24"/>
          <w:szCs w:val="24"/>
        </w:rPr>
        <w:t xml:space="preserve">and </w:t>
      </w:r>
      <w:r w:rsidRPr="007978D7">
        <w:rPr>
          <w:sz w:val="24"/>
          <w:szCs w:val="24"/>
        </w:rPr>
        <w:t>incorporating issues such as financial</w:t>
      </w:r>
      <w:r w:rsidR="009E0DBC" w:rsidRPr="007978D7">
        <w:rPr>
          <w:sz w:val="24"/>
          <w:szCs w:val="24"/>
        </w:rPr>
        <w:t xml:space="preserve"> and </w:t>
      </w:r>
      <w:r w:rsidRPr="007978D7">
        <w:rPr>
          <w:sz w:val="24"/>
          <w:szCs w:val="24"/>
        </w:rPr>
        <w:t xml:space="preserve">attitudinal barriers.  </w:t>
      </w:r>
    </w:p>
    <w:p w14:paraId="368ECF25" w14:textId="77777777" w:rsidR="00EC0592" w:rsidRPr="00EC0592" w:rsidRDefault="00EC0592" w:rsidP="00220A70">
      <w:pPr>
        <w:pStyle w:val="ListParagraph"/>
        <w:spacing w:line="240" w:lineRule="auto"/>
        <w:rPr>
          <w:sz w:val="24"/>
          <w:szCs w:val="24"/>
        </w:rPr>
      </w:pPr>
    </w:p>
    <w:p w14:paraId="66813FFC" w14:textId="14E0E7DE" w:rsidR="0013751C" w:rsidRPr="007978D7" w:rsidRDefault="00EC0592" w:rsidP="00220A70">
      <w:pPr>
        <w:pStyle w:val="ListParagraph"/>
        <w:numPr>
          <w:ilvl w:val="0"/>
          <w:numId w:val="5"/>
        </w:numPr>
        <w:spacing w:line="240" w:lineRule="auto"/>
        <w:rPr>
          <w:sz w:val="24"/>
          <w:szCs w:val="24"/>
        </w:rPr>
      </w:pPr>
      <w:r>
        <w:rPr>
          <w:sz w:val="24"/>
          <w:szCs w:val="24"/>
        </w:rPr>
        <w:t>To establish the collection of</w:t>
      </w:r>
      <w:r w:rsidR="00B21523">
        <w:rPr>
          <w:sz w:val="24"/>
          <w:szCs w:val="24"/>
        </w:rPr>
        <w:t xml:space="preserve"> publicly available</w:t>
      </w:r>
      <w:r>
        <w:rPr>
          <w:sz w:val="24"/>
          <w:szCs w:val="24"/>
        </w:rPr>
        <w:t xml:space="preserve"> data and evidence on the extent and experience of how people with disability </w:t>
      </w:r>
      <w:proofErr w:type="gramStart"/>
      <w:r>
        <w:rPr>
          <w:sz w:val="24"/>
          <w:szCs w:val="24"/>
        </w:rPr>
        <w:t>are able to</w:t>
      </w:r>
      <w:proofErr w:type="gramEnd"/>
      <w:r>
        <w:rPr>
          <w:sz w:val="24"/>
          <w:szCs w:val="24"/>
        </w:rPr>
        <w:t xml:space="preserve"> access public transport, on an equal basis with others.  </w:t>
      </w:r>
    </w:p>
    <w:p w14:paraId="6AB72131" w14:textId="77777777" w:rsidR="00321813" w:rsidRPr="007978D7" w:rsidRDefault="00321813" w:rsidP="00220A70">
      <w:pPr>
        <w:pStyle w:val="ListParagraph"/>
        <w:spacing w:line="240" w:lineRule="auto"/>
        <w:rPr>
          <w:sz w:val="24"/>
          <w:szCs w:val="24"/>
        </w:rPr>
      </w:pPr>
    </w:p>
    <w:p w14:paraId="5656F1DD" w14:textId="7D8696A2" w:rsidR="00785DCE" w:rsidRPr="00785DCE" w:rsidRDefault="0090274E" w:rsidP="00220A70">
      <w:pPr>
        <w:pStyle w:val="ListParagraph"/>
        <w:numPr>
          <w:ilvl w:val="0"/>
          <w:numId w:val="9"/>
        </w:numPr>
        <w:spacing w:line="240" w:lineRule="auto"/>
        <w:rPr>
          <w:rFonts w:cs="Calibri"/>
          <w:b/>
          <w:sz w:val="24"/>
          <w:szCs w:val="24"/>
          <w:lang w:val="en-US"/>
        </w:rPr>
      </w:pPr>
      <w:r w:rsidRPr="00220A70">
        <w:rPr>
          <w:sz w:val="24"/>
          <w:szCs w:val="24"/>
        </w:rPr>
        <w:t xml:space="preserve">The </w:t>
      </w:r>
      <w:r w:rsidR="007978D7" w:rsidRPr="00220A70">
        <w:rPr>
          <w:sz w:val="24"/>
          <w:szCs w:val="24"/>
        </w:rPr>
        <w:t>C</w:t>
      </w:r>
      <w:r w:rsidRPr="00220A70">
        <w:rPr>
          <w:sz w:val="24"/>
          <w:szCs w:val="24"/>
        </w:rPr>
        <w:t xml:space="preserve">ommonwealth </w:t>
      </w:r>
      <w:r w:rsidR="007978D7" w:rsidRPr="00220A70">
        <w:rPr>
          <w:sz w:val="24"/>
          <w:szCs w:val="24"/>
        </w:rPr>
        <w:t>G</w:t>
      </w:r>
      <w:r w:rsidRPr="00220A70">
        <w:rPr>
          <w:sz w:val="24"/>
          <w:szCs w:val="24"/>
        </w:rPr>
        <w:t>overnment</w:t>
      </w:r>
      <w:r w:rsidR="00A9524C" w:rsidRPr="00220A70">
        <w:rPr>
          <w:sz w:val="24"/>
          <w:szCs w:val="24"/>
        </w:rPr>
        <w:t xml:space="preserve"> is</w:t>
      </w:r>
      <w:r w:rsidRPr="00220A70">
        <w:rPr>
          <w:sz w:val="24"/>
          <w:szCs w:val="24"/>
        </w:rPr>
        <w:t xml:space="preserve"> to work with state and territory governments to fund an independent ‘best practice’ clearinghouse that collects and disseminates best practice solutions pertaining to accessible public transport and infrastructure for people with disability.</w:t>
      </w:r>
    </w:p>
    <w:p w14:paraId="1DF6A2FA" w14:textId="77777777" w:rsidR="0055496B" w:rsidRPr="003B53CD"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eastAsia="en-AU"/>
              </w:rPr>
              <w:drawing>
                <wp:inline distT="0" distB="0" distL="0" distR="0" wp14:anchorId="3FCB1268" wp14:editId="2664EB3B">
                  <wp:extent cx="137326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3260" cy="720000"/>
                          </a:xfrm>
                          <a:prstGeom prst="rect">
                            <a:avLst/>
                          </a:prstGeom>
                          <a:noFill/>
                          <a:ln>
                            <a:noFill/>
                          </a:ln>
                        </pic:spPr>
                      </pic:pic>
                    </a:graphicData>
                  </a:graphic>
                </wp:inline>
              </w:drawing>
            </w:r>
          </w:p>
        </w:tc>
        <w:tc>
          <w:tcPr>
            <w:tcW w:w="2552" w:type="dxa"/>
          </w:tcPr>
          <w:p w14:paraId="1E6E7EC8" w14:textId="39195098" w:rsidR="00F5359F" w:rsidRPr="005629B0" w:rsidRDefault="0055496B" w:rsidP="008906F8">
            <w:pPr>
              <w:spacing w:before="120" w:after="120"/>
              <w:ind w:left="-354"/>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1B35A2AD" wp14:editId="70D1FBD7">
                  <wp:extent cx="184421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_Logo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4212" cy="720000"/>
                          </a:xfrm>
                          <a:prstGeom prst="rect">
                            <a:avLst/>
                          </a:prstGeom>
                        </pic:spPr>
                      </pic:pic>
                    </a:graphicData>
                  </a:graphic>
                </wp:inline>
              </w:drawing>
            </w:r>
          </w:p>
        </w:tc>
        <w:tc>
          <w:tcPr>
            <w:tcW w:w="2301" w:type="dxa"/>
            <w:hideMark/>
          </w:tcPr>
          <w:p w14:paraId="714486CE" w14:textId="77777777" w:rsidR="00F5359F" w:rsidRDefault="00F5359F" w:rsidP="0055496B">
            <w:pPr>
              <w:spacing w:before="120" w:after="120"/>
              <w:ind w:left="354" w:right="-429"/>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35B14DC5" wp14:editId="2FA2C1EE">
                  <wp:extent cx="744963"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963" cy="684000"/>
                          </a:xfrm>
                          <a:prstGeom prst="rect">
                            <a:avLst/>
                          </a:prstGeom>
                          <a:noFill/>
                          <a:ln>
                            <a:noFill/>
                          </a:ln>
                        </pic:spPr>
                      </pic:pic>
                    </a:graphicData>
                  </a:graphic>
                </wp:inline>
              </w:drawing>
            </w:r>
          </w:p>
          <w:p w14:paraId="1002920E" w14:textId="77777777" w:rsidR="0055496B" w:rsidRPr="005629B0" w:rsidRDefault="0055496B" w:rsidP="00007B29">
            <w:pPr>
              <w:spacing w:before="120" w:after="120"/>
              <w:rPr>
                <w:rFonts w:asciiTheme="majorHAnsi" w:hAnsiTheme="majorHAnsi" w:cs="Arial"/>
                <w:sz w:val="24"/>
                <w:szCs w:val="24"/>
              </w:rPr>
            </w:pP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4498203B" wp14:editId="1634CED5">
                  <wp:extent cx="1453952"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3952" cy="468000"/>
                          </a:xfrm>
                          <a:prstGeom prst="rect">
                            <a:avLst/>
                          </a:prstGeom>
                          <a:noFill/>
                          <a:ln>
                            <a:noFill/>
                          </a:ln>
                        </pic:spPr>
                      </pic:pic>
                    </a:graphicData>
                  </a:graphic>
                </wp:inline>
              </w:drawing>
            </w:r>
          </w:p>
        </w:tc>
      </w:tr>
    </w:tbl>
    <w:p w14:paraId="6CFD8F5D" w14:textId="77777777" w:rsidR="0036535D" w:rsidRDefault="0036535D"/>
    <w:sectPr w:rsidR="0036535D" w:rsidSect="007703C1">
      <w:footerReference w:type="even" r:id="rId20"/>
      <w:footerReference w:type="default" r:id="rId21"/>
      <w:pgSz w:w="11900" w:h="16840"/>
      <w:pgMar w:top="1418" w:right="1835"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54E0" w14:textId="77777777" w:rsidR="00500889" w:rsidRDefault="00500889" w:rsidP="00F5359F">
      <w:r>
        <w:separator/>
      </w:r>
    </w:p>
  </w:endnote>
  <w:endnote w:type="continuationSeparator" w:id="0">
    <w:p w14:paraId="0C7D6961" w14:textId="77777777" w:rsidR="00500889" w:rsidRDefault="00500889"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F6CD" w14:textId="77777777" w:rsidR="009444B8" w:rsidRDefault="009444B8"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9444B8" w:rsidRDefault="009444B8" w:rsidP="00007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7477" w14:textId="77777777" w:rsidR="009444B8" w:rsidRDefault="009444B8"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769EE45" w14:textId="77777777" w:rsidR="009444B8" w:rsidRDefault="009444B8" w:rsidP="00007B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C4E4" w14:textId="77777777" w:rsidR="00500889" w:rsidRDefault="00500889" w:rsidP="00F5359F">
      <w:r>
        <w:separator/>
      </w:r>
    </w:p>
  </w:footnote>
  <w:footnote w:type="continuationSeparator" w:id="0">
    <w:p w14:paraId="060157A7" w14:textId="77777777" w:rsidR="00500889" w:rsidRDefault="00500889" w:rsidP="00F5359F">
      <w:r>
        <w:continuationSeparator/>
      </w:r>
    </w:p>
  </w:footnote>
  <w:footnote w:id="1">
    <w:p w14:paraId="32D1B95E" w14:textId="3BA7FD9C" w:rsidR="009444B8" w:rsidRDefault="009444B8">
      <w:pPr>
        <w:pStyle w:val="FootnoteText"/>
      </w:pPr>
      <w:r>
        <w:rPr>
          <w:rStyle w:val="FootnoteReference"/>
        </w:rPr>
        <w:footnoteRef/>
      </w:r>
      <w:r>
        <w:t xml:space="preserve"> </w:t>
      </w:r>
      <w:r w:rsidRPr="00AB479B">
        <w:t xml:space="preserve">UN Convention on the Rights of Persons with Disabilities, Available at: </w:t>
      </w:r>
      <w:hyperlink r:id="rId1" w:history="1">
        <w:r w:rsidRPr="00AB479B">
          <w:rPr>
            <w:rStyle w:val="Hyperlink"/>
            <w:color w:val="auto"/>
          </w:rPr>
          <w:t>https://www.un.org/development/desa/disabilities/convention-on-the-rights-of-persons-with-disabilities/article-9-accessibility.html</w:t>
        </w:r>
      </w:hyperlink>
      <w:r w:rsidRPr="00AB479B">
        <w:t xml:space="preserve"> </w:t>
      </w:r>
    </w:p>
  </w:footnote>
  <w:footnote w:id="2">
    <w:p w14:paraId="29F573E6" w14:textId="16C7BAE1" w:rsidR="009444B8" w:rsidRDefault="009444B8">
      <w:pPr>
        <w:pStyle w:val="FootnoteText"/>
      </w:pPr>
      <w:r>
        <w:rPr>
          <w:rStyle w:val="FootnoteReference"/>
        </w:rPr>
        <w:footnoteRef/>
      </w:r>
      <w:r>
        <w:t xml:space="preserve"> ‘</w:t>
      </w:r>
      <w:r w:rsidRPr="00715ED2">
        <w:t>New Queensland Train Delivery doomed ‘from day one’, inquiry chief declares’, Australian Broadcasting Corporation, 10</w:t>
      </w:r>
      <w:r w:rsidRPr="00715ED2">
        <w:rPr>
          <w:vertAlign w:val="superscript"/>
        </w:rPr>
        <w:t>th</w:t>
      </w:r>
      <w:r w:rsidRPr="00715ED2">
        <w:t xml:space="preserve"> Dec 2018, Available at: </w:t>
      </w:r>
      <w:hyperlink r:id="rId2" w:history="1">
        <w:r w:rsidRPr="00715ED2">
          <w:rPr>
            <w:rStyle w:val="Hyperlink"/>
            <w:color w:val="auto"/>
          </w:rPr>
          <w:t>https://www.abc.net.au/news/2018-12-10/queensland-rail-inquiry-new-trained-failed-from-day-one-forde/10600554</w:t>
        </w:r>
      </w:hyperlink>
      <w:r w:rsidRPr="00715ED2">
        <w:t xml:space="preserve">   </w:t>
      </w:r>
    </w:p>
  </w:footnote>
  <w:footnote w:id="3">
    <w:p w14:paraId="3A82F0F8" w14:textId="7473A422" w:rsidR="009444B8" w:rsidRDefault="009444B8">
      <w:pPr>
        <w:pStyle w:val="FootnoteText"/>
      </w:pPr>
      <w:r>
        <w:rPr>
          <w:rStyle w:val="FootnoteReference"/>
        </w:rPr>
        <w:footnoteRef/>
      </w:r>
      <w:r>
        <w:t xml:space="preserve"> Department of Infrastructure and Regional Development, ‘The Whole Journey: A Guide for thinking beyond compliance to create accessible public transport journeys’, 2017, Available at:  </w:t>
      </w:r>
      <w:hyperlink r:id="rId3" w:history="1">
        <w:r w:rsidRPr="007306A2">
          <w:rPr>
            <w:rStyle w:val="Hyperlink"/>
          </w:rPr>
          <w:t>https://infrastructure.gov.au/transport/disabilities/whole-journey/index.aspx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15:restartNumberingAfterBreak="0">
    <w:nsid w:val="00000004"/>
    <w:multiLevelType w:val="multilevel"/>
    <w:tmpl w:val="00000004"/>
    <w:name w:val="WWNum3"/>
    <w:lvl w:ilvl="0">
      <w:start w:val="1"/>
      <w:numFmt w:val="bullet"/>
      <w:lvlText w:val="•"/>
      <w:lvlJc w:val="left"/>
      <w:pPr>
        <w:tabs>
          <w:tab w:val="num" w:pos="0"/>
        </w:tabs>
        <w:ind w:left="453" w:hanging="260"/>
      </w:pPr>
      <w:rPr>
        <w:rFonts w:ascii="Verdana" w:hAnsi="Verdana"/>
        <w:color w:val="00659E"/>
        <w:sz w:val="24"/>
        <w:szCs w:val="24"/>
      </w:rPr>
    </w:lvl>
    <w:lvl w:ilvl="1">
      <w:start w:val="1"/>
      <w:numFmt w:val="bullet"/>
      <w:lvlText w:val=""/>
      <w:lvlJc w:val="left"/>
      <w:pPr>
        <w:tabs>
          <w:tab w:val="num" w:pos="0"/>
        </w:tabs>
        <w:ind w:left="1598" w:hanging="260"/>
      </w:pPr>
      <w:rPr>
        <w:rFonts w:ascii="Symbol" w:hAnsi="Symbol"/>
      </w:rPr>
    </w:lvl>
    <w:lvl w:ilvl="2">
      <w:start w:val="1"/>
      <w:numFmt w:val="bullet"/>
      <w:lvlText w:val=""/>
      <w:lvlJc w:val="left"/>
      <w:pPr>
        <w:tabs>
          <w:tab w:val="num" w:pos="0"/>
        </w:tabs>
        <w:ind w:left="2743" w:hanging="260"/>
      </w:pPr>
      <w:rPr>
        <w:rFonts w:ascii="Symbol" w:hAnsi="Symbol"/>
      </w:rPr>
    </w:lvl>
    <w:lvl w:ilvl="3">
      <w:start w:val="1"/>
      <w:numFmt w:val="bullet"/>
      <w:lvlText w:val=""/>
      <w:lvlJc w:val="left"/>
      <w:pPr>
        <w:tabs>
          <w:tab w:val="num" w:pos="0"/>
        </w:tabs>
        <w:ind w:left="3889" w:hanging="260"/>
      </w:pPr>
      <w:rPr>
        <w:rFonts w:ascii="Symbol" w:hAnsi="Symbol"/>
      </w:rPr>
    </w:lvl>
    <w:lvl w:ilvl="4">
      <w:start w:val="1"/>
      <w:numFmt w:val="bullet"/>
      <w:lvlText w:val=""/>
      <w:lvlJc w:val="left"/>
      <w:pPr>
        <w:tabs>
          <w:tab w:val="num" w:pos="0"/>
        </w:tabs>
        <w:ind w:left="5034" w:hanging="260"/>
      </w:pPr>
      <w:rPr>
        <w:rFonts w:ascii="Symbol" w:hAnsi="Symbol"/>
      </w:rPr>
    </w:lvl>
    <w:lvl w:ilvl="5">
      <w:start w:val="1"/>
      <w:numFmt w:val="bullet"/>
      <w:lvlText w:val=""/>
      <w:lvlJc w:val="left"/>
      <w:pPr>
        <w:tabs>
          <w:tab w:val="num" w:pos="0"/>
        </w:tabs>
        <w:ind w:left="6179" w:hanging="260"/>
      </w:pPr>
      <w:rPr>
        <w:rFonts w:ascii="Symbol" w:hAnsi="Symbol"/>
      </w:rPr>
    </w:lvl>
    <w:lvl w:ilvl="6">
      <w:start w:val="1"/>
      <w:numFmt w:val="bullet"/>
      <w:lvlText w:val=""/>
      <w:lvlJc w:val="left"/>
      <w:pPr>
        <w:tabs>
          <w:tab w:val="num" w:pos="0"/>
        </w:tabs>
        <w:ind w:left="7324" w:hanging="260"/>
      </w:pPr>
      <w:rPr>
        <w:rFonts w:ascii="Symbol" w:hAnsi="Symbol"/>
      </w:rPr>
    </w:lvl>
    <w:lvl w:ilvl="7">
      <w:start w:val="1"/>
      <w:numFmt w:val="bullet"/>
      <w:lvlText w:val=""/>
      <w:lvlJc w:val="left"/>
      <w:pPr>
        <w:tabs>
          <w:tab w:val="num" w:pos="0"/>
        </w:tabs>
        <w:ind w:left="8469" w:hanging="260"/>
      </w:pPr>
      <w:rPr>
        <w:rFonts w:ascii="Symbol" w:hAnsi="Symbol"/>
      </w:rPr>
    </w:lvl>
    <w:lvl w:ilvl="8">
      <w:start w:val="1"/>
      <w:numFmt w:val="bullet"/>
      <w:lvlText w:val=""/>
      <w:lvlJc w:val="left"/>
      <w:pPr>
        <w:tabs>
          <w:tab w:val="num" w:pos="0"/>
        </w:tabs>
        <w:ind w:left="9615" w:hanging="260"/>
      </w:pPr>
      <w:rPr>
        <w:rFonts w:ascii="Symbol" w:hAnsi="Symbol"/>
      </w:rPr>
    </w:lvl>
  </w:abstractNum>
  <w:abstractNum w:abstractNumId="2" w15:restartNumberingAfterBreak="0">
    <w:nsid w:val="0D1353C4"/>
    <w:multiLevelType w:val="hybridMultilevel"/>
    <w:tmpl w:val="4760AF80"/>
    <w:lvl w:ilvl="0" w:tplc="8FDECC0E">
      <w:numFmt w:val="bullet"/>
      <w:lvlText w:val="-"/>
      <w:lvlJc w:val="left"/>
      <w:pPr>
        <w:ind w:left="1070" w:hanging="360"/>
      </w:pPr>
      <w:rPr>
        <w:rFonts w:ascii="Calibri" w:eastAsia="Calibri" w:hAnsi="Calibri" w:cs="Calibri"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15:restartNumberingAfterBreak="0">
    <w:nsid w:val="0E810EC7"/>
    <w:multiLevelType w:val="hybridMultilevel"/>
    <w:tmpl w:val="11F8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AE624D"/>
    <w:multiLevelType w:val="hybridMultilevel"/>
    <w:tmpl w:val="0D92F2C0"/>
    <w:lvl w:ilvl="0" w:tplc="5C968356">
      <w:start w:val="10"/>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B5DCE"/>
    <w:multiLevelType w:val="hybridMultilevel"/>
    <w:tmpl w:val="30FA5CB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D5222"/>
    <w:multiLevelType w:val="hybridMultilevel"/>
    <w:tmpl w:val="786C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10925"/>
    <w:multiLevelType w:val="hybridMultilevel"/>
    <w:tmpl w:val="6352DC94"/>
    <w:lvl w:ilvl="0" w:tplc="93246AEC">
      <w:start w:val="7"/>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C767F"/>
    <w:multiLevelType w:val="multilevel"/>
    <w:tmpl w:val="C0145842"/>
    <w:lvl w:ilvl="0">
      <w:start w:val="1"/>
      <w:numFmt w:val="decimal"/>
      <w:pStyle w:val="Heading1"/>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26604A"/>
    <w:multiLevelType w:val="hybridMultilevel"/>
    <w:tmpl w:val="5852A774"/>
    <w:lvl w:ilvl="0" w:tplc="B05C35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5"/>
  </w:num>
  <w:num w:numId="5">
    <w:abstractNumId w:val="9"/>
  </w:num>
  <w:num w:numId="6">
    <w:abstractNumId w:val="3"/>
  </w:num>
  <w:num w:numId="7">
    <w:abstractNumId w:val="8"/>
    <w:lvlOverride w:ilvl="0">
      <w:startOverride w:val="11"/>
    </w:lvlOverride>
    <w:lvlOverride w:ilvl="1">
      <w:startOverride w:val="1"/>
    </w:lvlOverride>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9F"/>
    <w:rsid w:val="00001C9C"/>
    <w:rsid w:val="00003D2A"/>
    <w:rsid w:val="00004DE2"/>
    <w:rsid w:val="00006FA0"/>
    <w:rsid w:val="00007B29"/>
    <w:rsid w:val="0001000D"/>
    <w:rsid w:val="000145B0"/>
    <w:rsid w:val="0001660C"/>
    <w:rsid w:val="00016778"/>
    <w:rsid w:val="000172E3"/>
    <w:rsid w:val="0002124C"/>
    <w:rsid w:val="00021622"/>
    <w:rsid w:val="00021A65"/>
    <w:rsid w:val="000221A9"/>
    <w:rsid w:val="0002396A"/>
    <w:rsid w:val="00026CD4"/>
    <w:rsid w:val="000314D5"/>
    <w:rsid w:val="00031B67"/>
    <w:rsid w:val="00033656"/>
    <w:rsid w:val="00034A13"/>
    <w:rsid w:val="000406A5"/>
    <w:rsid w:val="00040921"/>
    <w:rsid w:val="00042928"/>
    <w:rsid w:val="00042B65"/>
    <w:rsid w:val="00046907"/>
    <w:rsid w:val="000479A5"/>
    <w:rsid w:val="00057384"/>
    <w:rsid w:val="0007183E"/>
    <w:rsid w:val="00072711"/>
    <w:rsid w:val="0007374D"/>
    <w:rsid w:val="0007433F"/>
    <w:rsid w:val="00074AF4"/>
    <w:rsid w:val="00075D58"/>
    <w:rsid w:val="00077064"/>
    <w:rsid w:val="000803E1"/>
    <w:rsid w:val="0008247B"/>
    <w:rsid w:val="0008307F"/>
    <w:rsid w:val="00085049"/>
    <w:rsid w:val="00086427"/>
    <w:rsid w:val="000874A0"/>
    <w:rsid w:val="00096D86"/>
    <w:rsid w:val="000973E7"/>
    <w:rsid w:val="000A08D4"/>
    <w:rsid w:val="000A1B68"/>
    <w:rsid w:val="000A68BC"/>
    <w:rsid w:val="000A6C4D"/>
    <w:rsid w:val="000B0A04"/>
    <w:rsid w:val="000B18A2"/>
    <w:rsid w:val="000B1E09"/>
    <w:rsid w:val="000B3B5F"/>
    <w:rsid w:val="000B4FB4"/>
    <w:rsid w:val="000B7A49"/>
    <w:rsid w:val="000C20EF"/>
    <w:rsid w:val="000C4B73"/>
    <w:rsid w:val="000C6CC8"/>
    <w:rsid w:val="000C6D8A"/>
    <w:rsid w:val="000D02F9"/>
    <w:rsid w:val="000D0DC6"/>
    <w:rsid w:val="000D1904"/>
    <w:rsid w:val="000D212B"/>
    <w:rsid w:val="000D213B"/>
    <w:rsid w:val="000D2F29"/>
    <w:rsid w:val="000D432E"/>
    <w:rsid w:val="000E33D0"/>
    <w:rsid w:val="000E3ECE"/>
    <w:rsid w:val="000E64F6"/>
    <w:rsid w:val="000F1A9F"/>
    <w:rsid w:val="000F2B73"/>
    <w:rsid w:val="000F709C"/>
    <w:rsid w:val="000F73EA"/>
    <w:rsid w:val="00101687"/>
    <w:rsid w:val="00103427"/>
    <w:rsid w:val="00103BCD"/>
    <w:rsid w:val="001056CE"/>
    <w:rsid w:val="0010595C"/>
    <w:rsid w:val="00106D47"/>
    <w:rsid w:val="00113CAF"/>
    <w:rsid w:val="00114425"/>
    <w:rsid w:val="00114D6E"/>
    <w:rsid w:val="00116FC4"/>
    <w:rsid w:val="001170BC"/>
    <w:rsid w:val="00120629"/>
    <w:rsid w:val="00126525"/>
    <w:rsid w:val="00127147"/>
    <w:rsid w:val="001303BD"/>
    <w:rsid w:val="00130E83"/>
    <w:rsid w:val="00132D43"/>
    <w:rsid w:val="00134DAC"/>
    <w:rsid w:val="0013751C"/>
    <w:rsid w:val="00140B3B"/>
    <w:rsid w:val="00140B59"/>
    <w:rsid w:val="00141B1A"/>
    <w:rsid w:val="00144BDC"/>
    <w:rsid w:val="001463E5"/>
    <w:rsid w:val="0014650E"/>
    <w:rsid w:val="001471C5"/>
    <w:rsid w:val="0014777A"/>
    <w:rsid w:val="00161019"/>
    <w:rsid w:val="001618B1"/>
    <w:rsid w:val="00172F3D"/>
    <w:rsid w:val="00172FAE"/>
    <w:rsid w:val="0017386E"/>
    <w:rsid w:val="00175977"/>
    <w:rsid w:val="001776A5"/>
    <w:rsid w:val="0018493E"/>
    <w:rsid w:val="00184B28"/>
    <w:rsid w:val="001961D0"/>
    <w:rsid w:val="00196C02"/>
    <w:rsid w:val="00197B45"/>
    <w:rsid w:val="001A0A78"/>
    <w:rsid w:val="001B1328"/>
    <w:rsid w:val="001B153B"/>
    <w:rsid w:val="001B3268"/>
    <w:rsid w:val="001B3D2B"/>
    <w:rsid w:val="001B4E36"/>
    <w:rsid w:val="001C06A9"/>
    <w:rsid w:val="001C4A8D"/>
    <w:rsid w:val="001C64A8"/>
    <w:rsid w:val="001C7971"/>
    <w:rsid w:val="001D3524"/>
    <w:rsid w:val="001D7A2A"/>
    <w:rsid w:val="001E59E7"/>
    <w:rsid w:val="001E5DD6"/>
    <w:rsid w:val="001E7B6B"/>
    <w:rsid w:val="001F12ED"/>
    <w:rsid w:val="001F1836"/>
    <w:rsid w:val="001F3E46"/>
    <w:rsid w:val="001F3EB3"/>
    <w:rsid w:val="001F4365"/>
    <w:rsid w:val="001F69B0"/>
    <w:rsid w:val="00200AB1"/>
    <w:rsid w:val="0020430A"/>
    <w:rsid w:val="00204529"/>
    <w:rsid w:val="0020615A"/>
    <w:rsid w:val="00215F4A"/>
    <w:rsid w:val="00220A70"/>
    <w:rsid w:val="00226846"/>
    <w:rsid w:val="002351FB"/>
    <w:rsid w:val="00236795"/>
    <w:rsid w:val="00236EBA"/>
    <w:rsid w:val="0024422D"/>
    <w:rsid w:val="00247702"/>
    <w:rsid w:val="00251677"/>
    <w:rsid w:val="00252342"/>
    <w:rsid w:val="002527A1"/>
    <w:rsid w:val="00253558"/>
    <w:rsid w:val="002558D2"/>
    <w:rsid w:val="00261C10"/>
    <w:rsid w:val="00262225"/>
    <w:rsid w:val="0027287E"/>
    <w:rsid w:val="002745AB"/>
    <w:rsid w:val="00274BF8"/>
    <w:rsid w:val="00282E61"/>
    <w:rsid w:val="002916B9"/>
    <w:rsid w:val="00291C5D"/>
    <w:rsid w:val="00295280"/>
    <w:rsid w:val="00296047"/>
    <w:rsid w:val="002970BC"/>
    <w:rsid w:val="002A26A0"/>
    <w:rsid w:val="002A5A36"/>
    <w:rsid w:val="002A5C23"/>
    <w:rsid w:val="002A63E9"/>
    <w:rsid w:val="002B35C7"/>
    <w:rsid w:val="002C145F"/>
    <w:rsid w:val="002C3DA6"/>
    <w:rsid w:val="002C7383"/>
    <w:rsid w:val="002D02D9"/>
    <w:rsid w:val="002D1364"/>
    <w:rsid w:val="002D2D68"/>
    <w:rsid w:val="002D2E2E"/>
    <w:rsid w:val="002D3616"/>
    <w:rsid w:val="002D6D7D"/>
    <w:rsid w:val="002E66CB"/>
    <w:rsid w:val="002F229A"/>
    <w:rsid w:val="002F2AA4"/>
    <w:rsid w:val="002F2E17"/>
    <w:rsid w:val="002F4497"/>
    <w:rsid w:val="002F724C"/>
    <w:rsid w:val="00301B32"/>
    <w:rsid w:val="00302C47"/>
    <w:rsid w:val="00304A84"/>
    <w:rsid w:val="0030500D"/>
    <w:rsid w:val="0031358E"/>
    <w:rsid w:val="00317D34"/>
    <w:rsid w:val="00321813"/>
    <w:rsid w:val="00322E18"/>
    <w:rsid w:val="00324269"/>
    <w:rsid w:val="003265CD"/>
    <w:rsid w:val="003323C4"/>
    <w:rsid w:val="00336B98"/>
    <w:rsid w:val="003401B4"/>
    <w:rsid w:val="00340B70"/>
    <w:rsid w:val="00341A16"/>
    <w:rsid w:val="00347C92"/>
    <w:rsid w:val="00350A0F"/>
    <w:rsid w:val="003556CA"/>
    <w:rsid w:val="00355F64"/>
    <w:rsid w:val="00357956"/>
    <w:rsid w:val="00357D0B"/>
    <w:rsid w:val="0036535D"/>
    <w:rsid w:val="0036765E"/>
    <w:rsid w:val="00367817"/>
    <w:rsid w:val="00370155"/>
    <w:rsid w:val="00373CAD"/>
    <w:rsid w:val="00373F8F"/>
    <w:rsid w:val="0038266E"/>
    <w:rsid w:val="003828F2"/>
    <w:rsid w:val="003856DD"/>
    <w:rsid w:val="00387F43"/>
    <w:rsid w:val="003934E3"/>
    <w:rsid w:val="00393C0C"/>
    <w:rsid w:val="00394836"/>
    <w:rsid w:val="003A4330"/>
    <w:rsid w:val="003A52C6"/>
    <w:rsid w:val="003A60CE"/>
    <w:rsid w:val="003A659D"/>
    <w:rsid w:val="003B53CD"/>
    <w:rsid w:val="003B544D"/>
    <w:rsid w:val="003B6ED0"/>
    <w:rsid w:val="003C08DC"/>
    <w:rsid w:val="003C1679"/>
    <w:rsid w:val="003C4A31"/>
    <w:rsid w:val="003D0B24"/>
    <w:rsid w:val="003D0F8B"/>
    <w:rsid w:val="003D37F1"/>
    <w:rsid w:val="003D6106"/>
    <w:rsid w:val="003D6EA4"/>
    <w:rsid w:val="003D7FC1"/>
    <w:rsid w:val="003E1B04"/>
    <w:rsid w:val="003E3B99"/>
    <w:rsid w:val="003E4DFB"/>
    <w:rsid w:val="003E57DA"/>
    <w:rsid w:val="003E6D10"/>
    <w:rsid w:val="004007B0"/>
    <w:rsid w:val="00401B41"/>
    <w:rsid w:val="00402C92"/>
    <w:rsid w:val="00403823"/>
    <w:rsid w:val="00405F37"/>
    <w:rsid w:val="004105BE"/>
    <w:rsid w:val="004114F9"/>
    <w:rsid w:val="004118AB"/>
    <w:rsid w:val="00413606"/>
    <w:rsid w:val="0041498C"/>
    <w:rsid w:val="00415978"/>
    <w:rsid w:val="00421285"/>
    <w:rsid w:val="004220CF"/>
    <w:rsid w:val="004235FE"/>
    <w:rsid w:val="0042523B"/>
    <w:rsid w:val="00426153"/>
    <w:rsid w:val="004262E2"/>
    <w:rsid w:val="00426AA6"/>
    <w:rsid w:val="0042788A"/>
    <w:rsid w:val="004333C8"/>
    <w:rsid w:val="00433E2C"/>
    <w:rsid w:val="00435051"/>
    <w:rsid w:val="004356A9"/>
    <w:rsid w:val="0043577A"/>
    <w:rsid w:val="00435EBB"/>
    <w:rsid w:val="00440153"/>
    <w:rsid w:val="00442943"/>
    <w:rsid w:val="004459DF"/>
    <w:rsid w:val="00446178"/>
    <w:rsid w:val="004461D5"/>
    <w:rsid w:val="004463F3"/>
    <w:rsid w:val="00447371"/>
    <w:rsid w:val="00447781"/>
    <w:rsid w:val="00452B76"/>
    <w:rsid w:val="004578F3"/>
    <w:rsid w:val="00464CDE"/>
    <w:rsid w:val="00473228"/>
    <w:rsid w:val="004762BA"/>
    <w:rsid w:val="00480ADE"/>
    <w:rsid w:val="0048585C"/>
    <w:rsid w:val="00485DDA"/>
    <w:rsid w:val="004868F9"/>
    <w:rsid w:val="004919E6"/>
    <w:rsid w:val="00492B75"/>
    <w:rsid w:val="0049435A"/>
    <w:rsid w:val="0049545B"/>
    <w:rsid w:val="00496D0E"/>
    <w:rsid w:val="00497228"/>
    <w:rsid w:val="00497822"/>
    <w:rsid w:val="004A152F"/>
    <w:rsid w:val="004A6363"/>
    <w:rsid w:val="004A713B"/>
    <w:rsid w:val="004B0111"/>
    <w:rsid w:val="004B30E3"/>
    <w:rsid w:val="004B3E39"/>
    <w:rsid w:val="004D1821"/>
    <w:rsid w:val="004D6139"/>
    <w:rsid w:val="004D745E"/>
    <w:rsid w:val="004F0D6A"/>
    <w:rsid w:val="004F4E1D"/>
    <w:rsid w:val="0050047C"/>
    <w:rsid w:val="00500889"/>
    <w:rsid w:val="00500C28"/>
    <w:rsid w:val="005011D9"/>
    <w:rsid w:val="005131F6"/>
    <w:rsid w:val="00514229"/>
    <w:rsid w:val="005209EA"/>
    <w:rsid w:val="005220CD"/>
    <w:rsid w:val="0052235C"/>
    <w:rsid w:val="00525C27"/>
    <w:rsid w:val="0052619C"/>
    <w:rsid w:val="00530C43"/>
    <w:rsid w:val="00530DD5"/>
    <w:rsid w:val="005327CC"/>
    <w:rsid w:val="00532F9B"/>
    <w:rsid w:val="00533B01"/>
    <w:rsid w:val="0053582A"/>
    <w:rsid w:val="00537C2A"/>
    <w:rsid w:val="005434D4"/>
    <w:rsid w:val="005441D8"/>
    <w:rsid w:val="00545D64"/>
    <w:rsid w:val="005466D3"/>
    <w:rsid w:val="00546BE5"/>
    <w:rsid w:val="00552483"/>
    <w:rsid w:val="005533BC"/>
    <w:rsid w:val="0055396E"/>
    <w:rsid w:val="0055496B"/>
    <w:rsid w:val="00555CF3"/>
    <w:rsid w:val="005562FF"/>
    <w:rsid w:val="00556932"/>
    <w:rsid w:val="00562A47"/>
    <w:rsid w:val="005677EF"/>
    <w:rsid w:val="005707F4"/>
    <w:rsid w:val="00573E02"/>
    <w:rsid w:val="00574648"/>
    <w:rsid w:val="005747AA"/>
    <w:rsid w:val="00575C1D"/>
    <w:rsid w:val="00576A21"/>
    <w:rsid w:val="00581439"/>
    <w:rsid w:val="00581A57"/>
    <w:rsid w:val="0058220C"/>
    <w:rsid w:val="005930BA"/>
    <w:rsid w:val="00595B28"/>
    <w:rsid w:val="005971F6"/>
    <w:rsid w:val="005975E4"/>
    <w:rsid w:val="00597A43"/>
    <w:rsid w:val="005A2E44"/>
    <w:rsid w:val="005A58AC"/>
    <w:rsid w:val="005B12F3"/>
    <w:rsid w:val="005B2F35"/>
    <w:rsid w:val="005B39BE"/>
    <w:rsid w:val="005B48E5"/>
    <w:rsid w:val="005B52EE"/>
    <w:rsid w:val="005D15C4"/>
    <w:rsid w:val="005D20AB"/>
    <w:rsid w:val="005D4B0E"/>
    <w:rsid w:val="005E30BA"/>
    <w:rsid w:val="005E31EA"/>
    <w:rsid w:val="005E3318"/>
    <w:rsid w:val="005E66F4"/>
    <w:rsid w:val="005F0EF3"/>
    <w:rsid w:val="005F2F95"/>
    <w:rsid w:val="005F3697"/>
    <w:rsid w:val="005F42CF"/>
    <w:rsid w:val="005F4A07"/>
    <w:rsid w:val="005F6E2B"/>
    <w:rsid w:val="005F7079"/>
    <w:rsid w:val="005F747B"/>
    <w:rsid w:val="00600352"/>
    <w:rsid w:val="00602930"/>
    <w:rsid w:val="00606968"/>
    <w:rsid w:val="00606EE1"/>
    <w:rsid w:val="0060737C"/>
    <w:rsid w:val="00611074"/>
    <w:rsid w:val="0061133B"/>
    <w:rsid w:val="00614D93"/>
    <w:rsid w:val="00616C09"/>
    <w:rsid w:val="00616EF8"/>
    <w:rsid w:val="00617954"/>
    <w:rsid w:val="00622212"/>
    <w:rsid w:val="00623241"/>
    <w:rsid w:val="006245C4"/>
    <w:rsid w:val="006245EE"/>
    <w:rsid w:val="0062492A"/>
    <w:rsid w:val="006249DA"/>
    <w:rsid w:val="0062618D"/>
    <w:rsid w:val="00626293"/>
    <w:rsid w:val="006274EF"/>
    <w:rsid w:val="00633AC7"/>
    <w:rsid w:val="006352A0"/>
    <w:rsid w:val="00636D0B"/>
    <w:rsid w:val="00642B31"/>
    <w:rsid w:val="00645807"/>
    <w:rsid w:val="00651F57"/>
    <w:rsid w:val="006522A5"/>
    <w:rsid w:val="00654372"/>
    <w:rsid w:val="006543E9"/>
    <w:rsid w:val="0065481E"/>
    <w:rsid w:val="0065486C"/>
    <w:rsid w:val="006549E7"/>
    <w:rsid w:val="00654FD0"/>
    <w:rsid w:val="006555CE"/>
    <w:rsid w:val="00655BF9"/>
    <w:rsid w:val="00657663"/>
    <w:rsid w:val="0066138D"/>
    <w:rsid w:val="0066573B"/>
    <w:rsid w:val="00670DF9"/>
    <w:rsid w:val="0067181A"/>
    <w:rsid w:val="0067484E"/>
    <w:rsid w:val="00681B59"/>
    <w:rsid w:val="00694A2B"/>
    <w:rsid w:val="006A0E12"/>
    <w:rsid w:val="006A2A15"/>
    <w:rsid w:val="006A4D82"/>
    <w:rsid w:val="006A59FB"/>
    <w:rsid w:val="006B2405"/>
    <w:rsid w:val="006B45FF"/>
    <w:rsid w:val="006B5958"/>
    <w:rsid w:val="006B7E9A"/>
    <w:rsid w:val="006B7F90"/>
    <w:rsid w:val="006C1D09"/>
    <w:rsid w:val="006C2064"/>
    <w:rsid w:val="006C3C4C"/>
    <w:rsid w:val="006C47BF"/>
    <w:rsid w:val="006D1CD3"/>
    <w:rsid w:val="006E0EC1"/>
    <w:rsid w:val="006E2EAB"/>
    <w:rsid w:val="006E4424"/>
    <w:rsid w:val="006E454D"/>
    <w:rsid w:val="006E5581"/>
    <w:rsid w:val="006E654E"/>
    <w:rsid w:val="006E672E"/>
    <w:rsid w:val="006F5909"/>
    <w:rsid w:val="006F66E8"/>
    <w:rsid w:val="0070075C"/>
    <w:rsid w:val="007040FC"/>
    <w:rsid w:val="00710493"/>
    <w:rsid w:val="0071173F"/>
    <w:rsid w:val="00711F55"/>
    <w:rsid w:val="00712237"/>
    <w:rsid w:val="00714385"/>
    <w:rsid w:val="00714A58"/>
    <w:rsid w:val="00715ED2"/>
    <w:rsid w:val="00716CDD"/>
    <w:rsid w:val="007174DE"/>
    <w:rsid w:val="007223A8"/>
    <w:rsid w:val="00722ADE"/>
    <w:rsid w:val="0072456F"/>
    <w:rsid w:val="00732DE3"/>
    <w:rsid w:val="00733078"/>
    <w:rsid w:val="00737B98"/>
    <w:rsid w:val="00741E8B"/>
    <w:rsid w:val="007443AC"/>
    <w:rsid w:val="00744786"/>
    <w:rsid w:val="00745766"/>
    <w:rsid w:val="00745A2F"/>
    <w:rsid w:val="00746965"/>
    <w:rsid w:val="00746AC4"/>
    <w:rsid w:val="00747510"/>
    <w:rsid w:val="0074771B"/>
    <w:rsid w:val="007479ED"/>
    <w:rsid w:val="00752A63"/>
    <w:rsid w:val="00755367"/>
    <w:rsid w:val="00755DBA"/>
    <w:rsid w:val="00755E61"/>
    <w:rsid w:val="00756075"/>
    <w:rsid w:val="007563C0"/>
    <w:rsid w:val="007703C1"/>
    <w:rsid w:val="00771F61"/>
    <w:rsid w:val="0077432F"/>
    <w:rsid w:val="00776541"/>
    <w:rsid w:val="00777F15"/>
    <w:rsid w:val="00781C6F"/>
    <w:rsid w:val="00782677"/>
    <w:rsid w:val="00784E25"/>
    <w:rsid w:val="00785933"/>
    <w:rsid w:val="00785DCE"/>
    <w:rsid w:val="0078694D"/>
    <w:rsid w:val="00791F3A"/>
    <w:rsid w:val="007936EB"/>
    <w:rsid w:val="0079699A"/>
    <w:rsid w:val="007978D7"/>
    <w:rsid w:val="007A0882"/>
    <w:rsid w:val="007A0B93"/>
    <w:rsid w:val="007A0DBA"/>
    <w:rsid w:val="007A417A"/>
    <w:rsid w:val="007A518D"/>
    <w:rsid w:val="007A58A2"/>
    <w:rsid w:val="007A6092"/>
    <w:rsid w:val="007A68A8"/>
    <w:rsid w:val="007B23E0"/>
    <w:rsid w:val="007B2CC6"/>
    <w:rsid w:val="007B517C"/>
    <w:rsid w:val="007B6049"/>
    <w:rsid w:val="007B64C3"/>
    <w:rsid w:val="007C0964"/>
    <w:rsid w:val="007C2B0B"/>
    <w:rsid w:val="007C2EAB"/>
    <w:rsid w:val="007C2ED2"/>
    <w:rsid w:val="007C302D"/>
    <w:rsid w:val="007C3EC1"/>
    <w:rsid w:val="007C4355"/>
    <w:rsid w:val="007D1C8F"/>
    <w:rsid w:val="007D5568"/>
    <w:rsid w:val="007D5A66"/>
    <w:rsid w:val="007E1A5F"/>
    <w:rsid w:val="007E229D"/>
    <w:rsid w:val="007E2F3E"/>
    <w:rsid w:val="007E7D1D"/>
    <w:rsid w:val="007F0C27"/>
    <w:rsid w:val="007F2042"/>
    <w:rsid w:val="007F2818"/>
    <w:rsid w:val="007F32BF"/>
    <w:rsid w:val="007F42EE"/>
    <w:rsid w:val="007F4F21"/>
    <w:rsid w:val="00800FC7"/>
    <w:rsid w:val="00801162"/>
    <w:rsid w:val="00805627"/>
    <w:rsid w:val="00805D59"/>
    <w:rsid w:val="00811B2D"/>
    <w:rsid w:val="00811B53"/>
    <w:rsid w:val="00813634"/>
    <w:rsid w:val="008156F0"/>
    <w:rsid w:val="00820868"/>
    <w:rsid w:val="0082124B"/>
    <w:rsid w:val="00826157"/>
    <w:rsid w:val="00830987"/>
    <w:rsid w:val="00830CB9"/>
    <w:rsid w:val="00831416"/>
    <w:rsid w:val="008329D3"/>
    <w:rsid w:val="008339BD"/>
    <w:rsid w:val="00835C3C"/>
    <w:rsid w:val="00837EE4"/>
    <w:rsid w:val="0084069F"/>
    <w:rsid w:val="00850045"/>
    <w:rsid w:val="0085123B"/>
    <w:rsid w:val="008533EF"/>
    <w:rsid w:val="008545E6"/>
    <w:rsid w:val="00857E63"/>
    <w:rsid w:val="0086289D"/>
    <w:rsid w:val="00863BAF"/>
    <w:rsid w:val="00867654"/>
    <w:rsid w:val="008730FA"/>
    <w:rsid w:val="00875802"/>
    <w:rsid w:val="008760A6"/>
    <w:rsid w:val="008812BB"/>
    <w:rsid w:val="0088252F"/>
    <w:rsid w:val="00885138"/>
    <w:rsid w:val="008860E3"/>
    <w:rsid w:val="0088686E"/>
    <w:rsid w:val="008905A8"/>
    <w:rsid w:val="008906F8"/>
    <w:rsid w:val="00895A3A"/>
    <w:rsid w:val="00896A8C"/>
    <w:rsid w:val="008979E1"/>
    <w:rsid w:val="008A2710"/>
    <w:rsid w:val="008A311A"/>
    <w:rsid w:val="008A492C"/>
    <w:rsid w:val="008B036D"/>
    <w:rsid w:val="008B201A"/>
    <w:rsid w:val="008B299D"/>
    <w:rsid w:val="008B44AB"/>
    <w:rsid w:val="008B4A19"/>
    <w:rsid w:val="008B7755"/>
    <w:rsid w:val="008C1F6E"/>
    <w:rsid w:val="008C3601"/>
    <w:rsid w:val="008C3970"/>
    <w:rsid w:val="008C5D90"/>
    <w:rsid w:val="008C6838"/>
    <w:rsid w:val="008D09B4"/>
    <w:rsid w:val="008D13E4"/>
    <w:rsid w:val="008D1AB7"/>
    <w:rsid w:val="008D28D4"/>
    <w:rsid w:val="008D54B4"/>
    <w:rsid w:val="008D70C7"/>
    <w:rsid w:val="008E039D"/>
    <w:rsid w:val="008E14AA"/>
    <w:rsid w:val="008E181C"/>
    <w:rsid w:val="008E3F92"/>
    <w:rsid w:val="008E4727"/>
    <w:rsid w:val="008E4CBC"/>
    <w:rsid w:val="008E7372"/>
    <w:rsid w:val="008E74D9"/>
    <w:rsid w:val="008F463D"/>
    <w:rsid w:val="008F6000"/>
    <w:rsid w:val="008F708C"/>
    <w:rsid w:val="0090274E"/>
    <w:rsid w:val="00903839"/>
    <w:rsid w:val="0090695B"/>
    <w:rsid w:val="009112C7"/>
    <w:rsid w:val="00912B28"/>
    <w:rsid w:val="00916ABF"/>
    <w:rsid w:val="00916F91"/>
    <w:rsid w:val="00917976"/>
    <w:rsid w:val="00920A03"/>
    <w:rsid w:val="00920BCF"/>
    <w:rsid w:val="009251C7"/>
    <w:rsid w:val="0093410E"/>
    <w:rsid w:val="00935892"/>
    <w:rsid w:val="009358B7"/>
    <w:rsid w:val="009444B8"/>
    <w:rsid w:val="00953578"/>
    <w:rsid w:val="0095668D"/>
    <w:rsid w:val="00960B6C"/>
    <w:rsid w:val="00962D10"/>
    <w:rsid w:val="009636CE"/>
    <w:rsid w:val="00966ABA"/>
    <w:rsid w:val="00972243"/>
    <w:rsid w:val="00973781"/>
    <w:rsid w:val="0097634D"/>
    <w:rsid w:val="00976F11"/>
    <w:rsid w:val="00977D2C"/>
    <w:rsid w:val="00982603"/>
    <w:rsid w:val="0098308A"/>
    <w:rsid w:val="00985120"/>
    <w:rsid w:val="00985C98"/>
    <w:rsid w:val="009878D5"/>
    <w:rsid w:val="00987D92"/>
    <w:rsid w:val="00987F94"/>
    <w:rsid w:val="00992856"/>
    <w:rsid w:val="009928A5"/>
    <w:rsid w:val="00997C4C"/>
    <w:rsid w:val="009A1DE3"/>
    <w:rsid w:val="009A1E96"/>
    <w:rsid w:val="009A3ACC"/>
    <w:rsid w:val="009A3B6F"/>
    <w:rsid w:val="009A43CF"/>
    <w:rsid w:val="009A4D5F"/>
    <w:rsid w:val="009A6CB1"/>
    <w:rsid w:val="009A78BE"/>
    <w:rsid w:val="009B5EE8"/>
    <w:rsid w:val="009B62F8"/>
    <w:rsid w:val="009C1A16"/>
    <w:rsid w:val="009C36FB"/>
    <w:rsid w:val="009C38D2"/>
    <w:rsid w:val="009C434C"/>
    <w:rsid w:val="009C5022"/>
    <w:rsid w:val="009C6144"/>
    <w:rsid w:val="009C63D3"/>
    <w:rsid w:val="009D07BA"/>
    <w:rsid w:val="009D39F9"/>
    <w:rsid w:val="009D4726"/>
    <w:rsid w:val="009E0DBC"/>
    <w:rsid w:val="009E5B2B"/>
    <w:rsid w:val="009E5FD3"/>
    <w:rsid w:val="009F00A4"/>
    <w:rsid w:val="009F05FA"/>
    <w:rsid w:val="009F301F"/>
    <w:rsid w:val="00A02E62"/>
    <w:rsid w:val="00A1016F"/>
    <w:rsid w:val="00A1081E"/>
    <w:rsid w:val="00A13655"/>
    <w:rsid w:val="00A15790"/>
    <w:rsid w:val="00A16434"/>
    <w:rsid w:val="00A17B2B"/>
    <w:rsid w:val="00A22123"/>
    <w:rsid w:val="00A248C1"/>
    <w:rsid w:val="00A2761A"/>
    <w:rsid w:val="00A31110"/>
    <w:rsid w:val="00A3120E"/>
    <w:rsid w:val="00A41682"/>
    <w:rsid w:val="00A4236A"/>
    <w:rsid w:val="00A44629"/>
    <w:rsid w:val="00A44BB3"/>
    <w:rsid w:val="00A46F80"/>
    <w:rsid w:val="00A5235F"/>
    <w:rsid w:val="00A52841"/>
    <w:rsid w:val="00A53F75"/>
    <w:rsid w:val="00A55BCE"/>
    <w:rsid w:val="00A6080E"/>
    <w:rsid w:val="00A60D55"/>
    <w:rsid w:val="00A613A2"/>
    <w:rsid w:val="00A65C92"/>
    <w:rsid w:val="00A70C81"/>
    <w:rsid w:val="00A7275A"/>
    <w:rsid w:val="00A8011D"/>
    <w:rsid w:val="00A80A43"/>
    <w:rsid w:val="00A83DEB"/>
    <w:rsid w:val="00A84AE8"/>
    <w:rsid w:val="00A850E8"/>
    <w:rsid w:val="00A90DE7"/>
    <w:rsid w:val="00A9524C"/>
    <w:rsid w:val="00A9645C"/>
    <w:rsid w:val="00A97D4F"/>
    <w:rsid w:val="00AA04C7"/>
    <w:rsid w:val="00AA271D"/>
    <w:rsid w:val="00AA4604"/>
    <w:rsid w:val="00AB4729"/>
    <w:rsid w:val="00AB479B"/>
    <w:rsid w:val="00AB62E3"/>
    <w:rsid w:val="00AB73E3"/>
    <w:rsid w:val="00AC0D48"/>
    <w:rsid w:val="00AC0E14"/>
    <w:rsid w:val="00AC3711"/>
    <w:rsid w:val="00AC718A"/>
    <w:rsid w:val="00AD553C"/>
    <w:rsid w:val="00AD6C4E"/>
    <w:rsid w:val="00AE0DD0"/>
    <w:rsid w:val="00AE3C9B"/>
    <w:rsid w:val="00AE443D"/>
    <w:rsid w:val="00AE5C29"/>
    <w:rsid w:val="00AE60C5"/>
    <w:rsid w:val="00AF1624"/>
    <w:rsid w:val="00AF6184"/>
    <w:rsid w:val="00AF685C"/>
    <w:rsid w:val="00B025A2"/>
    <w:rsid w:val="00B10CEA"/>
    <w:rsid w:val="00B1113B"/>
    <w:rsid w:val="00B132EA"/>
    <w:rsid w:val="00B1378E"/>
    <w:rsid w:val="00B166B8"/>
    <w:rsid w:val="00B21523"/>
    <w:rsid w:val="00B22B40"/>
    <w:rsid w:val="00B23901"/>
    <w:rsid w:val="00B24949"/>
    <w:rsid w:val="00B271AF"/>
    <w:rsid w:val="00B27FB8"/>
    <w:rsid w:val="00B3001E"/>
    <w:rsid w:val="00B300F0"/>
    <w:rsid w:val="00B318BD"/>
    <w:rsid w:val="00B32894"/>
    <w:rsid w:val="00B3607F"/>
    <w:rsid w:val="00B410F6"/>
    <w:rsid w:val="00B42A3B"/>
    <w:rsid w:val="00B44958"/>
    <w:rsid w:val="00B4539E"/>
    <w:rsid w:val="00B5013E"/>
    <w:rsid w:val="00B51091"/>
    <w:rsid w:val="00B55695"/>
    <w:rsid w:val="00B6344B"/>
    <w:rsid w:val="00B63647"/>
    <w:rsid w:val="00B667F9"/>
    <w:rsid w:val="00B70BDF"/>
    <w:rsid w:val="00B71651"/>
    <w:rsid w:val="00B71E66"/>
    <w:rsid w:val="00B71FCF"/>
    <w:rsid w:val="00B73F0E"/>
    <w:rsid w:val="00B76B3A"/>
    <w:rsid w:val="00B772AC"/>
    <w:rsid w:val="00B81B31"/>
    <w:rsid w:val="00B823E3"/>
    <w:rsid w:val="00B875E6"/>
    <w:rsid w:val="00B90176"/>
    <w:rsid w:val="00B95686"/>
    <w:rsid w:val="00B959BB"/>
    <w:rsid w:val="00B95CA0"/>
    <w:rsid w:val="00B96649"/>
    <w:rsid w:val="00B97693"/>
    <w:rsid w:val="00BA133C"/>
    <w:rsid w:val="00BA7CC8"/>
    <w:rsid w:val="00BB10E1"/>
    <w:rsid w:val="00BB1BF5"/>
    <w:rsid w:val="00BB3B61"/>
    <w:rsid w:val="00BB46A9"/>
    <w:rsid w:val="00BB5574"/>
    <w:rsid w:val="00BB6E66"/>
    <w:rsid w:val="00BC13E3"/>
    <w:rsid w:val="00BC2BC6"/>
    <w:rsid w:val="00BD16E9"/>
    <w:rsid w:val="00BD520E"/>
    <w:rsid w:val="00BD54B9"/>
    <w:rsid w:val="00BD5626"/>
    <w:rsid w:val="00BD681E"/>
    <w:rsid w:val="00BD76F5"/>
    <w:rsid w:val="00BE3443"/>
    <w:rsid w:val="00BE361C"/>
    <w:rsid w:val="00BE3FBD"/>
    <w:rsid w:val="00BF159A"/>
    <w:rsid w:val="00BF1875"/>
    <w:rsid w:val="00BF2908"/>
    <w:rsid w:val="00BF3985"/>
    <w:rsid w:val="00BF4DD6"/>
    <w:rsid w:val="00BF5B13"/>
    <w:rsid w:val="00BF77AC"/>
    <w:rsid w:val="00C03D19"/>
    <w:rsid w:val="00C059E3"/>
    <w:rsid w:val="00C064B8"/>
    <w:rsid w:val="00C0676B"/>
    <w:rsid w:val="00C07E4F"/>
    <w:rsid w:val="00C11001"/>
    <w:rsid w:val="00C11203"/>
    <w:rsid w:val="00C114AD"/>
    <w:rsid w:val="00C1322E"/>
    <w:rsid w:val="00C150DD"/>
    <w:rsid w:val="00C1535F"/>
    <w:rsid w:val="00C20873"/>
    <w:rsid w:val="00C209C4"/>
    <w:rsid w:val="00C20CF7"/>
    <w:rsid w:val="00C20E06"/>
    <w:rsid w:val="00C219C8"/>
    <w:rsid w:val="00C21A42"/>
    <w:rsid w:val="00C2272B"/>
    <w:rsid w:val="00C22E82"/>
    <w:rsid w:val="00C23922"/>
    <w:rsid w:val="00C255E6"/>
    <w:rsid w:val="00C25CE5"/>
    <w:rsid w:val="00C27B8C"/>
    <w:rsid w:val="00C27C7B"/>
    <w:rsid w:val="00C31F7A"/>
    <w:rsid w:val="00C32A45"/>
    <w:rsid w:val="00C33EA8"/>
    <w:rsid w:val="00C35DC2"/>
    <w:rsid w:val="00C403D3"/>
    <w:rsid w:val="00C40D0E"/>
    <w:rsid w:val="00C42465"/>
    <w:rsid w:val="00C42F48"/>
    <w:rsid w:val="00C4399F"/>
    <w:rsid w:val="00C443B8"/>
    <w:rsid w:val="00C444A3"/>
    <w:rsid w:val="00C44CC2"/>
    <w:rsid w:val="00C44CFB"/>
    <w:rsid w:val="00C45400"/>
    <w:rsid w:val="00C4657B"/>
    <w:rsid w:val="00C50A9C"/>
    <w:rsid w:val="00C61206"/>
    <w:rsid w:val="00C61EF4"/>
    <w:rsid w:val="00C62249"/>
    <w:rsid w:val="00C63643"/>
    <w:rsid w:val="00C6495F"/>
    <w:rsid w:val="00C649D1"/>
    <w:rsid w:val="00C662FA"/>
    <w:rsid w:val="00C71107"/>
    <w:rsid w:val="00C72901"/>
    <w:rsid w:val="00C72C08"/>
    <w:rsid w:val="00C74A91"/>
    <w:rsid w:val="00C777FF"/>
    <w:rsid w:val="00C7792D"/>
    <w:rsid w:val="00C81599"/>
    <w:rsid w:val="00C8799B"/>
    <w:rsid w:val="00C902E8"/>
    <w:rsid w:val="00C90797"/>
    <w:rsid w:val="00C90BD5"/>
    <w:rsid w:val="00C90F0C"/>
    <w:rsid w:val="00C944F4"/>
    <w:rsid w:val="00C967DF"/>
    <w:rsid w:val="00CA21A2"/>
    <w:rsid w:val="00CA240C"/>
    <w:rsid w:val="00CA46AD"/>
    <w:rsid w:val="00CA5830"/>
    <w:rsid w:val="00CA6CB7"/>
    <w:rsid w:val="00CB050E"/>
    <w:rsid w:val="00CB509D"/>
    <w:rsid w:val="00CB5944"/>
    <w:rsid w:val="00CB70DD"/>
    <w:rsid w:val="00CC11B9"/>
    <w:rsid w:val="00CC2CBA"/>
    <w:rsid w:val="00CC3DB6"/>
    <w:rsid w:val="00CC7413"/>
    <w:rsid w:val="00CC75CC"/>
    <w:rsid w:val="00CD04D1"/>
    <w:rsid w:val="00CD206E"/>
    <w:rsid w:val="00CD5836"/>
    <w:rsid w:val="00CE393E"/>
    <w:rsid w:val="00CE4182"/>
    <w:rsid w:val="00CE7C64"/>
    <w:rsid w:val="00CF1A4D"/>
    <w:rsid w:val="00CF2781"/>
    <w:rsid w:val="00CF2B65"/>
    <w:rsid w:val="00CF2DCE"/>
    <w:rsid w:val="00CF3781"/>
    <w:rsid w:val="00CF3A1F"/>
    <w:rsid w:val="00CF53E9"/>
    <w:rsid w:val="00CF62D6"/>
    <w:rsid w:val="00D00536"/>
    <w:rsid w:val="00D0502A"/>
    <w:rsid w:val="00D0533A"/>
    <w:rsid w:val="00D07459"/>
    <w:rsid w:val="00D07AF4"/>
    <w:rsid w:val="00D13DDC"/>
    <w:rsid w:val="00D13EAD"/>
    <w:rsid w:val="00D142F8"/>
    <w:rsid w:val="00D175A4"/>
    <w:rsid w:val="00D208BB"/>
    <w:rsid w:val="00D22726"/>
    <w:rsid w:val="00D22947"/>
    <w:rsid w:val="00D23C6C"/>
    <w:rsid w:val="00D258EE"/>
    <w:rsid w:val="00D25936"/>
    <w:rsid w:val="00D25CA1"/>
    <w:rsid w:val="00D274EE"/>
    <w:rsid w:val="00D31BAF"/>
    <w:rsid w:val="00D31C6E"/>
    <w:rsid w:val="00D32B3A"/>
    <w:rsid w:val="00D34EF0"/>
    <w:rsid w:val="00D41890"/>
    <w:rsid w:val="00D44735"/>
    <w:rsid w:val="00D460B5"/>
    <w:rsid w:val="00D468BA"/>
    <w:rsid w:val="00D46E7D"/>
    <w:rsid w:val="00D5011B"/>
    <w:rsid w:val="00D5068B"/>
    <w:rsid w:val="00D52238"/>
    <w:rsid w:val="00D5271F"/>
    <w:rsid w:val="00D5554D"/>
    <w:rsid w:val="00D57A59"/>
    <w:rsid w:val="00D60A11"/>
    <w:rsid w:val="00D63B67"/>
    <w:rsid w:val="00D70530"/>
    <w:rsid w:val="00D71B5F"/>
    <w:rsid w:val="00D72A49"/>
    <w:rsid w:val="00D72CBC"/>
    <w:rsid w:val="00D74855"/>
    <w:rsid w:val="00D75FF9"/>
    <w:rsid w:val="00D774D8"/>
    <w:rsid w:val="00D818B0"/>
    <w:rsid w:val="00D81BA7"/>
    <w:rsid w:val="00D81BB1"/>
    <w:rsid w:val="00D82D59"/>
    <w:rsid w:val="00D8483B"/>
    <w:rsid w:val="00D87205"/>
    <w:rsid w:val="00D937F1"/>
    <w:rsid w:val="00D974C6"/>
    <w:rsid w:val="00DA2CA5"/>
    <w:rsid w:val="00DA59F0"/>
    <w:rsid w:val="00DA5BDA"/>
    <w:rsid w:val="00DA644E"/>
    <w:rsid w:val="00DB202E"/>
    <w:rsid w:val="00DB52E0"/>
    <w:rsid w:val="00DB7834"/>
    <w:rsid w:val="00DC037C"/>
    <w:rsid w:val="00DC4C08"/>
    <w:rsid w:val="00DC4D68"/>
    <w:rsid w:val="00DC5B5C"/>
    <w:rsid w:val="00DD1C42"/>
    <w:rsid w:val="00DD48B8"/>
    <w:rsid w:val="00DE3731"/>
    <w:rsid w:val="00DE6DF4"/>
    <w:rsid w:val="00DE7196"/>
    <w:rsid w:val="00DF0F8E"/>
    <w:rsid w:val="00DF108A"/>
    <w:rsid w:val="00DF4CDD"/>
    <w:rsid w:val="00DF5FA5"/>
    <w:rsid w:val="00DF64B8"/>
    <w:rsid w:val="00DF69A2"/>
    <w:rsid w:val="00DF7223"/>
    <w:rsid w:val="00E00845"/>
    <w:rsid w:val="00E02097"/>
    <w:rsid w:val="00E026DB"/>
    <w:rsid w:val="00E02DE4"/>
    <w:rsid w:val="00E04758"/>
    <w:rsid w:val="00E057A1"/>
    <w:rsid w:val="00E065DC"/>
    <w:rsid w:val="00E10508"/>
    <w:rsid w:val="00E109CF"/>
    <w:rsid w:val="00E11722"/>
    <w:rsid w:val="00E11C1E"/>
    <w:rsid w:val="00E22075"/>
    <w:rsid w:val="00E24313"/>
    <w:rsid w:val="00E24E30"/>
    <w:rsid w:val="00E3436E"/>
    <w:rsid w:val="00E35B06"/>
    <w:rsid w:val="00E3644C"/>
    <w:rsid w:val="00E443B3"/>
    <w:rsid w:val="00E51578"/>
    <w:rsid w:val="00E521CD"/>
    <w:rsid w:val="00E531F3"/>
    <w:rsid w:val="00E53934"/>
    <w:rsid w:val="00E54524"/>
    <w:rsid w:val="00E54E2B"/>
    <w:rsid w:val="00E556AE"/>
    <w:rsid w:val="00E576FC"/>
    <w:rsid w:val="00E57B9F"/>
    <w:rsid w:val="00E60CA3"/>
    <w:rsid w:val="00E61EE9"/>
    <w:rsid w:val="00E65B0F"/>
    <w:rsid w:val="00E67BDA"/>
    <w:rsid w:val="00E70094"/>
    <w:rsid w:val="00E70B0D"/>
    <w:rsid w:val="00E71CBF"/>
    <w:rsid w:val="00E733A9"/>
    <w:rsid w:val="00E73E8F"/>
    <w:rsid w:val="00E75B1F"/>
    <w:rsid w:val="00E76B85"/>
    <w:rsid w:val="00E77C16"/>
    <w:rsid w:val="00E80FD9"/>
    <w:rsid w:val="00E81CAB"/>
    <w:rsid w:val="00E84637"/>
    <w:rsid w:val="00E85B05"/>
    <w:rsid w:val="00E878CB"/>
    <w:rsid w:val="00E90268"/>
    <w:rsid w:val="00E92E8D"/>
    <w:rsid w:val="00E96F0B"/>
    <w:rsid w:val="00E97EED"/>
    <w:rsid w:val="00E97F19"/>
    <w:rsid w:val="00EA0D5F"/>
    <w:rsid w:val="00EA2662"/>
    <w:rsid w:val="00EA2BB2"/>
    <w:rsid w:val="00EB120F"/>
    <w:rsid w:val="00EB128F"/>
    <w:rsid w:val="00EB1AF2"/>
    <w:rsid w:val="00EB752D"/>
    <w:rsid w:val="00EC0592"/>
    <w:rsid w:val="00EC0E00"/>
    <w:rsid w:val="00EC0E2B"/>
    <w:rsid w:val="00EC0F12"/>
    <w:rsid w:val="00EC524C"/>
    <w:rsid w:val="00EC7276"/>
    <w:rsid w:val="00EC7B3E"/>
    <w:rsid w:val="00ED25CF"/>
    <w:rsid w:val="00ED33A3"/>
    <w:rsid w:val="00ED56D3"/>
    <w:rsid w:val="00ED6130"/>
    <w:rsid w:val="00EE24A5"/>
    <w:rsid w:val="00EE3951"/>
    <w:rsid w:val="00EE5DCA"/>
    <w:rsid w:val="00EE7A4B"/>
    <w:rsid w:val="00EF61FA"/>
    <w:rsid w:val="00F0042F"/>
    <w:rsid w:val="00F03F4D"/>
    <w:rsid w:val="00F10043"/>
    <w:rsid w:val="00F11145"/>
    <w:rsid w:val="00F121B3"/>
    <w:rsid w:val="00F12501"/>
    <w:rsid w:val="00F126EF"/>
    <w:rsid w:val="00F139B8"/>
    <w:rsid w:val="00F14502"/>
    <w:rsid w:val="00F14598"/>
    <w:rsid w:val="00F1516A"/>
    <w:rsid w:val="00F15910"/>
    <w:rsid w:val="00F17991"/>
    <w:rsid w:val="00F2290C"/>
    <w:rsid w:val="00F2645B"/>
    <w:rsid w:val="00F26952"/>
    <w:rsid w:val="00F27318"/>
    <w:rsid w:val="00F27361"/>
    <w:rsid w:val="00F2756F"/>
    <w:rsid w:val="00F35DB3"/>
    <w:rsid w:val="00F37C29"/>
    <w:rsid w:val="00F40AF1"/>
    <w:rsid w:val="00F42313"/>
    <w:rsid w:val="00F446BD"/>
    <w:rsid w:val="00F46CD8"/>
    <w:rsid w:val="00F50EA1"/>
    <w:rsid w:val="00F51595"/>
    <w:rsid w:val="00F52112"/>
    <w:rsid w:val="00F5359F"/>
    <w:rsid w:val="00F608EF"/>
    <w:rsid w:val="00F61780"/>
    <w:rsid w:val="00F62C4B"/>
    <w:rsid w:val="00F65818"/>
    <w:rsid w:val="00F6603F"/>
    <w:rsid w:val="00F71FD1"/>
    <w:rsid w:val="00F77B3C"/>
    <w:rsid w:val="00F80360"/>
    <w:rsid w:val="00F81F71"/>
    <w:rsid w:val="00F822AD"/>
    <w:rsid w:val="00F839BC"/>
    <w:rsid w:val="00F94FA4"/>
    <w:rsid w:val="00F96CBB"/>
    <w:rsid w:val="00FA16E2"/>
    <w:rsid w:val="00FB075C"/>
    <w:rsid w:val="00FB26D8"/>
    <w:rsid w:val="00FB2791"/>
    <w:rsid w:val="00FB2B5A"/>
    <w:rsid w:val="00FB3E00"/>
    <w:rsid w:val="00FB4C4D"/>
    <w:rsid w:val="00FB50A5"/>
    <w:rsid w:val="00FB551F"/>
    <w:rsid w:val="00FB6B3C"/>
    <w:rsid w:val="00FB71B1"/>
    <w:rsid w:val="00FC59CE"/>
    <w:rsid w:val="00FC75B8"/>
    <w:rsid w:val="00FD1ACD"/>
    <w:rsid w:val="00FD2BF6"/>
    <w:rsid w:val="00FD2C91"/>
    <w:rsid w:val="00FD45F0"/>
    <w:rsid w:val="00FD517A"/>
    <w:rsid w:val="00FD54D9"/>
    <w:rsid w:val="00FD5F4E"/>
    <w:rsid w:val="00FD6324"/>
    <w:rsid w:val="00FD6455"/>
    <w:rsid w:val="00FD6A43"/>
    <w:rsid w:val="00FE3D17"/>
    <w:rsid w:val="00FE7A1E"/>
    <w:rsid w:val="00FF04E8"/>
    <w:rsid w:val="00FF43A4"/>
    <w:rsid w:val="00FF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15:docId w15:val="{41EAEACA-8CE7-4C5B-8EDC-12FC091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ind w:left="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1C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character" w:customStyle="1" w:styleId="Heading3Char">
    <w:name w:val="Heading 3 Char"/>
    <w:basedOn w:val="DefaultParagraphFont"/>
    <w:link w:val="Heading3"/>
    <w:uiPriority w:val="9"/>
    <w:semiHidden/>
    <w:rsid w:val="00D31C6E"/>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01660C"/>
    <w:rPr>
      <w:color w:val="954F72" w:themeColor="followedHyperlink"/>
      <w:u w:val="single"/>
    </w:rPr>
  </w:style>
  <w:style w:type="paragraph" w:styleId="EndnoteText">
    <w:name w:val="endnote text"/>
    <w:basedOn w:val="Normal"/>
    <w:link w:val="EndnoteTextChar"/>
    <w:uiPriority w:val="99"/>
    <w:semiHidden/>
    <w:unhideWhenUsed/>
    <w:rsid w:val="00127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147"/>
    <w:rPr>
      <w:rFonts w:ascii="Calibri" w:eastAsia="Calibri" w:hAnsi="Calibri" w:cs="Times New Roman"/>
      <w:sz w:val="20"/>
      <w:szCs w:val="20"/>
    </w:rPr>
  </w:style>
  <w:style w:type="character" w:styleId="EndnoteReference">
    <w:name w:val="endnote reference"/>
    <w:basedOn w:val="DefaultParagraphFont"/>
    <w:uiPriority w:val="99"/>
    <w:unhideWhenUsed/>
    <w:rsid w:val="00127147"/>
    <w:rPr>
      <w:vertAlign w:val="superscript"/>
    </w:rPr>
  </w:style>
  <w:style w:type="character" w:styleId="UnresolvedMention">
    <w:name w:val="Unresolved Mention"/>
    <w:basedOn w:val="DefaultParagraphFont"/>
    <w:uiPriority w:val="99"/>
    <w:semiHidden/>
    <w:unhideWhenUsed/>
    <w:rsid w:val="00C23922"/>
    <w:rPr>
      <w:color w:val="605E5C"/>
      <w:shd w:val="clear" w:color="auto" w:fill="E1DFDD"/>
    </w:rPr>
  </w:style>
  <w:style w:type="paragraph" w:styleId="Header">
    <w:name w:val="header"/>
    <w:basedOn w:val="Normal"/>
    <w:link w:val="HeaderChar"/>
    <w:uiPriority w:val="99"/>
    <w:unhideWhenUsed/>
    <w:rsid w:val="00F1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403380507">
      <w:bodyDiv w:val="1"/>
      <w:marLeft w:val="0"/>
      <w:marRight w:val="0"/>
      <w:marTop w:val="0"/>
      <w:marBottom w:val="0"/>
      <w:divBdr>
        <w:top w:val="none" w:sz="0" w:space="0" w:color="auto"/>
        <w:left w:val="none" w:sz="0" w:space="0" w:color="auto"/>
        <w:bottom w:val="none" w:sz="0" w:space="0" w:color="auto"/>
        <w:right w:val="none" w:sz="0" w:space="0" w:color="auto"/>
      </w:divBdr>
      <w:divsChild>
        <w:div w:id="1117523963">
          <w:marLeft w:val="0"/>
          <w:marRight w:val="0"/>
          <w:marTop w:val="0"/>
          <w:marBottom w:val="0"/>
          <w:divBdr>
            <w:top w:val="none" w:sz="0" w:space="0" w:color="auto"/>
            <w:left w:val="none" w:sz="0" w:space="0" w:color="auto"/>
            <w:bottom w:val="none" w:sz="0" w:space="0" w:color="auto"/>
            <w:right w:val="none" w:sz="0" w:space="0" w:color="auto"/>
          </w:divBdr>
          <w:divsChild>
            <w:div w:id="1307318369">
              <w:marLeft w:val="0"/>
              <w:marRight w:val="0"/>
              <w:marTop w:val="0"/>
              <w:marBottom w:val="0"/>
              <w:divBdr>
                <w:top w:val="none" w:sz="0" w:space="0" w:color="auto"/>
                <w:left w:val="none" w:sz="0" w:space="0" w:color="auto"/>
                <w:bottom w:val="none" w:sz="0" w:space="0" w:color="auto"/>
                <w:right w:val="none" w:sz="0" w:space="0" w:color="auto"/>
              </w:divBdr>
              <w:divsChild>
                <w:div w:id="363596656">
                  <w:marLeft w:val="0"/>
                  <w:marRight w:val="0"/>
                  <w:marTop w:val="0"/>
                  <w:marBottom w:val="0"/>
                  <w:divBdr>
                    <w:top w:val="none" w:sz="0" w:space="0" w:color="auto"/>
                    <w:left w:val="none" w:sz="0" w:space="0" w:color="auto"/>
                    <w:bottom w:val="none" w:sz="0" w:space="0" w:color="auto"/>
                    <w:right w:val="none" w:sz="0" w:space="0" w:color="auto"/>
                  </w:divBdr>
                  <w:divsChild>
                    <w:div w:id="14893905">
                      <w:marLeft w:val="0"/>
                      <w:marRight w:val="0"/>
                      <w:marTop w:val="0"/>
                      <w:marBottom w:val="0"/>
                      <w:divBdr>
                        <w:top w:val="none" w:sz="0" w:space="0" w:color="auto"/>
                        <w:left w:val="none" w:sz="0" w:space="0" w:color="auto"/>
                        <w:bottom w:val="none" w:sz="0" w:space="0" w:color="auto"/>
                        <w:right w:val="none" w:sz="0" w:space="0" w:color="auto"/>
                      </w:divBdr>
                      <w:divsChild>
                        <w:div w:id="270477748">
                          <w:marLeft w:val="0"/>
                          <w:marRight w:val="0"/>
                          <w:marTop w:val="0"/>
                          <w:marBottom w:val="0"/>
                          <w:divBdr>
                            <w:top w:val="none" w:sz="0" w:space="0" w:color="auto"/>
                            <w:left w:val="none" w:sz="0" w:space="0" w:color="auto"/>
                            <w:bottom w:val="none" w:sz="0" w:space="0" w:color="auto"/>
                            <w:right w:val="none" w:sz="0" w:space="0" w:color="auto"/>
                          </w:divBdr>
                          <w:divsChild>
                            <w:div w:id="162211529">
                              <w:marLeft w:val="0"/>
                              <w:marRight w:val="0"/>
                              <w:marTop w:val="0"/>
                              <w:marBottom w:val="0"/>
                              <w:divBdr>
                                <w:top w:val="none" w:sz="0" w:space="0" w:color="auto"/>
                                <w:left w:val="none" w:sz="0" w:space="0" w:color="auto"/>
                                <w:bottom w:val="none" w:sz="0" w:space="0" w:color="auto"/>
                                <w:right w:val="none" w:sz="0" w:space="0" w:color="auto"/>
                              </w:divBdr>
                              <w:divsChild>
                                <w:div w:id="307444770">
                                  <w:marLeft w:val="0"/>
                                  <w:marRight w:val="0"/>
                                  <w:marTop w:val="0"/>
                                  <w:marBottom w:val="0"/>
                                  <w:divBdr>
                                    <w:top w:val="none" w:sz="0" w:space="0" w:color="auto"/>
                                    <w:left w:val="none" w:sz="0" w:space="0" w:color="auto"/>
                                    <w:bottom w:val="none" w:sz="0" w:space="0" w:color="auto"/>
                                    <w:right w:val="none" w:sz="0" w:space="0" w:color="auto"/>
                                  </w:divBdr>
                                  <w:divsChild>
                                    <w:div w:id="676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64397248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 w:id="884828132">
      <w:bodyDiv w:val="1"/>
      <w:marLeft w:val="0"/>
      <w:marRight w:val="0"/>
      <w:marTop w:val="0"/>
      <w:marBottom w:val="0"/>
      <w:divBdr>
        <w:top w:val="none" w:sz="0" w:space="0" w:color="auto"/>
        <w:left w:val="none" w:sz="0" w:space="0" w:color="auto"/>
        <w:bottom w:val="none" w:sz="0" w:space="0" w:color="auto"/>
        <w:right w:val="none" w:sz="0" w:space="0" w:color="auto"/>
      </w:divBdr>
      <w:divsChild>
        <w:div w:id="1905682174">
          <w:marLeft w:val="0"/>
          <w:marRight w:val="0"/>
          <w:marTop w:val="0"/>
          <w:marBottom w:val="0"/>
          <w:divBdr>
            <w:top w:val="none" w:sz="0" w:space="0" w:color="auto"/>
            <w:left w:val="none" w:sz="0" w:space="0" w:color="auto"/>
            <w:bottom w:val="none" w:sz="0" w:space="0" w:color="auto"/>
            <w:right w:val="none" w:sz="0" w:space="0" w:color="auto"/>
          </w:divBdr>
          <w:divsChild>
            <w:div w:id="702366004">
              <w:marLeft w:val="0"/>
              <w:marRight w:val="0"/>
              <w:marTop w:val="0"/>
              <w:marBottom w:val="0"/>
              <w:divBdr>
                <w:top w:val="none" w:sz="0" w:space="0" w:color="auto"/>
                <w:left w:val="none" w:sz="0" w:space="0" w:color="auto"/>
                <w:bottom w:val="none" w:sz="0" w:space="0" w:color="auto"/>
                <w:right w:val="none" w:sz="0" w:space="0" w:color="auto"/>
              </w:divBdr>
              <w:divsChild>
                <w:div w:id="1847355544">
                  <w:marLeft w:val="0"/>
                  <w:marRight w:val="0"/>
                  <w:marTop w:val="0"/>
                  <w:marBottom w:val="0"/>
                  <w:divBdr>
                    <w:top w:val="none" w:sz="0" w:space="0" w:color="auto"/>
                    <w:left w:val="none" w:sz="0" w:space="0" w:color="auto"/>
                    <w:bottom w:val="none" w:sz="0" w:space="0" w:color="auto"/>
                    <w:right w:val="none" w:sz="0" w:space="0" w:color="auto"/>
                  </w:divBdr>
                  <w:divsChild>
                    <w:div w:id="669523259">
                      <w:marLeft w:val="0"/>
                      <w:marRight w:val="0"/>
                      <w:marTop w:val="0"/>
                      <w:marBottom w:val="0"/>
                      <w:divBdr>
                        <w:top w:val="none" w:sz="0" w:space="0" w:color="auto"/>
                        <w:left w:val="none" w:sz="0" w:space="0" w:color="auto"/>
                        <w:bottom w:val="none" w:sz="0" w:space="0" w:color="auto"/>
                        <w:right w:val="none" w:sz="0" w:space="0" w:color="auto"/>
                      </w:divBdr>
                      <w:divsChild>
                        <w:div w:id="2057462268">
                          <w:marLeft w:val="0"/>
                          <w:marRight w:val="0"/>
                          <w:marTop w:val="0"/>
                          <w:marBottom w:val="0"/>
                          <w:divBdr>
                            <w:top w:val="none" w:sz="0" w:space="0" w:color="auto"/>
                            <w:left w:val="none" w:sz="0" w:space="0" w:color="auto"/>
                            <w:bottom w:val="none" w:sz="0" w:space="0" w:color="auto"/>
                            <w:right w:val="none" w:sz="0" w:space="0" w:color="auto"/>
                          </w:divBdr>
                          <w:divsChild>
                            <w:div w:id="719550886">
                              <w:marLeft w:val="0"/>
                              <w:marRight w:val="0"/>
                              <w:marTop w:val="0"/>
                              <w:marBottom w:val="0"/>
                              <w:divBdr>
                                <w:top w:val="none" w:sz="0" w:space="0" w:color="auto"/>
                                <w:left w:val="none" w:sz="0" w:space="0" w:color="auto"/>
                                <w:bottom w:val="none" w:sz="0" w:space="0" w:color="auto"/>
                                <w:right w:val="none" w:sz="0" w:space="0" w:color="auto"/>
                              </w:divBdr>
                              <w:divsChild>
                                <w:div w:id="484905736">
                                  <w:marLeft w:val="0"/>
                                  <w:marRight w:val="0"/>
                                  <w:marTop w:val="0"/>
                                  <w:marBottom w:val="0"/>
                                  <w:divBdr>
                                    <w:top w:val="none" w:sz="0" w:space="0" w:color="auto"/>
                                    <w:left w:val="none" w:sz="0" w:space="0" w:color="auto"/>
                                    <w:bottom w:val="none" w:sz="0" w:space="0" w:color="auto"/>
                                    <w:right w:val="none" w:sz="0" w:space="0" w:color="auto"/>
                                  </w:divBdr>
                                  <w:divsChild>
                                    <w:div w:id="115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40270">
      <w:bodyDiv w:val="1"/>
      <w:marLeft w:val="0"/>
      <w:marRight w:val="0"/>
      <w:marTop w:val="0"/>
      <w:marBottom w:val="0"/>
      <w:divBdr>
        <w:top w:val="none" w:sz="0" w:space="0" w:color="auto"/>
        <w:left w:val="none" w:sz="0" w:space="0" w:color="auto"/>
        <w:bottom w:val="none" w:sz="0" w:space="0" w:color="auto"/>
        <w:right w:val="none" w:sz="0" w:space="0" w:color="auto"/>
      </w:divBdr>
    </w:div>
    <w:div w:id="17325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pdn.org.a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wda.org.a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f@pwda.org.au" TargetMode="External"/><Relationship Id="rId5" Type="http://schemas.openxmlformats.org/officeDocument/2006/relationships/webSettings" Target="webSettings.xml"/><Relationship Id="rId15" Type="http://schemas.openxmlformats.org/officeDocument/2006/relationships/hyperlink" Target="http://neda.org.au/" TargetMode="External"/><Relationship Id="rId23" Type="http://schemas.openxmlformats.org/officeDocument/2006/relationships/theme" Target="theme/theme1.xml"/><Relationship Id="rId10" Type="http://schemas.openxmlformats.org/officeDocument/2006/relationships/hyperlink" Target="mailto:thereses@pwd.org.au"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rpo@neda.org.au" TargetMode="External"/><Relationship Id="rId14" Type="http://schemas.openxmlformats.org/officeDocument/2006/relationships/hyperlink" Target="http://pwd.org.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rastructure.gov.au/transport/disabilities/whole-journey/index.aspx" TargetMode="External"/><Relationship Id="rId2" Type="http://schemas.openxmlformats.org/officeDocument/2006/relationships/hyperlink" Target="https://www.abc.net.au/news/2018-12-10/queensland-rail-inquiry-new-trained-failed-from-day-one-forde/10600554" TargetMode="External"/><Relationship Id="rId1" Type="http://schemas.openxmlformats.org/officeDocument/2006/relationships/hyperlink" Target="https://www.un.org/development/desa/disabilities/convention-on-the-rights-of-persons-with-disabilities/article-9-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F15F-3FB0-4461-916B-6DAE908C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Lea</dc:creator>
  <cp:lastModifiedBy>Jane Flanagan</cp:lastModifiedBy>
  <cp:revision>2</cp:revision>
  <cp:lastPrinted>2018-10-01T11:40:00Z</cp:lastPrinted>
  <dcterms:created xsi:type="dcterms:W3CDTF">2018-12-17T01:53:00Z</dcterms:created>
  <dcterms:modified xsi:type="dcterms:W3CDTF">2018-12-17T01:53:00Z</dcterms:modified>
</cp:coreProperties>
</file>