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4A379" w14:textId="77777777" w:rsidR="00F5359F" w:rsidRPr="005629B0" w:rsidRDefault="00F5359F" w:rsidP="00F5359F">
      <w:pPr>
        <w:spacing w:before="120" w:after="120"/>
        <w:jc w:val="center"/>
        <w:rPr>
          <w:rFonts w:asciiTheme="majorHAnsi" w:hAnsiTheme="majorHAnsi" w:cs="Arial"/>
          <w:sz w:val="24"/>
          <w:szCs w:val="24"/>
        </w:rPr>
      </w:pPr>
      <w:bookmarkStart w:id="0" w:name="_GoBack"/>
      <w:bookmarkEnd w:id="0"/>
    </w:p>
    <w:p w14:paraId="26E05291" w14:textId="77777777" w:rsidR="00F5359F" w:rsidRPr="005629B0" w:rsidRDefault="00F5359F" w:rsidP="00F5359F">
      <w:pPr>
        <w:spacing w:before="120" w:after="120"/>
        <w:jc w:val="right"/>
        <w:rPr>
          <w:rFonts w:asciiTheme="majorHAnsi" w:hAnsiTheme="majorHAnsi" w:cs="Arial"/>
          <w:sz w:val="24"/>
          <w:szCs w:val="24"/>
        </w:rPr>
      </w:pPr>
      <w:r w:rsidRPr="005629B0">
        <w:rPr>
          <w:rFonts w:asciiTheme="majorHAnsi" w:hAnsiTheme="majorHAnsi" w:cs="Arial"/>
          <w:noProof/>
          <w:sz w:val="24"/>
          <w:szCs w:val="24"/>
          <w:lang w:eastAsia="en-AU"/>
        </w:rPr>
        <w:drawing>
          <wp:inline distT="0" distB="0" distL="0" distR="0" wp14:anchorId="090A9004" wp14:editId="7543A984">
            <wp:extent cx="2734175" cy="1080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a DPOAustralia_Logo_Email_200px.jpg"/>
                    <pic:cNvPicPr/>
                  </pic:nvPicPr>
                  <pic:blipFill>
                    <a:blip r:embed="rId8">
                      <a:extLst>
                        <a:ext uri="{28A0092B-C50C-407E-A947-70E740481C1C}">
                          <a14:useLocalDpi xmlns:a14="http://schemas.microsoft.com/office/drawing/2010/main" val="0"/>
                        </a:ext>
                      </a:extLst>
                    </a:blip>
                    <a:stretch>
                      <a:fillRect/>
                    </a:stretch>
                  </pic:blipFill>
                  <pic:spPr>
                    <a:xfrm>
                      <a:off x="0" y="0"/>
                      <a:ext cx="2734175" cy="1080000"/>
                    </a:xfrm>
                    <a:prstGeom prst="rect">
                      <a:avLst/>
                    </a:prstGeom>
                  </pic:spPr>
                </pic:pic>
              </a:graphicData>
            </a:graphic>
          </wp:inline>
        </w:drawing>
      </w:r>
    </w:p>
    <w:p w14:paraId="06CC56F3" w14:textId="77777777" w:rsidR="00F5359F" w:rsidRPr="005629B0" w:rsidRDefault="00F5359F" w:rsidP="00F5359F">
      <w:pPr>
        <w:spacing w:before="120" w:after="120"/>
        <w:rPr>
          <w:rFonts w:asciiTheme="majorHAnsi" w:hAnsiTheme="majorHAnsi" w:cs="Arial"/>
          <w:sz w:val="24"/>
          <w:szCs w:val="24"/>
        </w:rPr>
      </w:pPr>
    </w:p>
    <w:p w14:paraId="68306CAF" w14:textId="77777777" w:rsidR="00F5359F" w:rsidRPr="005629B0" w:rsidRDefault="00F5359F" w:rsidP="00F5359F">
      <w:pPr>
        <w:spacing w:before="120" w:after="120"/>
        <w:rPr>
          <w:rFonts w:asciiTheme="majorHAnsi" w:hAnsiTheme="majorHAnsi" w:cs="Arial"/>
          <w:sz w:val="24"/>
          <w:szCs w:val="24"/>
        </w:rPr>
      </w:pPr>
    </w:p>
    <w:p w14:paraId="24C66F8F" w14:textId="77777777" w:rsidR="00F5359F" w:rsidRPr="005629B0" w:rsidRDefault="00F5359F" w:rsidP="00F5359F">
      <w:pPr>
        <w:spacing w:before="120" w:after="120"/>
        <w:rPr>
          <w:rFonts w:asciiTheme="majorHAnsi" w:hAnsiTheme="majorHAnsi" w:cs="Arial"/>
          <w:sz w:val="24"/>
          <w:szCs w:val="24"/>
        </w:rPr>
      </w:pPr>
    </w:p>
    <w:p w14:paraId="6BB28FB2" w14:textId="77777777" w:rsidR="00F5359F" w:rsidRPr="005629B0" w:rsidRDefault="00F5359F" w:rsidP="00F5359F">
      <w:pPr>
        <w:spacing w:before="120" w:after="120"/>
        <w:rPr>
          <w:rFonts w:asciiTheme="majorHAnsi" w:hAnsiTheme="majorHAnsi" w:cs="Arial"/>
          <w:sz w:val="24"/>
          <w:szCs w:val="24"/>
        </w:rPr>
      </w:pPr>
    </w:p>
    <w:p w14:paraId="3C3F9C32" w14:textId="77777777" w:rsidR="00F5359F" w:rsidRPr="005629B0" w:rsidRDefault="00F5359F" w:rsidP="00F5359F">
      <w:pPr>
        <w:spacing w:before="120" w:after="120"/>
        <w:rPr>
          <w:rFonts w:asciiTheme="majorHAnsi" w:hAnsiTheme="majorHAnsi" w:cs="Arial"/>
          <w:sz w:val="24"/>
          <w:szCs w:val="24"/>
        </w:rPr>
      </w:pPr>
    </w:p>
    <w:p w14:paraId="6F57FFCE" w14:textId="77777777" w:rsidR="00F5359F" w:rsidRPr="005629B0" w:rsidRDefault="00F5359F" w:rsidP="00F5359F">
      <w:pPr>
        <w:spacing w:before="120" w:after="120"/>
        <w:rPr>
          <w:rFonts w:asciiTheme="majorHAnsi" w:hAnsiTheme="majorHAnsi" w:cs="Arial"/>
          <w:sz w:val="24"/>
          <w:szCs w:val="24"/>
        </w:rPr>
      </w:pPr>
    </w:p>
    <w:p w14:paraId="1DFD7348" w14:textId="77777777" w:rsidR="00F5359F" w:rsidRPr="005629B0" w:rsidRDefault="00F5359F" w:rsidP="00F5359F">
      <w:pPr>
        <w:spacing w:before="120" w:after="120"/>
        <w:rPr>
          <w:rFonts w:asciiTheme="majorHAnsi" w:hAnsiTheme="majorHAnsi" w:cs="Arial"/>
          <w:b/>
          <w:sz w:val="36"/>
          <w:szCs w:val="36"/>
        </w:rPr>
      </w:pPr>
      <w:r w:rsidRPr="005629B0">
        <w:rPr>
          <w:rFonts w:asciiTheme="majorHAnsi" w:hAnsiTheme="majorHAnsi" w:cs="Arial"/>
          <w:b/>
          <w:sz w:val="36"/>
          <w:szCs w:val="36"/>
        </w:rPr>
        <w:t>Submission</w:t>
      </w:r>
    </w:p>
    <w:p w14:paraId="1F3C44EF" w14:textId="77777777" w:rsidR="00F5359F" w:rsidRPr="005629B0" w:rsidRDefault="00F5359F" w:rsidP="00F5359F">
      <w:pPr>
        <w:pBdr>
          <w:bottom w:val="single" w:sz="24" w:space="1" w:color="auto"/>
        </w:pBdr>
        <w:rPr>
          <w:rFonts w:cs="Arial"/>
        </w:rPr>
      </w:pPr>
    </w:p>
    <w:p w14:paraId="662D4C01" w14:textId="06B8B114" w:rsidR="00F5359F" w:rsidRPr="005629B0" w:rsidRDefault="005562FF" w:rsidP="00F5359F">
      <w:pPr>
        <w:spacing w:before="120" w:after="120"/>
        <w:rPr>
          <w:rFonts w:asciiTheme="majorHAnsi" w:hAnsiTheme="majorHAnsi" w:cs="Arial"/>
          <w:b/>
          <w:sz w:val="36"/>
          <w:szCs w:val="36"/>
        </w:rPr>
      </w:pPr>
      <w:r>
        <w:rPr>
          <w:rFonts w:asciiTheme="majorHAnsi" w:hAnsiTheme="majorHAnsi" w:cs="Arial"/>
          <w:b/>
          <w:sz w:val="36"/>
          <w:szCs w:val="36"/>
        </w:rPr>
        <w:t>Australian Human Rights Commission</w:t>
      </w:r>
    </w:p>
    <w:p w14:paraId="72C9B1A1" w14:textId="09A7E045" w:rsidR="00F5359F" w:rsidRPr="005629B0" w:rsidRDefault="005562FF" w:rsidP="00F5359F">
      <w:pPr>
        <w:spacing w:before="120" w:after="120"/>
        <w:rPr>
          <w:rFonts w:asciiTheme="majorHAnsi" w:hAnsiTheme="majorHAnsi" w:cs="Arial"/>
          <w:b/>
          <w:sz w:val="36"/>
          <w:szCs w:val="36"/>
        </w:rPr>
      </w:pPr>
      <w:r>
        <w:rPr>
          <w:rFonts w:asciiTheme="majorHAnsi" w:hAnsiTheme="majorHAnsi" w:cs="Arial"/>
          <w:b/>
          <w:sz w:val="36"/>
          <w:szCs w:val="36"/>
        </w:rPr>
        <w:t>Consultation Paper</w:t>
      </w:r>
      <w:r w:rsidR="000479A5">
        <w:rPr>
          <w:rFonts w:asciiTheme="majorHAnsi" w:hAnsiTheme="majorHAnsi" w:cs="Arial"/>
          <w:b/>
          <w:sz w:val="36"/>
          <w:szCs w:val="36"/>
        </w:rPr>
        <w:t>:</w:t>
      </w:r>
      <w:r w:rsidR="00F5359F" w:rsidRPr="005629B0">
        <w:rPr>
          <w:rFonts w:asciiTheme="majorHAnsi" w:hAnsiTheme="majorHAnsi" w:cs="Arial"/>
          <w:b/>
          <w:sz w:val="36"/>
          <w:szCs w:val="36"/>
        </w:rPr>
        <w:t xml:space="preserve"> </w:t>
      </w:r>
      <w:r>
        <w:rPr>
          <w:rFonts w:asciiTheme="majorHAnsi" w:hAnsiTheme="majorHAnsi" w:cs="Arial"/>
          <w:b/>
          <w:sz w:val="36"/>
          <w:szCs w:val="36"/>
        </w:rPr>
        <w:t>Protecting the Human Rights of People Born with Variations in Sex Characteristics in the context of Medical Interventions</w:t>
      </w:r>
    </w:p>
    <w:p w14:paraId="3EB06393" w14:textId="77777777" w:rsidR="00F5359F" w:rsidRPr="005629B0" w:rsidRDefault="00F5359F" w:rsidP="00F5359F">
      <w:pPr>
        <w:pBdr>
          <w:bottom w:val="single" w:sz="24" w:space="1" w:color="auto"/>
        </w:pBdr>
        <w:rPr>
          <w:rFonts w:cs="Arial"/>
        </w:rPr>
      </w:pPr>
    </w:p>
    <w:p w14:paraId="0FE8E26F" w14:textId="77777777" w:rsidR="00F5359F" w:rsidRPr="005629B0" w:rsidRDefault="00F5359F" w:rsidP="00F5359F">
      <w:pPr>
        <w:pStyle w:val="Footer"/>
        <w:rPr>
          <w:rFonts w:cs="Arial"/>
          <w:szCs w:val="24"/>
        </w:rPr>
      </w:pPr>
    </w:p>
    <w:p w14:paraId="7443829B" w14:textId="26FE92A5" w:rsidR="00F5359F" w:rsidRPr="005629B0" w:rsidRDefault="005562FF" w:rsidP="00F5359F">
      <w:pPr>
        <w:pStyle w:val="Footer"/>
        <w:rPr>
          <w:rFonts w:cs="Arial"/>
          <w:b/>
          <w:sz w:val="28"/>
          <w:szCs w:val="28"/>
        </w:rPr>
      </w:pPr>
      <w:r>
        <w:rPr>
          <w:rFonts w:cs="Arial"/>
          <w:b/>
          <w:sz w:val="28"/>
          <w:szCs w:val="28"/>
        </w:rPr>
        <w:t>September 2018</w:t>
      </w:r>
      <w:r w:rsidR="00F5359F" w:rsidRPr="005629B0">
        <w:rPr>
          <w:rFonts w:cs="Arial"/>
          <w:b/>
          <w:sz w:val="28"/>
          <w:szCs w:val="28"/>
        </w:rPr>
        <w:t xml:space="preserve"> </w:t>
      </w:r>
    </w:p>
    <w:p w14:paraId="5CF65CAF" w14:textId="77777777" w:rsidR="00F5359F" w:rsidRPr="005629B0" w:rsidRDefault="00F5359F" w:rsidP="00F5359F">
      <w:pPr>
        <w:ind w:left="360"/>
        <w:rPr>
          <w:rFonts w:cs="Arial"/>
          <w:b/>
          <w:bCs/>
        </w:rPr>
      </w:pPr>
    </w:p>
    <w:p w14:paraId="724E8076" w14:textId="77777777" w:rsidR="00F5359F" w:rsidRPr="005629B0" w:rsidRDefault="00F5359F" w:rsidP="00F5359F">
      <w:pPr>
        <w:spacing w:before="120" w:after="120"/>
        <w:rPr>
          <w:rFonts w:asciiTheme="majorHAnsi" w:hAnsiTheme="majorHAnsi" w:cs="Arial"/>
          <w:sz w:val="24"/>
          <w:szCs w:val="24"/>
        </w:rPr>
      </w:pPr>
    </w:p>
    <w:p w14:paraId="48A3155E" w14:textId="77777777" w:rsidR="00F5359F" w:rsidRPr="005629B0" w:rsidRDefault="00F5359F" w:rsidP="00F5359F">
      <w:pPr>
        <w:pBdr>
          <w:bottom w:val="single" w:sz="4" w:space="1" w:color="auto"/>
        </w:pBdr>
        <w:jc w:val="both"/>
        <w:rPr>
          <w:rFonts w:ascii="Arial" w:eastAsiaTheme="minorEastAsia" w:hAnsi="Arial" w:cs="Arial"/>
          <w:b/>
          <w:color w:val="44546A" w:themeColor="text2"/>
          <w:sz w:val="28"/>
          <w:szCs w:val="28"/>
        </w:rPr>
      </w:pPr>
      <w:r w:rsidRPr="005629B0">
        <w:rPr>
          <w:rFonts w:asciiTheme="majorHAnsi" w:hAnsiTheme="majorHAnsi" w:cs="Arial"/>
          <w:sz w:val="24"/>
          <w:szCs w:val="24"/>
        </w:rPr>
        <w:br w:type="page"/>
      </w:r>
      <w:r w:rsidRPr="005629B0">
        <w:rPr>
          <w:rFonts w:ascii="Arial" w:eastAsiaTheme="minorEastAsia" w:hAnsi="Arial" w:cs="Arial"/>
          <w:b/>
          <w:color w:val="44546A" w:themeColor="text2"/>
          <w:sz w:val="28"/>
          <w:szCs w:val="28"/>
        </w:rPr>
        <w:lastRenderedPageBreak/>
        <w:t>Publishing Information</w:t>
      </w:r>
    </w:p>
    <w:p w14:paraId="3377A392" w14:textId="77777777" w:rsidR="00F5359F" w:rsidRPr="005629B0" w:rsidRDefault="00F5359F" w:rsidP="00F5359F">
      <w:pPr>
        <w:pBdr>
          <w:bottom w:val="single" w:sz="4" w:space="1" w:color="auto"/>
        </w:pBdr>
        <w:jc w:val="both"/>
        <w:rPr>
          <w:rFonts w:ascii="Arial" w:eastAsiaTheme="minorEastAsia" w:hAnsi="Arial" w:cs="Arial"/>
          <w:b/>
          <w:sz w:val="24"/>
          <w:szCs w:val="24"/>
        </w:rPr>
      </w:pPr>
    </w:p>
    <w:p w14:paraId="7D658BF9" w14:textId="77777777" w:rsidR="00A44BB3" w:rsidRPr="00992459" w:rsidRDefault="00A44BB3" w:rsidP="004A713B">
      <w:pPr>
        <w:spacing w:after="120" w:line="240" w:lineRule="auto"/>
        <w:rPr>
          <w:rFonts w:asciiTheme="majorHAnsi" w:eastAsiaTheme="minorEastAsia" w:hAnsiTheme="majorHAnsi" w:cstheme="majorHAnsi"/>
          <w:b/>
          <w:sz w:val="24"/>
          <w:szCs w:val="24"/>
        </w:rPr>
      </w:pPr>
      <w:r w:rsidRPr="00992459">
        <w:rPr>
          <w:rFonts w:asciiTheme="majorHAnsi" w:eastAsiaTheme="minorEastAsia" w:hAnsiTheme="majorHAnsi" w:cstheme="majorHAnsi"/>
          <w:b/>
          <w:sz w:val="24"/>
          <w:szCs w:val="24"/>
        </w:rPr>
        <w:t>Suggested Citation:</w:t>
      </w:r>
    </w:p>
    <w:p w14:paraId="02381BC3" w14:textId="47030E11" w:rsidR="00F5359F" w:rsidRPr="00CB509D" w:rsidRDefault="00A44BB3" w:rsidP="00F5359F">
      <w:pPr>
        <w:rPr>
          <w:rFonts w:asciiTheme="majorHAnsi" w:eastAsiaTheme="minorEastAsia" w:hAnsiTheme="majorHAnsi" w:cstheme="majorHAnsi"/>
        </w:rPr>
      </w:pPr>
      <w:r w:rsidRPr="00C7792D">
        <w:rPr>
          <w:rFonts w:asciiTheme="majorHAnsi" w:eastAsiaTheme="minorEastAsia" w:hAnsiTheme="majorHAnsi" w:cstheme="majorHAnsi"/>
          <w:sz w:val="24"/>
          <w:szCs w:val="24"/>
        </w:rPr>
        <w:t>Disabled Pe</w:t>
      </w:r>
      <w:r w:rsidR="004A713B">
        <w:rPr>
          <w:rFonts w:asciiTheme="majorHAnsi" w:eastAsiaTheme="minorEastAsia" w:hAnsiTheme="majorHAnsi" w:cstheme="majorHAnsi"/>
          <w:sz w:val="24"/>
          <w:szCs w:val="24"/>
        </w:rPr>
        <w:t>ople’s Organisations Australia,</w:t>
      </w:r>
      <w:r w:rsidRPr="00A44BB3">
        <w:rPr>
          <w:rFonts w:asciiTheme="majorHAnsi" w:eastAsiaTheme="minorEastAsia" w:hAnsiTheme="majorHAnsi" w:cstheme="majorHAnsi"/>
          <w:i/>
          <w:sz w:val="24"/>
          <w:szCs w:val="24"/>
        </w:rPr>
        <w:t xml:space="preserve"> Submission to the</w:t>
      </w:r>
      <w:r w:rsidR="004A713B">
        <w:rPr>
          <w:rFonts w:asciiTheme="majorHAnsi" w:eastAsiaTheme="minorEastAsia" w:hAnsiTheme="majorHAnsi" w:cstheme="majorHAnsi"/>
          <w:i/>
          <w:sz w:val="24"/>
          <w:szCs w:val="24"/>
        </w:rPr>
        <w:t xml:space="preserve"> Australian Human Rights Commission Consultation Paper: Protecting the Human Rights of People Born with Variations in Sex Characteristics in the context of Medical Interventions, </w:t>
      </w:r>
      <w:r w:rsidR="004A713B">
        <w:rPr>
          <w:rFonts w:asciiTheme="majorHAnsi" w:eastAsiaTheme="minorEastAsia" w:hAnsiTheme="majorHAnsi" w:cstheme="majorHAnsi"/>
          <w:sz w:val="24"/>
          <w:szCs w:val="24"/>
        </w:rPr>
        <w:t>September 2018,</w:t>
      </w:r>
      <w:r>
        <w:rPr>
          <w:rFonts w:asciiTheme="majorHAnsi" w:eastAsiaTheme="minorEastAsia" w:hAnsiTheme="majorHAnsi" w:cstheme="majorHAnsi"/>
          <w:sz w:val="24"/>
          <w:szCs w:val="24"/>
        </w:rPr>
        <w:t xml:space="preserve"> </w:t>
      </w:r>
      <w:r w:rsidR="00CB70DD" w:rsidRPr="00CB509D">
        <w:rPr>
          <w:rFonts w:asciiTheme="majorHAnsi" w:eastAsiaTheme="minorEastAsia" w:hAnsiTheme="majorHAnsi" w:cstheme="majorHAnsi"/>
        </w:rPr>
        <w:t>Disabled People’s Organisations Australia.</w:t>
      </w:r>
    </w:p>
    <w:p w14:paraId="03D8E744" w14:textId="77777777" w:rsidR="00F5359F" w:rsidRPr="005629B0" w:rsidRDefault="00F5359F" w:rsidP="00F5359F">
      <w:pPr>
        <w:rPr>
          <w:rFonts w:asciiTheme="majorHAnsi" w:eastAsiaTheme="minorEastAsia" w:hAnsiTheme="majorHAnsi" w:cstheme="majorHAnsi"/>
          <w:sz w:val="24"/>
          <w:szCs w:val="24"/>
        </w:rPr>
      </w:pPr>
    </w:p>
    <w:p w14:paraId="56F881B2" w14:textId="31124A3B" w:rsidR="00F5359F" w:rsidRPr="005629B0" w:rsidRDefault="00E81CAB" w:rsidP="00F5359F">
      <w:pPr>
        <w:rPr>
          <w:rFonts w:asciiTheme="majorHAnsi" w:eastAsiaTheme="minorEastAsia" w:hAnsiTheme="majorHAnsi" w:cstheme="majorHAnsi"/>
          <w:sz w:val="24"/>
          <w:szCs w:val="24"/>
        </w:rPr>
      </w:pPr>
      <w:r>
        <w:rPr>
          <w:rFonts w:asciiTheme="majorHAnsi" w:eastAsiaTheme="minorEastAsia" w:hAnsiTheme="majorHAnsi" w:cstheme="majorHAnsi"/>
          <w:sz w:val="24"/>
          <w:szCs w:val="24"/>
        </w:rPr>
        <w:t>This submission has been w</w:t>
      </w:r>
      <w:r w:rsidR="004A713B">
        <w:rPr>
          <w:rFonts w:asciiTheme="majorHAnsi" w:eastAsiaTheme="minorEastAsia" w:hAnsiTheme="majorHAnsi" w:cstheme="majorHAnsi"/>
          <w:sz w:val="24"/>
          <w:szCs w:val="24"/>
        </w:rPr>
        <w:t>ritten on behalf of Disabled People’s Organisations Australia (DPO Australia) by Therese Sands, People with Disability Australia.</w:t>
      </w:r>
      <w:r w:rsidR="004A713B" w:rsidRPr="005629B0">
        <w:rPr>
          <w:rFonts w:asciiTheme="majorHAnsi" w:eastAsiaTheme="minorEastAsia" w:hAnsiTheme="majorHAnsi" w:cstheme="majorHAnsi"/>
          <w:sz w:val="24"/>
          <w:szCs w:val="24"/>
        </w:rPr>
        <w:t xml:space="preserve"> </w:t>
      </w:r>
    </w:p>
    <w:p w14:paraId="16946A8D" w14:textId="77777777" w:rsidR="00F5359F" w:rsidRPr="005629B0" w:rsidRDefault="00F5359F" w:rsidP="00F5359F">
      <w:pPr>
        <w:rPr>
          <w:rFonts w:asciiTheme="majorHAnsi" w:eastAsiaTheme="minorEastAsia" w:hAnsiTheme="majorHAnsi" w:cstheme="majorHAnsi"/>
          <w:sz w:val="24"/>
          <w:szCs w:val="24"/>
        </w:rPr>
      </w:pPr>
    </w:p>
    <w:p w14:paraId="56C85161" w14:textId="5B5B6D91" w:rsidR="00F5359F" w:rsidRPr="005629B0" w:rsidRDefault="00F5359F" w:rsidP="00BF2908">
      <w:pPr>
        <w:spacing w:after="0"/>
        <w:jc w:val="both"/>
        <w:rPr>
          <w:rFonts w:asciiTheme="majorHAnsi" w:eastAsiaTheme="minorEastAsia" w:hAnsiTheme="majorHAnsi" w:cstheme="majorHAnsi"/>
          <w:sz w:val="24"/>
          <w:szCs w:val="24"/>
        </w:rPr>
      </w:pPr>
      <w:r w:rsidRPr="005629B0">
        <w:rPr>
          <w:rFonts w:asciiTheme="majorHAnsi" w:eastAsiaTheme="minorEastAsia" w:hAnsiTheme="majorHAnsi" w:cstheme="majorHAnsi"/>
          <w:sz w:val="24"/>
          <w:szCs w:val="24"/>
        </w:rPr>
        <w:t xml:space="preserve">© This work is copyright. Apart from any use as permitted under the Copyright Act 1968, no part may be reproduced without written permission from Disabled People’s Organisations Australia (DPO Australia). All possible care has been taken in the preparation of the information contained in this document. </w:t>
      </w:r>
      <w:r w:rsidR="004A713B">
        <w:rPr>
          <w:rFonts w:asciiTheme="majorHAnsi" w:eastAsiaTheme="minorEastAsia" w:hAnsiTheme="majorHAnsi" w:cstheme="majorHAnsi"/>
          <w:sz w:val="24"/>
          <w:szCs w:val="24"/>
        </w:rPr>
        <w:t>DPO Australia</w:t>
      </w:r>
      <w:r w:rsidRPr="005629B0">
        <w:rPr>
          <w:rFonts w:asciiTheme="majorHAnsi" w:eastAsiaTheme="minorEastAsia" w:hAnsiTheme="majorHAnsi" w:cstheme="majorHAnsi"/>
          <w:sz w:val="24"/>
          <w:szCs w:val="24"/>
        </w:rPr>
        <w:t xml:space="preserve"> disclaims any liability for the accuracy and sufficiency of the information and under no circumstances shall be liable in negligence or otherwise in or arising out of the preparation or supply of any of the information aforesaid.</w:t>
      </w:r>
    </w:p>
    <w:p w14:paraId="5DE6CBE1" w14:textId="77777777" w:rsidR="00F5359F" w:rsidRPr="005629B0" w:rsidRDefault="00F5359F" w:rsidP="00F5359F">
      <w:pPr>
        <w:jc w:val="both"/>
        <w:rPr>
          <w:rFonts w:ascii="Arial" w:eastAsiaTheme="minorEastAsia" w:hAnsi="Arial" w:cs="Arial"/>
        </w:rPr>
      </w:pPr>
    </w:p>
    <w:p w14:paraId="7A28682D" w14:textId="77777777" w:rsidR="00F5359F" w:rsidRPr="005629B0" w:rsidRDefault="00F5359F" w:rsidP="00F5359F">
      <w:pPr>
        <w:jc w:val="both"/>
        <w:rPr>
          <w:rFonts w:ascii="Arial" w:eastAsiaTheme="minorEastAsia" w:hAnsi="Arial" w:cs="Arial"/>
        </w:rPr>
      </w:pPr>
    </w:p>
    <w:p w14:paraId="7B3186B2" w14:textId="77777777" w:rsidR="00F5359F" w:rsidRPr="005629B0" w:rsidRDefault="00F5359F" w:rsidP="00F5359F">
      <w:pPr>
        <w:jc w:val="both"/>
        <w:rPr>
          <w:rFonts w:ascii="Arial" w:eastAsiaTheme="minorEastAsia" w:hAnsi="Arial" w:cs="Arial"/>
        </w:rPr>
      </w:pPr>
    </w:p>
    <w:p w14:paraId="654AE528" w14:textId="77777777" w:rsidR="00F5359F" w:rsidRPr="005629B0" w:rsidRDefault="00F5359F" w:rsidP="00F5359F">
      <w:pPr>
        <w:pBdr>
          <w:bottom w:val="single" w:sz="4" w:space="1" w:color="auto"/>
        </w:pBdr>
        <w:jc w:val="both"/>
        <w:rPr>
          <w:rFonts w:ascii="Arial" w:eastAsiaTheme="minorEastAsia" w:hAnsi="Arial" w:cs="Arial"/>
          <w:b/>
          <w:color w:val="44546A" w:themeColor="text2"/>
          <w:sz w:val="28"/>
          <w:szCs w:val="28"/>
        </w:rPr>
      </w:pPr>
      <w:r w:rsidRPr="005629B0">
        <w:rPr>
          <w:rFonts w:ascii="Arial" w:eastAsiaTheme="minorEastAsia" w:hAnsi="Arial" w:cs="Arial"/>
          <w:b/>
          <w:color w:val="44546A" w:themeColor="text2"/>
          <w:sz w:val="28"/>
          <w:szCs w:val="28"/>
        </w:rPr>
        <w:t>Contact for this Submission</w:t>
      </w:r>
    </w:p>
    <w:p w14:paraId="05462758" w14:textId="77777777" w:rsidR="00F5359F" w:rsidRPr="005629B0" w:rsidRDefault="00F5359F" w:rsidP="00F5359F">
      <w:pPr>
        <w:pBdr>
          <w:bottom w:val="single" w:sz="4" w:space="1" w:color="auto"/>
        </w:pBdr>
        <w:jc w:val="both"/>
        <w:rPr>
          <w:rFonts w:ascii="Arial" w:eastAsiaTheme="minorEastAsia" w:hAnsi="Arial" w:cs="Arial"/>
          <w:sz w:val="24"/>
          <w:szCs w:val="28"/>
        </w:rPr>
      </w:pPr>
    </w:p>
    <w:p w14:paraId="55A37FBA" w14:textId="77777777" w:rsidR="00F5359F" w:rsidRPr="004007B0" w:rsidRDefault="00F5359F" w:rsidP="001F1836">
      <w:pPr>
        <w:spacing w:after="0" w:line="240" w:lineRule="auto"/>
        <w:rPr>
          <w:rFonts w:asciiTheme="majorHAnsi" w:eastAsiaTheme="minorEastAsia" w:hAnsiTheme="majorHAnsi" w:cstheme="majorHAnsi"/>
          <w:sz w:val="24"/>
          <w:szCs w:val="24"/>
        </w:rPr>
      </w:pPr>
      <w:r w:rsidRPr="004007B0">
        <w:rPr>
          <w:rFonts w:asciiTheme="majorHAnsi" w:eastAsiaTheme="minorEastAsia" w:hAnsiTheme="majorHAnsi" w:cstheme="majorHAnsi"/>
          <w:sz w:val="24"/>
          <w:szCs w:val="24"/>
        </w:rPr>
        <w:t>Therese Sands</w:t>
      </w:r>
    </w:p>
    <w:p w14:paraId="7C67F3A2" w14:textId="3939C8DD" w:rsidR="00F5359F" w:rsidRPr="004007B0" w:rsidRDefault="004A713B" w:rsidP="001F1836">
      <w:pPr>
        <w:spacing w:after="0" w:line="240" w:lineRule="auto"/>
        <w:rPr>
          <w:rFonts w:asciiTheme="majorHAnsi" w:eastAsiaTheme="minorEastAsia" w:hAnsiTheme="majorHAnsi" w:cstheme="majorHAnsi"/>
          <w:sz w:val="24"/>
          <w:szCs w:val="24"/>
        </w:rPr>
      </w:pPr>
      <w:r>
        <w:rPr>
          <w:rFonts w:asciiTheme="majorHAnsi" w:eastAsiaTheme="minorEastAsia" w:hAnsiTheme="majorHAnsi" w:cstheme="majorHAnsi"/>
          <w:sz w:val="24"/>
          <w:szCs w:val="24"/>
        </w:rPr>
        <w:t>Co-Chief Executive Officer</w:t>
      </w:r>
    </w:p>
    <w:p w14:paraId="3AFA91BA" w14:textId="1118E365" w:rsidR="00F5359F" w:rsidRPr="004007B0" w:rsidRDefault="004A713B" w:rsidP="001F1836">
      <w:pPr>
        <w:spacing w:after="0" w:line="240" w:lineRule="auto"/>
        <w:rPr>
          <w:rFonts w:asciiTheme="majorHAnsi" w:eastAsiaTheme="minorEastAsia" w:hAnsiTheme="majorHAnsi" w:cstheme="majorHAnsi"/>
          <w:sz w:val="24"/>
          <w:szCs w:val="24"/>
        </w:rPr>
      </w:pPr>
      <w:r>
        <w:rPr>
          <w:rFonts w:asciiTheme="majorHAnsi" w:eastAsiaTheme="minorEastAsia" w:hAnsiTheme="majorHAnsi" w:cstheme="majorHAnsi"/>
          <w:sz w:val="24"/>
          <w:szCs w:val="24"/>
        </w:rPr>
        <w:t>People with Disability Australia</w:t>
      </w:r>
    </w:p>
    <w:p w14:paraId="39B55A6C" w14:textId="2C7AAD89" w:rsidR="00F5359F" w:rsidRPr="004007B0" w:rsidRDefault="00F5359F" w:rsidP="001F1836">
      <w:pPr>
        <w:spacing w:after="0" w:line="240" w:lineRule="auto"/>
        <w:rPr>
          <w:rFonts w:asciiTheme="majorHAnsi" w:eastAsiaTheme="minorEastAsia" w:hAnsiTheme="majorHAnsi" w:cstheme="majorHAnsi"/>
          <w:sz w:val="24"/>
          <w:szCs w:val="24"/>
        </w:rPr>
      </w:pPr>
      <w:r w:rsidRPr="004007B0">
        <w:rPr>
          <w:rFonts w:asciiTheme="majorHAnsi" w:eastAsiaTheme="minorEastAsia" w:hAnsiTheme="majorHAnsi" w:cstheme="majorHAnsi"/>
          <w:sz w:val="24"/>
          <w:szCs w:val="24"/>
        </w:rPr>
        <w:t xml:space="preserve">Email: </w:t>
      </w:r>
      <w:hyperlink r:id="rId9" w:history="1">
        <w:r w:rsidR="00E81CAB" w:rsidRPr="00211128">
          <w:rPr>
            <w:rStyle w:val="Hyperlink"/>
            <w:rFonts w:asciiTheme="majorHAnsi" w:eastAsiaTheme="minorEastAsia" w:hAnsiTheme="majorHAnsi" w:cstheme="majorHAnsi"/>
            <w:sz w:val="24"/>
            <w:szCs w:val="24"/>
          </w:rPr>
          <w:t>thereses@pwd.org.au</w:t>
        </w:r>
      </w:hyperlink>
      <w:r w:rsidRPr="004007B0">
        <w:rPr>
          <w:rFonts w:asciiTheme="majorHAnsi" w:eastAsiaTheme="minorEastAsia" w:hAnsiTheme="majorHAnsi" w:cstheme="majorHAnsi"/>
          <w:sz w:val="24"/>
          <w:szCs w:val="24"/>
        </w:rPr>
        <w:t xml:space="preserve"> </w:t>
      </w:r>
      <w:hyperlink r:id="rId10" w:history="1"/>
    </w:p>
    <w:p w14:paraId="7D5AB081" w14:textId="77777777" w:rsidR="00F5359F" w:rsidRPr="004007B0" w:rsidRDefault="00F5359F" w:rsidP="001F1836">
      <w:pPr>
        <w:spacing w:after="0" w:line="240" w:lineRule="auto"/>
        <w:rPr>
          <w:rFonts w:asciiTheme="majorHAnsi" w:eastAsiaTheme="minorEastAsia" w:hAnsiTheme="majorHAnsi" w:cstheme="majorHAnsi"/>
          <w:sz w:val="24"/>
          <w:szCs w:val="24"/>
        </w:rPr>
      </w:pPr>
      <w:r w:rsidRPr="004007B0">
        <w:rPr>
          <w:rFonts w:asciiTheme="majorHAnsi" w:eastAsiaTheme="minorEastAsia" w:hAnsiTheme="majorHAnsi" w:cstheme="majorHAnsi"/>
          <w:sz w:val="24"/>
          <w:szCs w:val="24"/>
        </w:rPr>
        <w:t>Phone: (02) 9370 3100</w:t>
      </w:r>
    </w:p>
    <w:p w14:paraId="1B324BD0" w14:textId="77777777" w:rsidR="00F5359F" w:rsidRPr="004007B0" w:rsidRDefault="00F5359F" w:rsidP="00F5359F">
      <w:pPr>
        <w:rPr>
          <w:rFonts w:asciiTheme="majorHAnsi" w:eastAsiaTheme="minorEastAsia" w:hAnsiTheme="majorHAnsi" w:cstheme="majorHAnsi"/>
          <w:sz w:val="24"/>
          <w:szCs w:val="24"/>
        </w:rPr>
      </w:pPr>
    </w:p>
    <w:p w14:paraId="714A0956" w14:textId="77777777" w:rsidR="00CB70DD" w:rsidRDefault="00CB70DD">
      <w:r>
        <w:rPr>
          <w:b/>
          <w:bCs/>
        </w:rPr>
        <w:br w:type="page"/>
      </w:r>
    </w:p>
    <w:sdt>
      <w:sdtPr>
        <w:rPr>
          <w:rFonts w:ascii="Calibri" w:eastAsia="Calibri" w:hAnsi="Calibri" w:cs="Times New Roman"/>
          <w:b w:val="0"/>
          <w:bCs w:val="0"/>
          <w:color w:val="auto"/>
          <w:sz w:val="22"/>
          <w:szCs w:val="22"/>
          <w:lang w:val="en-AU" w:eastAsia="en-US"/>
        </w:rPr>
        <w:id w:val="1903249798"/>
        <w:docPartObj>
          <w:docPartGallery w:val="Table of Contents"/>
          <w:docPartUnique/>
        </w:docPartObj>
      </w:sdtPr>
      <w:sdtEndPr>
        <w:rPr>
          <w:noProof/>
        </w:rPr>
      </w:sdtEndPr>
      <w:sdtContent>
        <w:p w14:paraId="144CDBE7" w14:textId="45B9504A" w:rsidR="00F5359F" w:rsidRPr="005629B0" w:rsidRDefault="00F5359F" w:rsidP="00F5359F">
          <w:pPr>
            <w:pStyle w:val="TOCHeading"/>
            <w:spacing w:after="240"/>
            <w:rPr>
              <w:lang w:val="en-AU"/>
            </w:rPr>
          </w:pPr>
          <w:r w:rsidRPr="005629B0">
            <w:rPr>
              <w:lang w:val="en-AU"/>
            </w:rPr>
            <w:t>Contents</w:t>
          </w:r>
        </w:p>
        <w:p w14:paraId="65BFA477" w14:textId="77777777" w:rsidR="00FB2791" w:rsidRPr="00500C28" w:rsidRDefault="00F5359F">
          <w:pPr>
            <w:pStyle w:val="TOC1"/>
            <w:tabs>
              <w:tab w:val="left" w:pos="440"/>
              <w:tab w:val="right" w:leader="dot" w:pos="8921"/>
            </w:tabs>
            <w:rPr>
              <w:rFonts w:asciiTheme="minorHAnsi" w:eastAsiaTheme="minorEastAsia" w:hAnsiTheme="minorHAnsi" w:cstheme="minorBidi"/>
              <w:noProof/>
              <w:sz w:val="24"/>
              <w:szCs w:val="24"/>
              <w:lang w:eastAsia="en-AU"/>
            </w:rPr>
          </w:pPr>
          <w:r w:rsidRPr="00500C28">
            <w:fldChar w:fldCharType="begin"/>
          </w:r>
          <w:r w:rsidRPr="00500C28">
            <w:instrText xml:space="preserve"> TOC \o "1-3" \h \z \u </w:instrText>
          </w:r>
          <w:r w:rsidRPr="00500C28">
            <w:fldChar w:fldCharType="separate"/>
          </w:r>
          <w:hyperlink w:anchor="_Toc526192177" w:history="1">
            <w:r w:rsidR="00FB2791" w:rsidRPr="00500C28">
              <w:rPr>
                <w:rStyle w:val="Hyperlink"/>
                <w:noProof/>
                <w:sz w:val="24"/>
                <w:szCs w:val="24"/>
              </w:rPr>
              <w:t>1.</w:t>
            </w:r>
            <w:r w:rsidR="00FB2791" w:rsidRPr="00500C28">
              <w:rPr>
                <w:rFonts w:asciiTheme="minorHAnsi" w:eastAsiaTheme="minorEastAsia" w:hAnsiTheme="minorHAnsi" w:cstheme="minorBidi"/>
                <w:noProof/>
                <w:sz w:val="24"/>
                <w:szCs w:val="24"/>
                <w:lang w:eastAsia="en-AU"/>
              </w:rPr>
              <w:tab/>
            </w:r>
            <w:r w:rsidR="00FB2791" w:rsidRPr="00500C28">
              <w:rPr>
                <w:rStyle w:val="Hyperlink"/>
                <w:noProof/>
                <w:sz w:val="24"/>
                <w:szCs w:val="24"/>
              </w:rPr>
              <w:t>Disabled People’s Organisations Australia (DPO Australia)</w:t>
            </w:r>
            <w:r w:rsidR="00FB2791" w:rsidRPr="00500C28">
              <w:rPr>
                <w:noProof/>
                <w:webHidden/>
                <w:sz w:val="24"/>
                <w:szCs w:val="24"/>
              </w:rPr>
              <w:tab/>
            </w:r>
            <w:r w:rsidR="00FB2791" w:rsidRPr="00500C28">
              <w:rPr>
                <w:noProof/>
                <w:webHidden/>
                <w:sz w:val="24"/>
                <w:szCs w:val="24"/>
              </w:rPr>
              <w:fldChar w:fldCharType="begin"/>
            </w:r>
            <w:r w:rsidR="00FB2791" w:rsidRPr="00500C28">
              <w:rPr>
                <w:noProof/>
                <w:webHidden/>
                <w:sz w:val="24"/>
                <w:szCs w:val="24"/>
              </w:rPr>
              <w:instrText xml:space="preserve"> PAGEREF _Toc526192177 \h </w:instrText>
            </w:r>
            <w:r w:rsidR="00FB2791" w:rsidRPr="00500C28">
              <w:rPr>
                <w:noProof/>
                <w:webHidden/>
                <w:sz w:val="24"/>
                <w:szCs w:val="24"/>
              </w:rPr>
            </w:r>
            <w:r w:rsidR="00FB2791" w:rsidRPr="00500C28">
              <w:rPr>
                <w:noProof/>
                <w:webHidden/>
                <w:sz w:val="24"/>
                <w:szCs w:val="24"/>
              </w:rPr>
              <w:fldChar w:fldCharType="separate"/>
            </w:r>
            <w:r w:rsidR="00826157">
              <w:rPr>
                <w:noProof/>
                <w:webHidden/>
                <w:sz w:val="24"/>
                <w:szCs w:val="24"/>
              </w:rPr>
              <w:t>3</w:t>
            </w:r>
            <w:r w:rsidR="00FB2791" w:rsidRPr="00500C28">
              <w:rPr>
                <w:noProof/>
                <w:webHidden/>
                <w:sz w:val="24"/>
                <w:szCs w:val="24"/>
              </w:rPr>
              <w:fldChar w:fldCharType="end"/>
            </w:r>
          </w:hyperlink>
        </w:p>
        <w:p w14:paraId="0415580E" w14:textId="77777777" w:rsidR="00FB2791" w:rsidRPr="00500C28" w:rsidRDefault="00F62C4B">
          <w:pPr>
            <w:pStyle w:val="TOC1"/>
            <w:tabs>
              <w:tab w:val="left" w:pos="440"/>
              <w:tab w:val="right" w:leader="dot" w:pos="8921"/>
            </w:tabs>
            <w:rPr>
              <w:rFonts w:asciiTheme="minorHAnsi" w:eastAsiaTheme="minorEastAsia" w:hAnsiTheme="minorHAnsi" w:cstheme="minorBidi"/>
              <w:noProof/>
              <w:sz w:val="24"/>
              <w:szCs w:val="24"/>
              <w:lang w:eastAsia="en-AU"/>
            </w:rPr>
          </w:pPr>
          <w:hyperlink w:anchor="_Toc526192178" w:history="1">
            <w:r w:rsidR="00FB2791" w:rsidRPr="00500C28">
              <w:rPr>
                <w:rStyle w:val="Hyperlink"/>
                <w:noProof/>
                <w:sz w:val="24"/>
                <w:szCs w:val="24"/>
              </w:rPr>
              <w:t>2.</w:t>
            </w:r>
            <w:r w:rsidR="00FB2791" w:rsidRPr="00500C28">
              <w:rPr>
                <w:rFonts w:asciiTheme="minorHAnsi" w:eastAsiaTheme="minorEastAsia" w:hAnsiTheme="minorHAnsi" w:cstheme="minorBidi"/>
                <w:noProof/>
                <w:sz w:val="24"/>
                <w:szCs w:val="24"/>
                <w:lang w:eastAsia="en-AU"/>
              </w:rPr>
              <w:tab/>
            </w:r>
            <w:r w:rsidR="00FB2791" w:rsidRPr="00500C28">
              <w:rPr>
                <w:rStyle w:val="Hyperlink"/>
                <w:noProof/>
                <w:sz w:val="24"/>
                <w:szCs w:val="24"/>
              </w:rPr>
              <w:t>Introduction</w:t>
            </w:r>
            <w:r w:rsidR="00FB2791" w:rsidRPr="00500C28">
              <w:rPr>
                <w:noProof/>
                <w:webHidden/>
                <w:sz w:val="24"/>
                <w:szCs w:val="24"/>
              </w:rPr>
              <w:tab/>
            </w:r>
            <w:r w:rsidR="00FB2791" w:rsidRPr="00500C28">
              <w:rPr>
                <w:noProof/>
                <w:webHidden/>
                <w:sz w:val="24"/>
                <w:szCs w:val="24"/>
              </w:rPr>
              <w:fldChar w:fldCharType="begin"/>
            </w:r>
            <w:r w:rsidR="00FB2791" w:rsidRPr="00500C28">
              <w:rPr>
                <w:noProof/>
                <w:webHidden/>
                <w:sz w:val="24"/>
                <w:szCs w:val="24"/>
              </w:rPr>
              <w:instrText xml:space="preserve"> PAGEREF _Toc526192178 \h </w:instrText>
            </w:r>
            <w:r w:rsidR="00FB2791" w:rsidRPr="00500C28">
              <w:rPr>
                <w:noProof/>
                <w:webHidden/>
                <w:sz w:val="24"/>
                <w:szCs w:val="24"/>
              </w:rPr>
            </w:r>
            <w:r w:rsidR="00FB2791" w:rsidRPr="00500C28">
              <w:rPr>
                <w:noProof/>
                <w:webHidden/>
                <w:sz w:val="24"/>
                <w:szCs w:val="24"/>
              </w:rPr>
              <w:fldChar w:fldCharType="separate"/>
            </w:r>
            <w:r w:rsidR="00826157">
              <w:rPr>
                <w:noProof/>
                <w:webHidden/>
                <w:sz w:val="24"/>
                <w:szCs w:val="24"/>
              </w:rPr>
              <w:t>4</w:t>
            </w:r>
            <w:r w:rsidR="00FB2791" w:rsidRPr="00500C28">
              <w:rPr>
                <w:noProof/>
                <w:webHidden/>
                <w:sz w:val="24"/>
                <w:szCs w:val="24"/>
              </w:rPr>
              <w:fldChar w:fldCharType="end"/>
            </w:r>
          </w:hyperlink>
        </w:p>
        <w:p w14:paraId="41DFB700" w14:textId="77777777" w:rsidR="00FB2791" w:rsidRPr="00500C28" w:rsidRDefault="00F62C4B">
          <w:pPr>
            <w:pStyle w:val="TOC1"/>
            <w:tabs>
              <w:tab w:val="left" w:pos="440"/>
              <w:tab w:val="right" w:leader="dot" w:pos="8921"/>
            </w:tabs>
            <w:rPr>
              <w:rFonts w:asciiTheme="minorHAnsi" w:eastAsiaTheme="minorEastAsia" w:hAnsiTheme="minorHAnsi" w:cstheme="minorBidi"/>
              <w:noProof/>
              <w:sz w:val="24"/>
              <w:szCs w:val="24"/>
              <w:lang w:eastAsia="en-AU"/>
            </w:rPr>
          </w:pPr>
          <w:hyperlink w:anchor="_Toc526192179" w:history="1">
            <w:r w:rsidR="00FB2791" w:rsidRPr="00500C28">
              <w:rPr>
                <w:rStyle w:val="Hyperlink"/>
                <w:noProof/>
                <w:sz w:val="24"/>
                <w:szCs w:val="24"/>
              </w:rPr>
              <w:t>3.</w:t>
            </w:r>
            <w:r w:rsidR="00FB2791" w:rsidRPr="00500C28">
              <w:rPr>
                <w:rFonts w:asciiTheme="minorHAnsi" w:eastAsiaTheme="minorEastAsia" w:hAnsiTheme="minorHAnsi" w:cstheme="minorBidi"/>
                <w:noProof/>
                <w:sz w:val="24"/>
                <w:szCs w:val="24"/>
                <w:lang w:eastAsia="en-AU"/>
              </w:rPr>
              <w:tab/>
            </w:r>
            <w:r w:rsidR="00FB2791" w:rsidRPr="00500C28">
              <w:rPr>
                <w:rStyle w:val="Hyperlink"/>
                <w:noProof/>
                <w:sz w:val="24"/>
                <w:szCs w:val="24"/>
              </w:rPr>
              <w:t>Human Rights Framework</w:t>
            </w:r>
            <w:r w:rsidR="00FB2791" w:rsidRPr="00500C28">
              <w:rPr>
                <w:noProof/>
                <w:webHidden/>
                <w:sz w:val="24"/>
                <w:szCs w:val="24"/>
              </w:rPr>
              <w:tab/>
            </w:r>
            <w:r w:rsidR="00FB2791" w:rsidRPr="00500C28">
              <w:rPr>
                <w:noProof/>
                <w:webHidden/>
                <w:sz w:val="24"/>
                <w:szCs w:val="24"/>
              </w:rPr>
              <w:fldChar w:fldCharType="begin"/>
            </w:r>
            <w:r w:rsidR="00FB2791" w:rsidRPr="00500C28">
              <w:rPr>
                <w:noProof/>
                <w:webHidden/>
                <w:sz w:val="24"/>
                <w:szCs w:val="24"/>
              </w:rPr>
              <w:instrText xml:space="preserve"> PAGEREF _Toc526192179 \h </w:instrText>
            </w:r>
            <w:r w:rsidR="00FB2791" w:rsidRPr="00500C28">
              <w:rPr>
                <w:noProof/>
                <w:webHidden/>
                <w:sz w:val="24"/>
                <w:szCs w:val="24"/>
              </w:rPr>
            </w:r>
            <w:r w:rsidR="00FB2791" w:rsidRPr="00500C28">
              <w:rPr>
                <w:noProof/>
                <w:webHidden/>
                <w:sz w:val="24"/>
                <w:szCs w:val="24"/>
              </w:rPr>
              <w:fldChar w:fldCharType="separate"/>
            </w:r>
            <w:r w:rsidR="00826157">
              <w:rPr>
                <w:noProof/>
                <w:webHidden/>
                <w:sz w:val="24"/>
                <w:szCs w:val="24"/>
              </w:rPr>
              <w:t>4</w:t>
            </w:r>
            <w:r w:rsidR="00FB2791" w:rsidRPr="00500C28">
              <w:rPr>
                <w:noProof/>
                <w:webHidden/>
                <w:sz w:val="24"/>
                <w:szCs w:val="24"/>
              </w:rPr>
              <w:fldChar w:fldCharType="end"/>
            </w:r>
          </w:hyperlink>
        </w:p>
        <w:p w14:paraId="3E7C5165" w14:textId="77777777" w:rsidR="00FB2791" w:rsidRPr="00500C28" w:rsidRDefault="00F62C4B">
          <w:pPr>
            <w:pStyle w:val="TOC1"/>
            <w:tabs>
              <w:tab w:val="left" w:pos="440"/>
              <w:tab w:val="right" w:leader="dot" w:pos="8921"/>
            </w:tabs>
            <w:rPr>
              <w:rFonts w:asciiTheme="minorHAnsi" w:eastAsiaTheme="minorEastAsia" w:hAnsiTheme="minorHAnsi" w:cstheme="minorBidi"/>
              <w:noProof/>
              <w:sz w:val="24"/>
              <w:szCs w:val="24"/>
              <w:lang w:eastAsia="en-AU"/>
            </w:rPr>
          </w:pPr>
          <w:hyperlink w:anchor="_Toc526192180" w:history="1">
            <w:r w:rsidR="00FB2791" w:rsidRPr="00500C28">
              <w:rPr>
                <w:rStyle w:val="Hyperlink"/>
                <w:noProof/>
                <w:sz w:val="24"/>
                <w:szCs w:val="24"/>
              </w:rPr>
              <w:t>4.</w:t>
            </w:r>
            <w:r w:rsidR="00FB2791" w:rsidRPr="00500C28">
              <w:rPr>
                <w:rFonts w:asciiTheme="minorHAnsi" w:eastAsiaTheme="minorEastAsia" w:hAnsiTheme="minorHAnsi" w:cstheme="minorBidi"/>
                <w:noProof/>
                <w:sz w:val="24"/>
                <w:szCs w:val="24"/>
                <w:lang w:eastAsia="en-AU"/>
              </w:rPr>
              <w:tab/>
            </w:r>
            <w:r w:rsidR="00FB2791" w:rsidRPr="00500C28">
              <w:rPr>
                <w:rStyle w:val="Hyperlink"/>
                <w:noProof/>
                <w:sz w:val="24"/>
                <w:szCs w:val="24"/>
              </w:rPr>
              <w:t>The CRPD, disability and the rights of intersex people</w:t>
            </w:r>
            <w:r w:rsidR="00FB2791" w:rsidRPr="00500C28">
              <w:rPr>
                <w:noProof/>
                <w:webHidden/>
                <w:sz w:val="24"/>
                <w:szCs w:val="24"/>
              </w:rPr>
              <w:tab/>
            </w:r>
            <w:r w:rsidR="00FB2791" w:rsidRPr="00500C28">
              <w:rPr>
                <w:noProof/>
                <w:webHidden/>
                <w:sz w:val="24"/>
                <w:szCs w:val="24"/>
              </w:rPr>
              <w:fldChar w:fldCharType="begin"/>
            </w:r>
            <w:r w:rsidR="00FB2791" w:rsidRPr="00500C28">
              <w:rPr>
                <w:noProof/>
                <w:webHidden/>
                <w:sz w:val="24"/>
                <w:szCs w:val="24"/>
              </w:rPr>
              <w:instrText xml:space="preserve"> PAGEREF _Toc526192180 \h </w:instrText>
            </w:r>
            <w:r w:rsidR="00FB2791" w:rsidRPr="00500C28">
              <w:rPr>
                <w:noProof/>
                <w:webHidden/>
                <w:sz w:val="24"/>
                <w:szCs w:val="24"/>
              </w:rPr>
            </w:r>
            <w:r w:rsidR="00FB2791" w:rsidRPr="00500C28">
              <w:rPr>
                <w:noProof/>
                <w:webHidden/>
                <w:sz w:val="24"/>
                <w:szCs w:val="24"/>
              </w:rPr>
              <w:fldChar w:fldCharType="separate"/>
            </w:r>
            <w:r w:rsidR="00826157">
              <w:rPr>
                <w:noProof/>
                <w:webHidden/>
                <w:sz w:val="24"/>
                <w:szCs w:val="24"/>
              </w:rPr>
              <w:t>8</w:t>
            </w:r>
            <w:r w:rsidR="00FB2791" w:rsidRPr="00500C28">
              <w:rPr>
                <w:noProof/>
                <w:webHidden/>
                <w:sz w:val="24"/>
                <w:szCs w:val="24"/>
              </w:rPr>
              <w:fldChar w:fldCharType="end"/>
            </w:r>
          </w:hyperlink>
        </w:p>
        <w:p w14:paraId="424B53BA" w14:textId="77777777" w:rsidR="00FB2791" w:rsidRPr="00500C28" w:rsidRDefault="00F62C4B">
          <w:pPr>
            <w:pStyle w:val="TOC1"/>
            <w:tabs>
              <w:tab w:val="left" w:pos="440"/>
              <w:tab w:val="right" w:leader="dot" w:pos="8921"/>
            </w:tabs>
            <w:rPr>
              <w:rFonts w:asciiTheme="minorHAnsi" w:eastAsiaTheme="minorEastAsia" w:hAnsiTheme="minorHAnsi" w:cstheme="minorBidi"/>
              <w:noProof/>
              <w:lang w:eastAsia="en-AU"/>
            </w:rPr>
          </w:pPr>
          <w:hyperlink w:anchor="_Toc526192181" w:history="1">
            <w:r w:rsidR="00FB2791" w:rsidRPr="00500C28">
              <w:rPr>
                <w:rStyle w:val="Hyperlink"/>
                <w:noProof/>
                <w:sz w:val="24"/>
                <w:szCs w:val="24"/>
              </w:rPr>
              <w:t>5.</w:t>
            </w:r>
            <w:r w:rsidR="00FB2791" w:rsidRPr="00500C28">
              <w:rPr>
                <w:rFonts w:asciiTheme="minorHAnsi" w:eastAsiaTheme="minorEastAsia" w:hAnsiTheme="minorHAnsi" w:cstheme="minorBidi"/>
                <w:noProof/>
                <w:sz w:val="24"/>
                <w:szCs w:val="24"/>
                <w:lang w:eastAsia="en-AU"/>
              </w:rPr>
              <w:tab/>
            </w:r>
            <w:r w:rsidR="00FB2791" w:rsidRPr="00500C28">
              <w:rPr>
                <w:rStyle w:val="Hyperlink"/>
                <w:noProof/>
                <w:sz w:val="24"/>
                <w:szCs w:val="24"/>
              </w:rPr>
              <w:t>Legal Capacity</w:t>
            </w:r>
            <w:r w:rsidR="00FB2791" w:rsidRPr="00500C28">
              <w:rPr>
                <w:noProof/>
                <w:webHidden/>
                <w:sz w:val="24"/>
                <w:szCs w:val="24"/>
              </w:rPr>
              <w:tab/>
            </w:r>
            <w:r w:rsidR="00FB2791" w:rsidRPr="00500C28">
              <w:rPr>
                <w:noProof/>
                <w:webHidden/>
                <w:sz w:val="24"/>
                <w:szCs w:val="24"/>
              </w:rPr>
              <w:fldChar w:fldCharType="begin"/>
            </w:r>
            <w:r w:rsidR="00FB2791" w:rsidRPr="00500C28">
              <w:rPr>
                <w:noProof/>
                <w:webHidden/>
                <w:sz w:val="24"/>
                <w:szCs w:val="24"/>
              </w:rPr>
              <w:instrText xml:space="preserve"> PAGEREF _Toc526192181 \h </w:instrText>
            </w:r>
            <w:r w:rsidR="00FB2791" w:rsidRPr="00500C28">
              <w:rPr>
                <w:noProof/>
                <w:webHidden/>
                <w:sz w:val="24"/>
                <w:szCs w:val="24"/>
              </w:rPr>
            </w:r>
            <w:r w:rsidR="00FB2791" w:rsidRPr="00500C28">
              <w:rPr>
                <w:noProof/>
                <w:webHidden/>
                <w:sz w:val="24"/>
                <w:szCs w:val="24"/>
              </w:rPr>
              <w:fldChar w:fldCharType="separate"/>
            </w:r>
            <w:r w:rsidR="00826157">
              <w:rPr>
                <w:noProof/>
                <w:webHidden/>
                <w:sz w:val="24"/>
                <w:szCs w:val="24"/>
              </w:rPr>
              <w:t>10</w:t>
            </w:r>
            <w:r w:rsidR="00FB2791" w:rsidRPr="00500C28">
              <w:rPr>
                <w:noProof/>
                <w:webHidden/>
                <w:sz w:val="24"/>
                <w:szCs w:val="24"/>
              </w:rPr>
              <w:fldChar w:fldCharType="end"/>
            </w:r>
          </w:hyperlink>
        </w:p>
        <w:p w14:paraId="19A512F2" w14:textId="77777777" w:rsidR="00F5359F" w:rsidRPr="00500C28" w:rsidRDefault="00F5359F" w:rsidP="00F5359F">
          <w:r w:rsidRPr="00500C28">
            <w:rPr>
              <w:b/>
              <w:bCs/>
              <w:noProof/>
            </w:rPr>
            <w:fldChar w:fldCharType="end"/>
          </w:r>
        </w:p>
      </w:sdtContent>
    </w:sdt>
    <w:p w14:paraId="6CD47E17" w14:textId="77777777" w:rsidR="00F5359F" w:rsidRPr="00500C28" w:rsidRDefault="00F5359F" w:rsidP="00F5359F">
      <w:pPr>
        <w:pStyle w:val="NoSpacing"/>
        <w:rPr>
          <w:sz w:val="22"/>
          <w:szCs w:val="22"/>
          <w:lang w:val="en-AU"/>
        </w:rPr>
      </w:pPr>
    </w:p>
    <w:p w14:paraId="2EF630B1" w14:textId="77777777" w:rsidR="00F5359F" w:rsidRPr="00500C28" w:rsidRDefault="00F5359F" w:rsidP="00F5359F"/>
    <w:p w14:paraId="35B6C55A" w14:textId="77777777" w:rsidR="00F5359F" w:rsidRPr="00500C28" w:rsidRDefault="00F5359F" w:rsidP="00F5359F">
      <w:pPr>
        <w:pStyle w:val="NoSpacing"/>
        <w:rPr>
          <w:sz w:val="22"/>
          <w:szCs w:val="22"/>
          <w:lang w:val="en-AU"/>
        </w:rPr>
      </w:pPr>
    </w:p>
    <w:p w14:paraId="3FBDD960" w14:textId="77777777" w:rsidR="00F5359F" w:rsidRPr="005629B0" w:rsidRDefault="00F5359F" w:rsidP="00F5359F"/>
    <w:p w14:paraId="7148FCE2" w14:textId="77777777"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14:paraId="181A4F1C" w14:textId="77777777"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14:paraId="445992F4" w14:textId="77777777"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14:paraId="3B6773CE" w14:textId="77777777"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14:paraId="0AD28586" w14:textId="77777777"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14:paraId="4959176F" w14:textId="77777777"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14:paraId="79E4C82D" w14:textId="77777777"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14:paraId="58E051CB" w14:textId="77777777" w:rsidR="00F5359F" w:rsidRPr="005629B0" w:rsidRDefault="00F5359F" w:rsidP="00F5359F">
      <w:pPr>
        <w:rPr>
          <w:rFonts w:asciiTheme="majorHAnsi" w:hAnsiTheme="majorHAnsi" w:cs="Arial"/>
          <w:sz w:val="24"/>
          <w:szCs w:val="24"/>
        </w:rPr>
      </w:pPr>
      <w:r w:rsidRPr="005629B0">
        <w:rPr>
          <w:rFonts w:asciiTheme="majorHAnsi" w:hAnsiTheme="majorHAnsi" w:cs="Arial"/>
          <w:sz w:val="24"/>
          <w:szCs w:val="24"/>
        </w:rPr>
        <w:br w:type="page"/>
      </w:r>
    </w:p>
    <w:p w14:paraId="30AEC4DE" w14:textId="77777777" w:rsidR="00F5359F" w:rsidRPr="005629B0" w:rsidRDefault="00F5359F" w:rsidP="00F5359F">
      <w:pPr>
        <w:pStyle w:val="Heading1"/>
        <w:ind w:left="567" w:hanging="567"/>
      </w:pPr>
      <w:bookmarkStart w:id="1" w:name="_Toc526192177"/>
      <w:r w:rsidRPr="005629B0">
        <w:lastRenderedPageBreak/>
        <w:t>Disabled People’s Organisations Australia (DPO Australia)</w:t>
      </w:r>
      <w:bookmarkEnd w:id="1"/>
    </w:p>
    <w:p w14:paraId="3BC3569C" w14:textId="77777777" w:rsidR="00F5359F" w:rsidRPr="005629B0" w:rsidRDefault="00F5359F" w:rsidP="00F5359F">
      <w:pPr>
        <w:pBdr>
          <w:bottom w:val="single" w:sz="12" w:space="1" w:color="auto"/>
        </w:pBdr>
        <w:rPr>
          <w:sz w:val="16"/>
          <w:szCs w:val="16"/>
        </w:rPr>
      </w:pPr>
    </w:p>
    <w:p w14:paraId="4FDE6FF8" w14:textId="77777777" w:rsidR="00F5359F" w:rsidRPr="004007B0" w:rsidRDefault="00F5359F"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r w:rsidRPr="004007B0">
        <w:rPr>
          <w:rFonts w:asciiTheme="majorHAnsi" w:hAnsiTheme="majorHAnsi" w:cs="Arial"/>
          <w:sz w:val="24"/>
          <w:szCs w:val="24"/>
        </w:rPr>
        <w:t>Disabled People’s Organisations Australia (DPO Australia) is an alliance of four national DPOs in Australia.  DPOs are organisations that are governed, led by and constituted of people with disability.</w:t>
      </w:r>
    </w:p>
    <w:p w14:paraId="237A5A02" w14:textId="77777777" w:rsidR="00F5359F" w:rsidRPr="004007B0" w:rsidRDefault="00F5359F"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r w:rsidRPr="004007B0">
        <w:rPr>
          <w:rFonts w:asciiTheme="majorHAnsi" w:hAnsiTheme="majorHAnsi" w:cs="Arial"/>
          <w:sz w:val="24"/>
          <w:szCs w:val="24"/>
        </w:rPr>
        <w:t xml:space="preserve">The key purpose of the DPO Australia is to promote, protect and advance the human rights and freedoms of people with disability in Australia by working collaboratively on areas of shared interests, purposes and strategic priorities and opportunities. </w:t>
      </w:r>
    </w:p>
    <w:p w14:paraId="27DBBB32" w14:textId="1F0B48E3" w:rsidR="00F5359F" w:rsidRPr="004007B0" w:rsidRDefault="00F5359F"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Theme="majorHAnsi" w:hAnsiTheme="majorHAnsi" w:cs="Arial"/>
          <w:sz w:val="24"/>
          <w:szCs w:val="24"/>
        </w:rPr>
      </w:pPr>
      <w:r w:rsidRPr="004007B0">
        <w:rPr>
          <w:rFonts w:asciiTheme="majorHAnsi" w:hAnsiTheme="majorHAnsi" w:cs="Arial"/>
          <w:sz w:val="24"/>
          <w:szCs w:val="24"/>
        </w:rPr>
        <w:t xml:space="preserve">DPO Australia is made up of four national population specific and cross-disability DPOs that have been funded by the Australian Government to </w:t>
      </w:r>
      <w:r w:rsidR="000479A5">
        <w:rPr>
          <w:rFonts w:asciiTheme="majorHAnsi" w:hAnsiTheme="majorHAnsi" w:cs="Arial"/>
          <w:sz w:val="24"/>
          <w:szCs w:val="24"/>
        </w:rPr>
        <w:t xml:space="preserve">represent the views of people with disability and provide advice to </w:t>
      </w:r>
      <w:r w:rsidRPr="004007B0">
        <w:rPr>
          <w:rFonts w:asciiTheme="majorHAnsi" w:hAnsiTheme="majorHAnsi" w:cs="Arial"/>
          <w:sz w:val="24"/>
          <w:szCs w:val="24"/>
        </w:rPr>
        <w:t>Government/s and other stakeholders</w:t>
      </w:r>
      <w:r w:rsidR="009C434C">
        <w:rPr>
          <w:rFonts w:asciiTheme="majorHAnsi" w:hAnsiTheme="majorHAnsi" w:cs="Arial"/>
          <w:sz w:val="24"/>
          <w:szCs w:val="24"/>
        </w:rPr>
        <w:t>.</w:t>
      </w:r>
      <w:r w:rsidRPr="004007B0">
        <w:rPr>
          <w:rFonts w:asciiTheme="majorHAnsi" w:hAnsiTheme="majorHAnsi" w:cs="Arial"/>
          <w:sz w:val="24"/>
          <w:szCs w:val="24"/>
        </w:rPr>
        <w:t xml:space="preserve">  </w:t>
      </w:r>
    </w:p>
    <w:p w14:paraId="33A9370B" w14:textId="77777777" w:rsidR="00F5359F" w:rsidRPr="004007B0" w:rsidRDefault="00F5359F"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r w:rsidRPr="004007B0">
        <w:rPr>
          <w:rFonts w:asciiTheme="majorHAnsi" w:hAnsiTheme="majorHAnsi" w:cs="Arial"/>
          <w:sz w:val="24"/>
          <w:szCs w:val="24"/>
        </w:rPr>
        <w:t>The four DPO Australia members are:</w:t>
      </w:r>
    </w:p>
    <w:p w14:paraId="7DB17E94" w14:textId="77777777" w:rsidR="00F5359F" w:rsidRPr="004007B0" w:rsidRDefault="00F62C4B"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hyperlink r:id="rId11" w:history="1">
        <w:r w:rsidR="00F5359F" w:rsidRPr="004007B0">
          <w:rPr>
            <w:rStyle w:val="Hyperlink"/>
            <w:rFonts w:asciiTheme="majorHAnsi" w:hAnsiTheme="majorHAnsi" w:cs="Arial"/>
            <w:sz w:val="24"/>
            <w:szCs w:val="24"/>
          </w:rPr>
          <w:t xml:space="preserve">Women </w:t>
        </w:r>
        <w:proofErr w:type="gramStart"/>
        <w:r w:rsidR="00F5359F" w:rsidRPr="004007B0">
          <w:rPr>
            <w:rStyle w:val="Hyperlink"/>
            <w:rFonts w:asciiTheme="majorHAnsi" w:hAnsiTheme="majorHAnsi" w:cs="Arial"/>
            <w:sz w:val="24"/>
            <w:szCs w:val="24"/>
          </w:rPr>
          <w:t>With</w:t>
        </w:r>
        <w:proofErr w:type="gramEnd"/>
        <w:r w:rsidR="00F5359F" w:rsidRPr="004007B0">
          <w:rPr>
            <w:rStyle w:val="Hyperlink"/>
            <w:rFonts w:asciiTheme="majorHAnsi" w:hAnsiTheme="majorHAnsi" w:cs="Arial"/>
            <w:sz w:val="24"/>
            <w:szCs w:val="24"/>
          </w:rPr>
          <w:t xml:space="preserve"> Disabilities Australia (WWDA)</w:t>
        </w:r>
      </w:hyperlink>
      <w:r w:rsidR="00F5359F" w:rsidRPr="004007B0">
        <w:rPr>
          <w:rFonts w:asciiTheme="majorHAnsi" w:hAnsiTheme="majorHAnsi" w:cs="Arial"/>
          <w:sz w:val="24"/>
          <w:szCs w:val="24"/>
        </w:rPr>
        <w:t xml:space="preserve"> is the national cross-disability DPO for women and girls with all types of disabilities in Australia. It operates as a transnational human rights organisation and is run by women with disabilities, for women with disabilities. WWDA’s work is grounded in a human rights based framework which links gender and disability issues to a full range of civil, political, economic, social and cultural rights.</w:t>
      </w:r>
    </w:p>
    <w:p w14:paraId="1D51EEF3" w14:textId="77777777" w:rsidR="00F5359F" w:rsidRPr="004007B0" w:rsidRDefault="00F62C4B"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hyperlink r:id="rId12" w:history="1">
        <w:r w:rsidR="00F5359F" w:rsidRPr="004007B0">
          <w:rPr>
            <w:rStyle w:val="Hyperlink"/>
            <w:rFonts w:asciiTheme="majorHAnsi" w:hAnsiTheme="majorHAnsi" w:cs="Arial"/>
            <w:sz w:val="24"/>
            <w:szCs w:val="24"/>
          </w:rPr>
          <w:t>First Peoples Disability Network Australia (FPDNA)</w:t>
        </w:r>
      </w:hyperlink>
      <w:r w:rsidR="00F5359F" w:rsidRPr="004007B0">
        <w:rPr>
          <w:rFonts w:asciiTheme="majorHAnsi" w:hAnsiTheme="majorHAnsi" w:cs="Arial"/>
          <w:sz w:val="24"/>
          <w:szCs w:val="24"/>
        </w:rPr>
        <w:t xml:space="preserve"> is the national cross-disability DPO representing Aboriginal and Torres Strait Islander people with disability and their families. FPDNA utilises a range of strategies in its representative role, including through the provision of high-level advice to governments, and educating the government and non-government sectors about how to meet the unmet needs of Aboriginal and Torres Strait Islander people with disability.</w:t>
      </w:r>
    </w:p>
    <w:p w14:paraId="6B48AB6E" w14:textId="77777777" w:rsidR="00F5359F" w:rsidRPr="004007B0" w:rsidRDefault="00F62C4B"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hyperlink r:id="rId13" w:history="1">
        <w:r w:rsidR="00F5359F" w:rsidRPr="004007B0">
          <w:rPr>
            <w:rStyle w:val="Hyperlink"/>
            <w:rFonts w:asciiTheme="majorHAnsi" w:hAnsiTheme="majorHAnsi" w:cs="Arial"/>
            <w:sz w:val="24"/>
            <w:szCs w:val="24"/>
          </w:rPr>
          <w:t>People with Disability Australia (PWDA)</w:t>
        </w:r>
      </w:hyperlink>
      <w:r w:rsidR="00F5359F" w:rsidRPr="004007B0">
        <w:rPr>
          <w:rFonts w:asciiTheme="majorHAnsi" w:hAnsiTheme="majorHAnsi" w:cs="Arial"/>
          <w:sz w:val="24"/>
          <w:szCs w:val="24"/>
        </w:rPr>
        <w:t xml:space="preserve"> is the national cross disability rights and advocacy organisation run by and for people with disability. Working within a human rights framework, PWDA represents the interests of people with all kinds of disability. Its primary membership is made up of people with disability and organisations primarily constituted by people with disability. It also has a large associate membership of other individuals and organisations committed to the disability rights movement.</w:t>
      </w:r>
    </w:p>
    <w:p w14:paraId="5DE57BEB" w14:textId="47A9A4D8" w:rsidR="00F5359F" w:rsidRPr="00FB002E" w:rsidRDefault="00F62C4B"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hyperlink r:id="rId14" w:history="1">
        <w:r w:rsidR="00F5359F" w:rsidRPr="004007B0">
          <w:rPr>
            <w:rStyle w:val="Hyperlink"/>
            <w:rFonts w:asciiTheme="majorHAnsi" w:hAnsiTheme="majorHAnsi" w:cs="Arial"/>
            <w:sz w:val="24"/>
            <w:szCs w:val="24"/>
          </w:rPr>
          <w:t>National Ethnic Disability Alliance (NEDA)</w:t>
        </w:r>
      </w:hyperlink>
      <w:r w:rsidR="00F5359F" w:rsidRPr="004007B0">
        <w:rPr>
          <w:rFonts w:asciiTheme="majorHAnsi" w:hAnsiTheme="majorHAnsi" w:cs="Arial"/>
          <w:sz w:val="24"/>
          <w:szCs w:val="24"/>
        </w:rPr>
        <w:t xml:space="preserve"> is the national peak organisation representing the rights and interests of </w:t>
      </w:r>
      <w:proofErr w:type="gramStart"/>
      <w:r w:rsidR="00F5359F" w:rsidRPr="004007B0">
        <w:rPr>
          <w:rFonts w:asciiTheme="majorHAnsi" w:hAnsiTheme="majorHAnsi" w:cs="Arial"/>
          <w:sz w:val="24"/>
          <w:szCs w:val="24"/>
        </w:rPr>
        <w:t>Culturally</w:t>
      </w:r>
      <w:proofErr w:type="gramEnd"/>
      <w:r w:rsidR="00F5359F" w:rsidRPr="004007B0">
        <w:rPr>
          <w:rFonts w:asciiTheme="majorHAnsi" w:hAnsiTheme="majorHAnsi" w:cs="Arial"/>
          <w:sz w:val="24"/>
          <w:szCs w:val="24"/>
        </w:rPr>
        <w:t xml:space="preserve"> and Linguistically Diverse (CALD/NESB) people with disability, their families and carers throughout Australia. NEDA advocates at the federal level so that CALD/NESB people with disability can participate fully in all aspects of social, economic, political and cultural life.</w:t>
      </w:r>
      <w:r w:rsidR="00F5359F" w:rsidRPr="005629B0">
        <w:br w:type="page"/>
      </w:r>
    </w:p>
    <w:p w14:paraId="47CFC202" w14:textId="77777777" w:rsidR="00F5359F" w:rsidRPr="005629B0" w:rsidRDefault="00F5359F" w:rsidP="00F5359F">
      <w:pPr>
        <w:pStyle w:val="Heading1"/>
        <w:ind w:left="567" w:hanging="567"/>
      </w:pPr>
      <w:bookmarkStart w:id="2" w:name="_Toc526192178"/>
      <w:r w:rsidRPr="005629B0">
        <w:lastRenderedPageBreak/>
        <w:t>Introduction</w:t>
      </w:r>
      <w:bookmarkEnd w:id="2"/>
    </w:p>
    <w:p w14:paraId="0852A630" w14:textId="77777777" w:rsidR="00F5359F" w:rsidRPr="005629B0" w:rsidRDefault="00F5359F" w:rsidP="00F5359F">
      <w:pPr>
        <w:pBdr>
          <w:bottom w:val="single" w:sz="12" w:space="1" w:color="auto"/>
        </w:pBdr>
        <w:jc w:val="right"/>
        <w:rPr>
          <w:sz w:val="16"/>
          <w:szCs w:val="16"/>
        </w:rPr>
      </w:pPr>
    </w:p>
    <w:p w14:paraId="5731C597" w14:textId="2075171F" w:rsidR="00B81B31" w:rsidRDefault="00D25936" w:rsidP="00D25936">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cs="Calibri"/>
          <w:sz w:val="24"/>
          <w:szCs w:val="24"/>
        </w:rPr>
      </w:pPr>
      <w:r>
        <w:rPr>
          <w:rFonts w:cs="Calibri"/>
          <w:sz w:val="24"/>
          <w:szCs w:val="24"/>
        </w:rPr>
        <w:t xml:space="preserve">2.1 </w:t>
      </w:r>
      <w:r>
        <w:rPr>
          <w:rFonts w:cs="Calibri"/>
          <w:sz w:val="24"/>
          <w:szCs w:val="24"/>
        </w:rPr>
        <w:tab/>
      </w:r>
      <w:r w:rsidR="00C61EF4">
        <w:rPr>
          <w:rFonts w:cs="Calibri"/>
          <w:sz w:val="24"/>
          <w:szCs w:val="24"/>
        </w:rPr>
        <w:t xml:space="preserve">DPO Australia </w:t>
      </w:r>
      <w:r w:rsidR="005D20AB">
        <w:rPr>
          <w:rFonts w:cs="Calibri"/>
          <w:sz w:val="24"/>
          <w:szCs w:val="24"/>
        </w:rPr>
        <w:t>welcomes</w:t>
      </w:r>
      <w:r w:rsidR="005D20AB" w:rsidRPr="0079699A">
        <w:rPr>
          <w:rFonts w:cs="Calibri"/>
          <w:sz w:val="24"/>
          <w:szCs w:val="24"/>
        </w:rPr>
        <w:t xml:space="preserve"> the opportunity to </w:t>
      </w:r>
      <w:r w:rsidR="005D20AB">
        <w:rPr>
          <w:rFonts w:cs="Calibri"/>
          <w:sz w:val="24"/>
          <w:szCs w:val="24"/>
        </w:rPr>
        <w:t xml:space="preserve">provide </w:t>
      </w:r>
      <w:r w:rsidR="005971F6">
        <w:rPr>
          <w:rFonts w:cs="Calibri"/>
          <w:sz w:val="24"/>
          <w:szCs w:val="24"/>
        </w:rPr>
        <w:t xml:space="preserve">this submission </w:t>
      </w:r>
      <w:r w:rsidR="005D20AB">
        <w:rPr>
          <w:rFonts w:cs="Calibri"/>
          <w:sz w:val="24"/>
          <w:szCs w:val="24"/>
        </w:rPr>
        <w:t xml:space="preserve">to the </w:t>
      </w:r>
      <w:r w:rsidR="00B81B31">
        <w:rPr>
          <w:rFonts w:cs="Calibri"/>
          <w:sz w:val="24"/>
          <w:szCs w:val="24"/>
        </w:rPr>
        <w:t xml:space="preserve">Australian Human Rights Commission’s Consultation Paper, </w:t>
      </w:r>
      <w:r w:rsidR="00B81B31" w:rsidRPr="00B81B31">
        <w:rPr>
          <w:rFonts w:cs="Calibri"/>
          <w:i/>
          <w:sz w:val="24"/>
          <w:szCs w:val="24"/>
        </w:rPr>
        <w:t>Protecting the Human Right</w:t>
      </w:r>
      <w:r w:rsidR="00B81B31">
        <w:rPr>
          <w:rFonts w:cs="Calibri"/>
          <w:i/>
          <w:sz w:val="24"/>
          <w:szCs w:val="24"/>
        </w:rPr>
        <w:t>s of People Born with Variation</w:t>
      </w:r>
      <w:r w:rsidR="00B81B31" w:rsidRPr="00B81B31">
        <w:rPr>
          <w:rFonts w:cs="Calibri"/>
          <w:i/>
          <w:sz w:val="24"/>
          <w:szCs w:val="24"/>
        </w:rPr>
        <w:t>s</w:t>
      </w:r>
      <w:r w:rsidR="00B81B31">
        <w:rPr>
          <w:rFonts w:cs="Calibri"/>
          <w:i/>
          <w:sz w:val="24"/>
          <w:szCs w:val="24"/>
        </w:rPr>
        <w:t xml:space="preserve"> </w:t>
      </w:r>
      <w:r w:rsidR="00B81B31" w:rsidRPr="00B81B31">
        <w:rPr>
          <w:rFonts w:cs="Calibri"/>
          <w:i/>
          <w:sz w:val="24"/>
          <w:szCs w:val="24"/>
        </w:rPr>
        <w:t>in Sex Characteristics in the context of Medical Interventions</w:t>
      </w:r>
      <w:r w:rsidR="000B4FB4">
        <w:rPr>
          <w:rFonts w:cs="Calibri"/>
          <w:sz w:val="24"/>
          <w:szCs w:val="24"/>
        </w:rPr>
        <w:t xml:space="preserve"> (Consultation Paper).</w:t>
      </w:r>
    </w:p>
    <w:p w14:paraId="7EFF44E6" w14:textId="3CC1B4C5" w:rsidR="00A83DEB" w:rsidRDefault="000B3B5F" w:rsidP="008730FA">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cs="Calibri"/>
          <w:sz w:val="24"/>
          <w:szCs w:val="24"/>
        </w:rPr>
      </w:pPr>
      <w:r>
        <w:rPr>
          <w:rFonts w:cs="Calibri"/>
          <w:sz w:val="24"/>
          <w:szCs w:val="24"/>
        </w:rPr>
        <w:t>2.2</w:t>
      </w:r>
      <w:r>
        <w:rPr>
          <w:rFonts w:cs="Calibri"/>
          <w:sz w:val="24"/>
          <w:szCs w:val="24"/>
        </w:rPr>
        <w:tab/>
      </w:r>
      <w:r w:rsidR="005B12F3">
        <w:rPr>
          <w:rFonts w:cs="Calibri"/>
          <w:sz w:val="24"/>
          <w:szCs w:val="24"/>
        </w:rPr>
        <w:t xml:space="preserve">DPO Australia fully endorses the submission </w:t>
      </w:r>
      <w:r w:rsidR="00DF0F8E">
        <w:rPr>
          <w:rFonts w:cs="Calibri"/>
          <w:sz w:val="24"/>
          <w:szCs w:val="24"/>
        </w:rPr>
        <w:t xml:space="preserve">and associated recommendations </w:t>
      </w:r>
      <w:r w:rsidR="005B12F3">
        <w:rPr>
          <w:rFonts w:cs="Calibri"/>
          <w:sz w:val="24"/>
          <w:szCs w:val="24"/>
        </w:rPr>
        <w:t>provided to the Australian Human Rights Commission (AHRC) by Intersex Human Rights Australia (IHRA).</w:t>
      </w:r>
      <w:r w:rsidR="002916B9">
        <w:rPr>
          <w:rStyle w:val="FootnoteReference"/>
          <w:rFonts w:cs="Calibri"/>
          <w:sz w:val="24"/>
          <w:szCs w:val="24"/>
        </w:rPr>
        <w:footnoteReference w:id="1"/>
      </w:r>
      <w:r w:rsidR="005747AA">
        <w:rPr>
          <w:rFonts w:cs="Calibri"/>
          <w:sz w:val="24"/>
          <w:szCs w:val="24"/>
        </w:rPr>
        <w:t xml:space="preserve">  </w:t>
      </w:r>
    </w:p>
    <w:p w14:paraId="3139CDB7" w14:textId="47CABEB6" w:rsidR="000B3B5F" w:rsidRDefault="00096D86" w:rsidP="00096D86">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cs="Calibri"/>
          <w:sz w:val="24"/>
          <w:szCs w:val="24"/>
        </w:rPr>
      </w:pPr>
      <w:r>
        <w:rPr>
          <w:rFonts w:cs="Calibri"/>
          <w:sz w:val="24"/>
          <w:szCs w:val="24"/>
        </w:rPr>
        <w:t>2.3</w:t>
      </w:r>
      <w:r>
        <w:rPr>
          <w:rFonts w:cs="Calibri"/>
          <w:sz w:val="24"/>
          <w:szCs w:val="24"/>
        </w:rPr>
        <w:tab/>
        <w:t>Our submission asserts</w:t>
      </w:r>
      <w:r w:rsidR="000B3B5F">
        <w:rPr>
          <w:rFonts w:cs="Calibri"/>
          <w:sz w:val="24"/>
          <w:szCs w:val="24"/>
        </w:rPr>
        <w:t xml:space="preserve"> that the international human rights framework, including the growing body of human rights jurisprudence in this area, must underpin human rights protections of intersex people / people born with variations in sex characteristics.</w:t>
      </w:r>
      <w:r>
        <w:rPr>
          <w:rStyle w:val="FootnoteReference"/>
          <w:rFonts w:cs="Calibri"/>
          <w:sz w:val="24"/>
          <w:szCs w:val="24"/>
        </w:rPr>
        <w:footnoteReference w:id="2"/>
      </w:r>
      <w:r w:rsidR="00D71B5F">
        <w:rPr>
          <w:rFonts w:cs="Calibri"/>
          <w:sz w:val="24"/>
          <w:szCs w:val="24"/>
        </w:rPr>
        <w:t xml:space="preserve"> </w:t>
      </w:r>
    </w:p>
    <w:p w14:paraId="6D88E1A7" w14:textId="2EDAD927" w:rsidR="000B3B5F" w:rsidRDefault="000B3B5F" w:rsidP="000B3B5F">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cs="Calibri"/>
          <w:sz w:val="24"/>
          <w:szCs w:val="24"/>
        </w:rPr>
      </w:pPr>
      <w:r>
        <w:rPr>
          <w:rFonts w:cs="Calibri"/>
          <w:sz w:val="24"/>
          <w:szCs w:val="24"/>
        </w:rPr>
        <w:t>2.4</w:t>
      </w:r>
      <w:r>
        <w:rPr>
          <w:rFonts w:cs="Calibri"/>
          <w:sz w:val="24"/>
          <w:szCs w:val="24"/>
        </w:rPr>
        <w:tab/>
      </w:r>
      <w:r w:rsidR="00096D86">
        <w:rPr>
          <w:rFonts w:cs="Calibri"/>
          <w:sz w:val="24"/>
          <w:szCs w:val="24"/>
        </w:rPr>
        <w:t xml:space="preserve">Our submission </w:t>
      </w:r>
      <w:r w:rsidR="002916B9">
        <w:rPr>
          <w:rFonts w:cs="Calibri"/>
          <w:sz w:val="24"/>
          <w:szCs w:val="24"/>
        </w:rPr>
        <w:t xml:space="preserve">supports, but </w:t>
      </w:r>
      <w:r w:rsidR="00096D86">
        <w:rPr>
          <w:rFonts w:cs="Calibri"/>
          <w:sz w:val="24"/>
          <w:szCs w:val="24"/>
        </w:rPr>
        <w:t xml:space="preserve">does not restate the comprehensive human rights analysis and discussion outlined in the submission by the IHRA in response to the Consultation Paper.  </w:t>
      </w:r>
      <w:r>
        <w:rPr>
          <w:rFonts w:cs="Calibri"/>
          <w:sz w:val="24"/>
          <w:szCs w:val="24"/>
        </w:rPr>
        <w:t xml:space="preserve">In </w:t>
      </w:r>
      <w:r w:rsidR="00096D86">
        <w:rPr>
          <w:rFonts w:cs="Calibri"/>
          <w:sz w:val="24"/>
          <w:szCs w:val="24"/>
        </w:rPr>
        <w:t xml:space="preserve">this submission, we </w:t>
      </w:r>
      <w:r w:rsidR="002916B9">
        <w:rPr>
          <w:rFonts w:cs="Calibri"/>
          <w:sz w:val="24"/>
          <w:szCs w:val="24"/>
        </w:rPr>
        <w:t xml:space="preserve">only </w:t>
      </w:r>
      <w:r w:rsidR="00096D86">
        <w:rPr>
          <w:rFonts w:cs="Calibri"/>
          <w:sz w:val="24"/>
          <w:szCs w:val="24"/>
        </w:rPr>
        <w:t xml:space="preserve">focus on </w:t>
      </w:r>
      <w:r w:rsidR="00F15910">
        <w:rPr>
          <w:rFonts w:cs="Calibri"/>
          <w:sz w:val="24"/>
          <w:szCs w:val="24"/>
        </w:rPr>
        <w:t>the concept of disability and the universality of legal capacity as articulated by the Convention on the Rights of Persons with Disabilities (CRPD)</w:t>
      </w:r>
      <w:r w:rsidR="00EC0F12">
        <w:rPr>
          <w:rFonts w:cs="Calibri"/>
          <w:sz w:val="24"/>
          <w:szCs w:val="24"/>
        </w:rPr>
        <w:t xml:space="preserve"> to elaborate and support the recommendations made by IHRA.  </w:t>
      </w:r>
    </w:p>
    <w:p w14:paraId="20568288" w14:textId="67EBFA25" w:rsidR="00CF2781" w:rsidRPr="005629B0" w:rsidRDefault="000B3B5F" w:rsidP="00CF2781">
      <w:pPr>
        <w:pStyle w:val="Heading1"/>
        <w:ind w:hanging="720"/>
      </w:pPr>
      <w:bookmarkStart w:id="3" w:name="_Toc526192179"/>
      <w:r>
        <w:t>Human Rights</w:t>
      </w:r>
      <w:r w:rsidR="00DF69A2">
        <w:t xml:space="preserve"> Framework</w:t>
      </w:r>
      <w:bookmarkEnd w:id="3"/>
    </w:p>
    <w:p w14:paraId="2E13DCC5" w14:textId="77777777" w:rsidR="00F5359F" w:rsidRPr="005629B0" w:rsidRDefault="00F5359F" w:rsidP="00F5359F">
      <w:pPr>
        <w:pBdr>
          <w:bottom w:val="single" w:sz="12" w:space="1" w:color="auto"/>
        </w:pBdr>
        <w:rPr>
          <w:sz w:val="16"/>
          <w:szCs w:val="16"/>
        </w:rPr>
      </w:pPr>
    </w:p>
    <w:p w14:paraId="109CFEEE" w14:textId="3DDFF0D5" w:rsidR="001C7971" w:rsidRDefault="001C06A9" w:rsidP="00C27C7B">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567" w:hanging="567"/>
        <w:rPr>
          <w:rFonts w:cs="Calibri"/>
          <w:sz w:val="24"/>
          <w:szCs w:val="24"/>
        </w:rPr>
      </w:pPr>
      <w:r w:rsidRPr="000D432E">
        <w:rPr>
          <w:rFonts w:asciiTheme="minorHAnsi" w:hAnsiTheme="minorHAnsi" w:cs="Calibri"/>
          <w:sz w:val="24"/>
          <w:szCs w:val="24"/>
        </w:rPr>
        <w:t>3.1</w:t>
      </w:r>
      <w:r w:rsidRPr="000D432E">
        <w:rPr>
          <w:rFonts w:asciiTheme="minorHAnsi" w:hAnsiTheme="minorHAnsi" w:cs="Calibri"/>
          <w:sz w:val="24"/>
          <w:szCs w:val="24"/>
        </w:rPr>
        <w:tab/>
      </w:r>
      <w:r w:rsidR="006C47BF">
        <w:rPr>
          <w:rFonts w:cs="Calibri"/>
          <w:sz w:val="24"/>
          <w:szCs w:val="24"/>
        </w:rPr>
        <w:t xml:space="preserve">We note that in Appendix B of the Consultation Paper, there is an overview of some of the key </w:t>
      </w:r>
      <w:r w:rsidR="00C27C7B">
        <w:rPr>
          <w:rFonts w:cs="Calibri"/>
          <w:sz w:val="24"/>
          <w:szCs w:val="24"/>
        </w:rPr>
        <w:t xml:space="preserve">human </w:t>
      </w:r>
      <w:r w:rsidR="0002124C">
        <w:rPr>
          <w:rFonts w:cs="Calibri"/>
          <w:sz w:val="24"/>
          <w:szCs w:val="24"/>
        </w:rPr>
        <w:t xml:space="preserve">rights </w:t>
      </w:r>
      <w:r w:rsidR="00C27C7B">
        <w:rPr>
          <w:rFonts w:cs="Calibri"/>
          <w:sz w:val="24"/>
          <w:szCs w:val="24"/>
        </w:rPr>
        <w:t xml:space="preserve">themes that are </w:t>
      </w:r>
      <w:r w:rsidR="006C47BF">
        <w:rPr>
          <w:rFonts w:cs="Calibri"/>
          <w:sz w:val="24"/>
          <w:szCs w:val="24"/>
        </w:rPr>
        <w:t xml:space="preserve">articulated in the </w:t>
      </w:r>
      <w:r w:rsidR="0002124C">
        <w:rPr>
          <w:rFonts w:cs="Calibri"/>
          <w:sz w:val="24"/>
          <w:szCs w:val="24"/>
        </w:rPr>
        <w:t xml:space="preserve">international </w:t>
      </w:r>
      <w:r w:rsidR="006C47BF">
        <w:rPr>
          <w:rFonts w:cs="Calibri"/>
          <w:sz w:val="24"/>
          <w:szCs w:val="24"/>
        </w:rPr>
        <w:t xml:space="preserve">human rights framework that have particular relevance to </w:t>
      </w:r>
      <w:r w:rsidR="00C27C7B">
        <w:rPr>
          <w:rFonts w:cs="Calibri"/>
          <w:sz w:val="24"/>
          <w:szCs w:val="24"/>
        </w:rPr>
        <w:t xml:space="preserve">the rights of </w:t>
      </w:r>
      <w:r w:rsidR="006C47BF">
        <w:rPr>
          <w:rFonts w:cs="Calibri"/>
          <w:sz w:val="24"/>
          <w:szCs w:val="24"/>
        </w:rPr>
        <w:t>intersex people / people born with variations of sex characteristics. This includes</w:t>
      </w:r>
      <w:r w:rsidR="00C27C7B">
        <w:rPr>
          <w:rFonts w:cs="Calibri"/>
          <w:sz w:val="24"/>
          <w:szCs w:val="24"/>
        </w:rPr>
        <w:t xml:space="preserve"> the themes of bodily autonomy and physical integrity, the rights of children, protection from harmful practices, freedom from torture and cruel, inhuman or degrading treatment, the right to health and informed consent for medical treatment</w:t>
      </w:r>
      <w:r w:rsidR="007563C0">
        <w:rPr>
          <w:rFonts w:cs="Calibri"/>
          <w:sz w:val="24"/>
          <w:szCs w:val="24"/>
        </w:rPr>
        <w:t>,</w:t>
      </w:r>
      <w:r w:rsidR="00C27C7B">
        <w:rPr>
          <w:rFonts w:cs="Calibri"/>
          <w:sz w:val="24"/>
          <w:szCs w:val="24"/>
        </w:rPr>
        <w:t xml:space="preserve"> and non-discrimination.</w:t>
      </w:r>
      <w:r w:rsidR="00C27C7B">
        <w:rPr>
          <w:rStyle w:val="FootnoteReference"/>
          <w:rFonts w:cs="Calibri"/>
          <w:sz w:val="24"/>
          <w:szCs w:val="24"/>
        </w:rPr>
        <w:footnoteReference w:id="3"/>
      </w:r>
      <w:r w:rsidR="00C27C7B">
        <w:rPr>
          <w:rFonts w:cs="Calibri"/>
          <w:sz w:val="24"/>
          <w:szCs w:val="24"/>
        </w:rPr>
        <w:t xml:space="preserve">   The Consultation Paper discusses these themes in the context of:</w:t>
      </w:r>
    </w:p>
    <w:p w14:paraId="447B2813" w14:textId="0318F094" w:rsidR="001C7971" w:rsidRDefault="006C47BF" w:rsidP="007A0DBA">
      <w:pPr>
        <w:pStyle w:val="ListParagraph"/>
        <w:widowControl w:val="0"/>
        <w:numPr>
          <w:ilvl w:val="0"/>
          <w:numId w:val="4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851" w:hanging="284"/>
        <w:contextualSpacing w:val="0"/>
        <w:rPr>
          <w:rFonts w:cs="Calibri"/>
          <w:sz w:val="24"/>
          <w:szCs w:val="24"/>
        </w:rPr>
      </w:pPr>
      <w:r w:rsidRPr="007A0DBA">
        <w:rPr>
          <w:rFonts w:cs="Calibri"/>
          <w:sz w:val="24"/>
          <w:szCs w:val="24"/>
        </w:rPr>
        <w:t>the rights contained in a number</w:t>
      </w:r>
      <w:r w:rsidR="007563C0" w:rsidRPr="007A0DBA">
        <w:rPr>
          <w:rFonts w:cs="Calibri"/>
          <w:sz w:val="24"/>
          <w:szCs w:val="24"/>
        </w:rPr>
        <w:t xml:space="preserve"> of human rights conventions</w:t>
      </w:r>
      <w:r w:rsidRPr="007A0DBA">
        <w:rPr>
          <w:rFonts w:cs="Calibri"/>
          <w:sz w:val="24"/>
          <w:szCs w:val="24"/>
        </w:rPr>
        <w:t xml:space="preserve">, including </w:t>
      </w:r>
      <w:r w:rsidR="001C7971" w:rsidRPr="007A0DBA">
        <w:rPr>
          <w:rFonts w:cs="Calibri"/>
          <w:sz w:val="24"/>
          <w:szCs w:val="24"/>
        </w:rPr>
        <w:t xml:space="preserve">the </w:t>
      </w:r>
      <w:r w:rsidRPr="007A0DBA">
        <w:rPr>
          <w:rFonts w:cs="Calibri"/>
          <w:sz w:val="24"/>
          <w:szCs w:val="24"/>
        </w:rPr>
        <w:t xml:space="preserve">CRPD, </w:t>
      </w:r>
      <w:r w:rsidR="001C7971" w:rsidRPr="007A0DBA">
        <w:rPr>
          <w:rFonts w:cs="Calibri"/>
          <w:sz w:val="24"/>
          <w:szCs w:val="24"/>
        </w:rPr>
        <w:t xml:space="preserve">the </w:t>
      </w:r>
      <w:r w:rsidRPr="007A0DBA">
        <w:rPr>
          <w:rFonts w:cs="Calibri"/>
          <w:sz w:val="24"/>
          <w:szCs w:val="24"/>
        </w:rPr>
        <w:t>I</w:t>
      </w:r>
      <w:r w:rsidR="001C7971" w:rsidRPr="007A0DBA">
        <w:rPr>
          <w:rFonts w:cs="Calibri"/>
          <w:sz w:val="24"/>
          <w:szCs w:val="24"/>
        </w:rPr>
        <w:t>nternational Covenant on Civil and Political Rights (I</w:t>
      </w:r>
      <w:r w:rsidRPr="007A0DBA">
        <w:rPr>
          <w:rFonts w:cs="Calibri"/>
          <w:sz w:val="24"/>
          <w:szCs w:val="24"/>
        </w:rPr>
        <w:t>CCPR</w:t>
      </w:r>
      <w:r w:rsidR="001C7971" w:rsidRPr="007A0DBA">
        <w:rPr>
          <w:rFonts w:cs="Calibri"/>
          <w:sz w:val="24"/>
          <w:szCs w:val="24"/>
        </w:rPr>
        <w:t>)</w:t>
      </w:r>
      <w:r w:rsidRPr="007A0DBA">
        <w:rPr>
          <w:rFonts w:cs="Calibri"/>
          <w:sz w:val="24"/>
          <w:szCs w:val="24"/>
        </w:rPr>
        <w:t xml:space="preserve">, </w:t>
      </w:r>
      <w:r w:rsidR="001C7971" w:rsidRPr="007A0DBA">
        <w:rPr>
          <w:rFonts w:cs="Calibri"/>
          <w:sz w:val="24"/>
          <w:szCs w:val="24"/>
        </w:rPr>
        <w:t xml:space="preserve">the </w:t>
      </w:r>
      <w:r w:rsidRPr="007A0DBA">
        <w:rPr>
          <w:rFonts w:cs="Calibri"/>
          <w:sz w:val="24"/>
          <w:szCs w:val="24"/>
        </w:rPr>
        <w:t>C</w:t>
      </w:r>
      <w:r w:rsidR="001C7971" w:rsidRPr="007A0DBA">
        <w:rPr>
          <w:rFonts w:cs="Calibri"/>
          <w:sz w:val="24"/>
          <w:szCs w:val="24"/>
        </w:rPr>
        <w:t xml:space="preserve">onvention </w:t>
      </w:r>
      <w:r w:rsidRPr="007A0DBA">
        <w:rPr>
          <w:rFonts w:cs="Calibri"/>
          <w:sz w:val="24"/>
          <w:szCs w:val="24"/>
        </w:rPr>
        <w:lastRenderedPageBreak/>
        <w:t>A</w:t>
      </w:r>
      <w:r w:rsidR="001C7971" w:rsidRPr="007A0DBA">
        <w:rPr>
          <w:rFonts w:cs="Calibri"/>
          <w:sz w:val="24"/>
          <w:szCs w:val="24"/>
        </w:rPr>
        <w:t xml:space="preserve">gainst </w:t>
      </w:r>
      <w:r w:rsidRPr="007A0DBA">
        <w:rPr>
          <w:rFonts w:cs="Calibri"/>
          <w:sz w:val="24"/>
          <w:szCs w:val="24"/>
        </w:rPr>
        <w:t>T</w:t>
      </w:r>
      <w:r w:rsidR="001C7971" w:rsidRPr="007A0DBA">
        <w:rPr>
          <w:rFonts w:cs="Calibri"/>
          <w:sz w:val="24"/>
          <w:szCs w:val="24"/>
        </w:rPr>
        <w:t xml:space="preserve">orture and other Cruel, Inhuman or Degrading Treatment or Punishment (CAT) and the </w:t>
      </w:r>
      <w:r w:rsidRPr="007A0DBA">
        <w:rPr>
          <w:rFonts w:cs="Calibri"/>
          <w:sz w:val="24"/>
          <w:szCs w:val="24"/>
        </w:rPr>
        <w:t>C</w:t>
      </w:r>
      <w:r w:rsidR="001C7971" w:rsidRPr="007A0DBA">
        <w:rPr>
          <w:rFonts w:cs="Calibri"/>
          <w:sz w:val="24"/>
          <w:szCs w:val="24"/>
        </w:rPr>
        <w:t xml:space="preserve">onvention on the </w:t>
      </w:r>
      <w:r w:rsidRPr="007A0DBA">
        <w:rPr>
          <w:rFonts w:cs="Calibri"/>
          <w:sz w:val="24"/>
          <w:szCs w:val="24"/>
        </w:rPr>
        <w:t>R</w:t>
      </w:r>
      <w:r w:rsidR="001C7971" w:rsidRPr="007A0DBA">
        <w:rPr>
          <w:rFonts w:cs="Calibri"/>
          <w:sz w:val="24"/>
          <w:szCs w:val="24"/>
        </w:rPr>
        <w:t xml:space="preserve">ights of the </w:t>
      </w:r>
      <w:r w:rsidRPr="007A0DBA">
        <w:rPr>
          <w:rFonts w:cs="Calibri"/>
          <w:sz w:val="24"/>
          <w:szCs w:val="24"/>
        </w:rPr>
        <w:t>C</w:t>
      </w:r>
      <w:r w:rsidR="001C7971" w:rsidRPr="007A0DBA">
        <w:rPr>
          <w:rFonts w:cs="Calibri"/>
          <w:sz w:val="24"/>
          <w:szCs w:val="24"/>
        </w:rPr>
        <w:t>hild (CRC)</w:t>
      </w:r>
      <w:r w:rsidRPr="007A0DBA">
        <w:rPr>
          <w:rFonts w:cs="Calibri"/>
          <w:sz w:val="24"/>
          <w:szCs w:val="24"/>
        </w:rPr>
        <w:t xml:space="preserve">; </w:t>
      </w:r>
    </w:p>
    <w:p w14:paraId="02B15200" w14:textId="5010FC20" w:rsidR="007563C0" w:rsidRDefault="006C47BF" w:rsidP="007A0DBA">
      <w:pPr>
        <w:pStyle w:val="ListParagraph"/>
        <w:widowControl w:val="0"/>
        <w:numPr>
          <w:ilvl w:val="0"/>
          <w:numId w:val="4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851" w:hanging="284"/>
        <w:contextualSpacing w:val="0"/>
        <w:rPr>
          <w:rFonts w:cs="Calibri"/>
          <w:sz w:val="24"/>
          <w:szCs w:val="24"/>
        </w:rPr>
      </w:pPr>
      <w:r w:rsidRPr="007A0DBA">
        <w:rPr>
          <w:rFonts w:cs="Calibri"/>
          <w:sz w:val="24"/>
          <w:szCs w:val="24"/>
        </w:rPr>
        <w:t xml:space="preserve">treaty body </w:t>
      </w:r>
      <w:r w:rsidR="007563C0" w:rsidRPr="007A0DBA">
        <w:rPr>
          <w:rFonts w:cs="Calibri"/>
          <w:sz w:val="24"/>
          <w:szCs w:val="24"/>
        </w:rPr>
        <w:t>concluding observations</w:t>
      </w:r>
      <w:r w:rsidRPr="007A0DBA">
        <w:rPr>
          <w:rFonts w:cs="Calibri"/>
          <w:sz w:val="24"/>
          <w:szCs w:val="24"/>
        </w:rPr>
        <w:t xml:space="preserve"> </w:t>
      </w:r>
      <w:r w:rsidR="007563C0" w:rsidRPr="007A0DBA">
        <w:rPr>
          <w:rFonts w:cs="Calibri"/>
          <w:sz w:val="24"/>
          <w:szCs w:val="24"/>
        </w:rPr>
        <w:t xml:space="preserve">to States Parties, including Australia </w:t>
      </w:r>
      <w:r w:rsidRPr="007A0DBA">
        <w:rPr>
          <w:rFonts w:cs="Calibri"/>
          <w:sz w:val="24"/>
          <w:szCs w:val="24"/>
        </w:rPr>
        <w:t xml:space="preserve">following </w:t>
      </w:r>
      <w:r w:rsidR="007563C0" w:rsidRPr="007A0DBA">
        <w:rPr>
          <w:rFonts w:cs="Calibri"/>
          <w:sz w:val="24"/>
          <w:szCs w:val="24"/>
        </w:rPr>
        <w:t xml:space="preserve">periodic </w:t>
      </w:r>
      <w:r w:rsidRPr="007A0DBA">
        <w:rPr>
          <w:rFonts w:cs="Calibri"/>
          <w:sz w:val="24"/>
          <w:szCs w:val="24"/>
        </w:rPr>
        <w:t>reviews</w:t>
      </w:r>
      <w:r w:rsidR="007563C0" w:rsidRPr="007A0DBA">
        <w:rPr>
          <w:rFonts w:cs="Calibri"/>
          <w:sz w:val="24"/>
          <w:szCs w:val="24"/>
        </w:rPr>
        <w:t xml:space="preserve"> processes;</w:t>
      </w:r>
    </w:p>
    <w:p w14:paraId="616FD0F6" w14:textId="6FE6FDC4" w:rsidR="007563C0" w:rsidRDefault="006C47BF" w:rsidP="007A0DBA">
      <w:pPr>
        <w:pStyle w:val="ListParagraph"/>
        <w:widowControl w:val="0"/>
        <w:numPr>
          <w:ilvl w:val="0"/>
          <w:numId w:val="4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851" w:hanging="284"/>
        <w:contextualSpacing w:val="0"/>
        <w:rPr>
          <w:rFonts w:cs="Calibri"/>
          <w:sz w:val="24"/>
          <w:szCs w:val="24"/>
        </w:rPr>
      </w:pPr>
      <w:r w:rsidRPr="007A0DBA">
        <w:rPr>
          <w:rFonts w:cs="Calibri"/>
          <w:sz w:val="24"/>
          <w:szCs w:val="24"/>
        </w:rPr>
        <w:t>treaty body general comments</w:t>
      </w:r>
      <w:r w:rsidR="007563C0" w:rsidRPr="007A0DBA">
        <w:rPr>
          <w:rFonts w:cs="Calibri"/>
          <w:sz w:val="24"/>
          <w:szCs w:val="24"/>
        </w:rPr>
        <w:t>;</w:t>
      </w:r>
    </w:p>
    <w:p w14:paraId="5765F40A" w14:textId="0C7B9FE9" w:rsidR="007563C0" w:rsidRDefault="007563C0" w:rsidP="007A0DBA">
      <w:pPr>
        <w:pStyle w:val="ListParagraph"/>
        <w:widowControl w:val="0"/>
        <w:numPr>
          <w:ilvl w:val="0"/>
          <w:numId w:val="4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851" w:hanging="284"/>
        <w:contextualSpacing w:val="0"/>
        <w:rPr>
          <w:rFonts w:cs="Calibri"/>
          <w:sz w:val="24"/>
          <w:szCs w:val="24"/>
        </w:rPr>
      </w:pPr>
      <w:r w:rsidRPr="007A0DBA">
        <w:rPr>
          <w:rFonts w:cs="Calibri"/>
          <w:sz w:val="24"/>
          <w:szCs w:val="24"/>
        </w:rPr>
        <w:t xml:space="preserve">the </w:t>
      </w:r>
      <w:r w:rsidR="00E443B3" w:rsidRPr="007A0DBA">
        <w:rPr>
          <w:rFonts w:cs="Calibri"/>
          <w:sz w:val="24"/>
          <w:szCs w:val="24"/>
        </w:rPr>
        <w:t>l</w:t>
      </w:r>
      <w:r w:rsidRPr="007A0DBA">
        <w:rPr>
          <w:rFonts w:cs="Calibri"/>
          <w:sz w:val="24"/>
          <w:szCs w:val="24"/>
        </w:rPr>
        <w:t xml:space="preserve">ist of </w:t>
      </w:r>
      <w:r w:rsidR="00E443B3" w:rsidRPr="007A0DBA">
        <w:rPr>
          <w:rFonts w:cs="Calibri"/>
          <w:sz w:val="24"/>
          <w:szCs w:val="24"/>
        </w:rPr>
        <w:t>i</w:t>
      </w:r>
      <w:r w:rsidRPr="007A0DBA">
        <w:rPr>
          <w:rFonts w:cs="Calibri"/>
          <w:sz w:val="24"/>
          <w:szCs w:val="24"/>
        </w:rPr>
        <w:t>ssues provided to States Parties, including Australia by treaty bodies, and that seeks information on specific issues to be included in periodic reports;</w:t>
      </w:r>
      <w:r w:rsidR="006C47BF" w:rsidRPr="007A0DBA">
        <w:rPr>
          <w:rFonts w:cs="Calibri"/>
          <w:sz w:val="24"/>
          <w:szCs w:val="24"/>
        </w:rPr>
        <w:t xml:space="preserve"> </w:t>
      </w:r>
    </w:p>
    <w:p w14:paraId="680BE5C0" w14:textId="074A40C4" w:rsidR="007563C0" w:rsidRDefault="007563C0" w:rsidP="007A0DBA">
      <w:pPr>
        <w:pStyle w:val="ListParagraph"/>
        <w:widowControl w:val="0"/>
        <w:numPr>
          <w:ilvl w:val="0"/>
          <w:numId w:val="4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851" w:hanging="284"/>
        <w:contextualSpacing w:val="0"/>
        <w:rPr>
          <w:rFonts w:cs="Calibri"/>
          <w:sz w:val="24"/>
          <w:szCs w:val="24"/>
        </w:rPr>
      </w:pPr>
      <w:r w:rsidRPr="007A0DBA">
        <w:rPr>
          <w:rFonts w:cs="Calibri"/>
          <w:sz w:val="24"/>
          <w:szCs w:val="24"/>
        </w:rPr>
        <w:t>recommendations made by the UN Special Rapporteur on Torture and Other Cruel, Inhuman or Degrading Treatment or Punishment;</w:t>
      </w:r>
    </w:p>
    <w:p w14:paraId="1B78F825" w14:textId="2B9FCF98" w:rsidR="007563C0" w:rsidRDefault="006C47BF" w:rsidP="007A0DBA">
      <w:pPr>
        <w:pStyle w:val="ListParagraph"/>
        <w:widowControl w:val="0"/>
        <w:numPr>
          <w:ilvl w:val="0"/>
          <w:numId w:val="4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851" w:hanging="284"/>
        <w:contextualSpacing w:val="0"/>
        <w:rPr>
          <w:rFonts w:cs="Calibri"/>
          <w:sz w:val="24"/>
          <w:szCs w:val="24"/>
        </w:rPr>
      </w:pPr>
      <w:r w:rsidRPr="007A0DBA">
        <w:rPr>
          <w:rFonts w:cs="Calibri"/>
          <w:sz w:val="24"/>
          <w:szCs w:val="24"/>
        </w:rPr>
        <w:t xml:space="preserve">statements </w:t>
      </w:r>
      <w:r w:rsidR="007563C0" w:rsidRPr="007A0DBA">
        <w:rPr>
          <w:rFonts w:cs="Calibri"/>
          <w:sz w:val="24"/>
          <w:szCs w:val="24"/>
        </w:rPr>
        <w:t xml:space="preserve">and reports issued </w:t>
      </w:r>
      <w:r w:rsidRPr="007A0DBA">
        <w:rPr>
          <w:rFonts w:cs="Calibri"/>
          <w:sz w:val="24"/>
          <w:szCs w:val="24"/>
        </w:rPr>
        <w:t xml:space="preserve">by UN </w:t>
      </w:r>
      <w:r w:rsidR="007563C0" w:rsidRPr="007A0DBA">
        <w:rPr>
          <w:rFonts w:cs="Calibri"/>
          <w:sz w:val="24"/>
          <w:szCs w:val="24"/>
        </w:rPr>
        <w:t>agencies and international human rights experts;</w:t>
      </w:r>
    </w:p>
    <w:p w14:paraId="44B3CFB0" w14:textId="6DC56EF1" w:rsidR="006C47BF" w:rsidRPr="007A0DBA" w:rsidRDefault="006C47BF" w:rsidP="007A0DBA">
      <w:pPr>
        <w:pStyle w:val="ListParagraph"/>
        <w:widowControl w:val="0"/>
        <w:numPr>
          <w:ilvl w:val="0"/>
          <w:numId w:val="4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51" w:hanging="284"/>
        <w:contextualSpacing w:val="0"/>
        <w:rPr>
          <w:rFonts w:cs="Calibri"/>
          <w:sz w:val="24"/>
          <w:szCs w:val="24"/>
        </w:rPr>
      </w:pPr>
      <w:proofErr w:type="gramStart"/>
      <w:r w:rsidRPr="007A0DBA">
        <w:rPr>
          <w:rFonts w:cs="Calibri"/>
          <w:sz w:val="24"/>
          <w:szCs w:val="24"/>
        </w:rPr>
        <w:t>the</w:t>
      </w:r>
      <w:proofErr w:type="gramEnd"/>
      <w:r w:rsidRPr="007A0DBA">
        <w:rPr>
          <w:rFonts w:cs="Calibri"/>
          <w:sz w:val="24"/>
          <w:szCs w:val="24"/>
        </w:rPr>
        <w:t xml:space="preserve"> </w:t>
      </w:r>
      <w:r w:rsidR="007563C0" w:rsidRPr="007A0DBA">
        <w:rPr>
          <w:rFonts w:cs="Calibri"/>
          <w:sz w:val="24"/>
          <w:szCs w:val="24"/>
        </w:rPr>
        <w:t xml:space="preserve">application of international human rights law </w:t>
      </w:r>
      <w:r w:rsidR="00776541" w:rsidRPr="007A0DBA">
        <w:rPr>
          <w:rFonts w:cs="Calibri"/>
          <w:sz w:val="24"/>
          <w:szCs w:val="24"/>
        </w:rPr>
        <w:t xml:space="preserve">to intersex people / people born with variations in sex characteristics </w:t>
      </w:r>
      <w:r w:rsidR="007563C0" w:rsidRPr="007A0DBA">
        <w:rPr>
          <w:rFonts w:cs="Calibri"/>
          <w:sz w:val="24"/>
          <w:szCs w:val="24"/>
        </w:rPr>
        <w:t xml:space="preserve">set out in the </w:t>
      </w:r>
      <w:r w:rsidRPr="007A0DBA">
        <w:rPr>
          <w:rFonts w:cs="Calibri"/>
          <w:sz w:val="24"/>
          <w:szCs w:val="24"/>
        </w:rPr>
        <w:t>Yogyakarta Principles, particularly the updated Yogyakarta Principles plus 10.</w:t>
      </w:r>
      <w:r w:rsidR="007563C0">
        <w:rPr>
          <w:rStyle w:val="FootnoteReference"/>
          <w:rFonts w:cs="Calibri"/>
          <w:sz w:val="24"/>
          <w:szCs w:val="24"/>
        </w:rPr>
        <w:footnoteReference w:id="4"/>
      </w:r>
      <w:r w:rsidRPr="007A0DBA">
        <w:rPr>
          <w:rFonts w:cs="Calibri"/>
          <w:sz w:val="24"/>
          <w:szCs w:val="24"/>
        </w:rPr>
        <w:t xml:space="preserve">   </w:t>
      </w:r>
    </w:p>
    <w:p w14:paraId="540F919D" w14:textId="65E9C535" w:rsidR="00D63B67" w:rsidRDefault="00DF69A2" w:rsidP="00B667F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567" w:hanging="567"/>
        <w:rPr>
          <w:rFonts w:cs="Calibri"/>
          <w:sz w:val="24"/>
          <w:szCs w:val="24"/>
        </w:rPr>
      </w:pPr>
      <w:r>
        <w:rPr>
          <w:rFonts w:cs="Calibri"/>
          <w:sz w:val="24"/>
          <w:szCs w:val="24"/>
        </w:rPr>
        <w:t>3.2</w:t>
      </w:r>
      <w:r>
        <w:rPr>
          <w:rFonts w:cs="Calibri"/>
          <w:sz w:val="24"/>
          <w:szCs w:val="24"/>
        </w:rPr>
        <w:tab/>
      </w:r>
      <w:r w:rsidR="006C47BF">
        <w:rPr>
          <w:rFonts w:cs="Calibri"/>
          <w:sz w:val="24"/>
          <w:szCs w:val="24"/>
        </w:rPr>
        <w:t xml:space="preserve">We acknowledge the </w:t>
      </w:r>
      <w:r w:rsidR="002916B9">
        <w:rPr>
          <w:rFonts w:cs="Calibri"/>
          <w:sz w:val="24"/>
          <w:szCs w:val="24"/>
        </w:rPr>
        <w:t xml:space="preserve">comprehensive </w:t>
      </w:r>
      <w:r w:rsidR="006C47BF">
        <w:rPr>
          <w:rFonts w:cs="Calibri"/>
          <w:sz w:val="24"/>
          <w:szCs w:val="24"/>
        </w:rPr>
        <w:t>discussion o</w:t>
      </w:r>
      <w:r w:rsidR="00D63B67">
        <w:rPr>
          <w:rFonts w:cs="Calibri"/>
          <w:sz w:val="24"/>
          <w:szCs w:val="24"/>
        </w:rPr>
        <w:t>f</w:t>
      </w:r>
      <w:r w:rsidR="006C47BF">
        <w:rPr>
          <w:rFonts w:cs="Calibri"/>
          <w:sz w:val="24"/>
          <w:szCs w:val="24"/>
        </w:rPr>
        <w:t xml:space="preserve"> </w:t>
      </w:r>
      <w:r w:rsidR="002916B9">
        <w:rPr>
          <w:rFonts w:cs="Calibri"/>
          <w:sz w:val="24"/>
          <w:szCs w:val="24"/>
        </w:rPr>
        <w:t xml:space="preserve">the </w:t>
      </w:r>
      <w:r w:rsidR="006C47BF">
        <w:rPr>
          <w:rFonts w:cs="Calibri"/>
          <w:sz w:val="24"/>
          <w:szCs w:val="24"/>
        </w:rPr>
        <w:t xml:space="preserve">human rights </w:t>
      </w:r>
      <w:r w:rsidR="002916B9">
        <w:rPr>
          <w:rFonts w:cs="Calibri"/>
          <w:sz w:val="24"/>
          <w:szCs w:val="24"/>
        </w:rPr>
        <w:t xml:space="preserve">framework </w:t>
      </w:r>
      <w:r w:rsidR="00D63B67">
        <w:rPr>
          <w:rFonts w:cs="Calibri"/>
          <w:sz w:val="24"/>
          <w:szCs w:val="24"/>
        </w:rPr>
        <w:t xml:space="preserve">and its application to intersex people / people born with variations of sex characteristics </w:t>
      </w:r>
      <w:r w:rsidR="006C47BF">
        <w:rPr>
          <w:rFonts w:cs="Calibri"/>
          <w:sz w:val="24"/>
          <w:szCs w:val="24"/>
        </w:rPr>
        <w:t>outlined in section 4 of the IHRA submission.</w:t>
      </w:r>
      <w:r w:rsidR="006E5581">
        <w:rPr>
          <w:rStyle w:val="FootnoteReference"/>
          <w:rFonts w:cs="Calibri"/>
          <w:sz w:val="24"/>
          <w:szCs w:val="24"/>
        </w:rPr>
        <w:footnoteReference w:id="5"/>
      </w:r>
      <w:r w:rsidR="00B71E66">
        <w:rPr>
          <w:rFonts w:cs="Calibri"/>
          <w:sz w:val="24"/>
          <w:szCs w:val="24"/>
        </w:rPr>
        <w:t xml:space="preserve">  </w:t>
      </w:r>
      <w:r w:rsidR="008730FA">
        <w:rPr>
          <w:rFonts w:cs="Calibri"/>
          <w:sz w:val="24"/>
          <w:szCs w:val="24"/>
        </w:rPr>
        <w:t xml:space="preserve">In this section </w:t>
      </w:r>
      <w:r w:rsidR="00D63B67">
        <w:rPr>
          <w:rFonts w:cs="Calibri"/>
          <w:sz w:val="24"/>
          <w:szCs w:val="24"/>
        </w:rPr>
        <w:t>IHRA provide specific details of:</w:t>
      </w:r>
    </w:p>
    <w:p w14:paraId="5E53010A" w14:textId="520F401E" w:rsidR="00B667F9" w:rsidRPr="007A0DBA" w:rsidRDefault="00D63B67" w:rsidP="007A0DBA">
      <w:pPr>
        <w:pStyle w:val="ListParagraph"/>
        <w:widowControl w:val="0"/>
        <w:numPr>
          <w:ilvl w:val="0"/>
          <w:numId w:val="43"/>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851" w:hanging="284"/>
        <w:contextualSpacing w:val="0"/>
        <w:rPr>
          <w:rFonts w:cs="Calibri"/>
          <w:sz w:val="24"/>
          <w:szCs w:val="24"/>
        </w:rPr>
      </w:pPr>
      <w:r w:rsidRPr="007A0DBA">
        <w:rPr>
          <w:rFonts w:cs="Calibri"/>
          <w:sz w:val="24"/>
          <w:szCs w:val="24"/>
        </w:rPr>
        <w:t xml:space="preserve">the most recent concluding observations </w:t>
      </w:r>
      <w:r w:rsidR="00E443B3" w:rsidRPr="007A0DBA">
        <w:rPr>
          <w:rFonts w:cs="Calibri"/>
          <w:sz w:val="24"/>
          <w:szCs w:val="24"/>
        </w:rPr>
        <w:t xml:space="preserve">that address concerns of human rights violations against intersex infants and children </w:t>
      </w:r>
      <w:r w:rsidRPr="007A0DBA">
        <w:rPr>
          <w:rFonts w:cs="Calibri"/>
          <w:sz w:val="24"/>
          <w:szCs w:val="24"/>
        </w:rPr>
        <w:t xml:space="preserve">following periodic reviews </w:t>
      </w:r>
      <w:r w:rsidR="00B71E66" w:rsidRPr="007A0DBA">
        <w:rPr>
          <w:rFonts w:cs="Calibri"/>
          <w:sz w:val="24"/>
          <w:szCs w:val="24"/>
        </w:rPr>
        <w:t xml:space="preserve">of Australia </w:t>
      </w:r>
      <w:r w:rsidRPr="007A0DBA">
        <w:rPr>
          <w:rFonts w:cs="Calibri"/>
          <w:sz w:val="24"/>
          <w:szCs w:val="24"/>
        </w:rPr>
        <w:t>by the UN Human Rights Committee</w:t>
      </w:r>
      <w:r w:rsidR="00B71E66" w:rsidRPr="007A0DBA">
        <w:rPr>
          <w:rFonts w:cs="Calibri"/>
          <w:sz w:val="24"/>
          <w:szCs w:val="24"/>
        </w:rPr>
        <w:t xml:space="preserve"> (2017), </w:t>
      </w:r>
      <w:r w:rsidRPr="007A0DBA">
        <w:rPr>
          <w:rFonts w:cs="Calibri"/>
          <w:sz w:val="24"/>
          <w:szCs w:val="24"/>
        </w:rPr>
        <w:t>the Committee on Economic, Social, and Cultural Rights</w:t>
      </w:r>
      <w:r w:rsidR="00B71E66" w:rsidRPr="007A0DBA">
        <w:rPr>
          <w:rFonts w:cs="Calibri"/>
          <w:sz w:val="24"/>
          <w:szCs w:val="24"/>
        </w:rPr>
        <w:t xml:space="preserve"> (2017) and the Committee on the Elimination of Discrimination against Women (2018)</w:t>
      </w:r>
      <w:r w:rsidRPr="007A0DBA">
        <w:rPr>
          <w:rFonts w:cs="Calibri"/>
          <w:sz w:val="24"/>
          <w:szCs w:val="24"/>
        </w:rPr>
        <w:t>;</w:t>
      </w:r>
    </w:p>
    <w:p w14:paraId="00EF556F" w14:textId="2B6BFE7A" w:rsidR="00B71E66" w:rsidRPr="007A0DBA" w:rsidRDefault="00E443B3" w:rsidP="007A0DBA">
      <w:pPr>
        <w:pStyle w:val="ListParagraph"/>
        <w:widowControl w:val="0"/>
        <w:numPr>
          <w:ilvl w:val="0"/>
          <w:numId w:val="43"/>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851" w:hanging="284"/>
        <w:contextualSpacing w:val="0"/>
        <w:rPr>
          <w:rFonts w:cs="Calibri"/>
          <w:sz w:val="24"/>
          <w:szCs w:val="24"/>
        </w:rPr>
      </w:pPr>
      <w:r w:rsidRPr="007A0DBA">
        <w:rPr>
          <w:rFonts w:cs="Calibri"/>
          <w:sz w:val="24"/>
          <w:szCs w:val="24"/>
        </w:rPr>
        <w:t xml:space="preserve">the list of issues provided to Australia </w:t>
      </w:r>
      <w:r w:rsidR="00B71E66" w:rsidRPr="007A0DBA">
        <w:rPr>
          <w:rFonts w:cs="Calibri"/>
          <w:sz w:val="24"/>
          <w:szCs w:val="24"/>
        </w:rPr>
        <w:t xml:space="preserve">by the UN Committee Against Torture (2016) and the Committee on the Rights of Persons with Disabilities (2017) </w:t>
      </w:r>
      <w:r w:rsidRPr="007A0DBA">
        <w:rPr>
          <w:rFonts w:cs="Calibri"/>
          <w:sz w:val="24"/>
          <w:szCs w:val="24"/>
        </w:rPr>
        <w:t xml:space="preserve">seeking specific information on </w:t>
      </w:r>
      <w:r w:rsidR="00B71E66" w:rsidRPr="007A0DBA">
        <w:rPr>
          <w:rFonts w:cs="Calibri"/>
          <w:sz w:val="24"/>
          <w:szCs w:val="24"/>
        </w:rPr>
        <w:t>progress in prohibiting</w:t>
      </w:r>
      <w:r w:rsidRPr="007A0DBA">
        <w:rPr>
          <w:rFonts w:cs="Calibri"/>
          <w:sz w:val="24"/>
          <w:szCs w:val="24"/>
        </w:rPr>
        <w:t xml:space="preserve"> </w:t>
      </w:r>
      <w:r w:rsidR="00B71E66" w:rsidRPr="007A0DBA">
        <w:rPr>
          <w:rFonts w:cs="Calibri"/>
          <w:sz w:val="24"/>
          <w:szCs w:val="24"/>
        </w:rPr>
        <w:t>forced sterilisation and forced unnecessary medical interventions;</w:t>
      </w:r>
    </w:p>
    <w:p w14:paraId="5FC0177E" w14:textId="30B8DF49" w:rsidR="00B71E66" w:rsidRPr="007A0DBA" w:rsidRDefault="00B71E66" w:rsidP="007A0DBA">
      <w:pPr>
        <w:pStyle w:val="ListParagraph"/>
        <w:widowControl w:val="0"/>
        <w:numPr>
          <w:ilvl w:val="0"/>
          <w:numId w:val="43"/>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851" w:hanging="284"/>
        <w:contextualSpacing w:val="0"/>
        <w:rPr>
          <w:rFonts w:cs="Calibri"/>
          <w:sz w:val="24"/>
          <w:szCs w:val="24"/>
        </w:rPr>
      </w:pPr>
      <w:r w:rsidRPr="007A0DBA">
        <w:rPr>
          <w:rFonts w:cs="Calibri"/>
          <w:sz w:val="24"/>
          <w:szCs w:val="24"/>
        </w:rPr>
        <w:t xml:space="preserve">the views of the UN Special Rapporteur on torture and other cruel, inhuman or degrading treatment or punishment on forced sterilisation and forced genital-normalising surgeries and medical interventions, and </w:t>
      </w:r>
      <w:r w:rsidR="008730FA" w:rsidRPr="007A0DBA">
        <w:rPr>
          <w:rFonts w:cs="Calibri"/>
          <w:sz w:val="24"/>
          <w:szCs w:val="24"/>
        </w:rPr>
        <w:t xml:space="preserve">subsequent </w:t>
      </w:r>
      <w:r w:rsidRPr="007A0DBA">
        <w:rPr>
          <w:rFonts w:cs="Calibri"/>
          <w:sz w:val="24"/>
          <w:szCs w:val="24"/>
        </w:rPr>
        <w:t>calls for prohibition of such practices and establishment of specific human rights protections;</w:t>
      </w:r>
    </w:p>
    <w:p w14:paraId="06862C2F" w14:textId="25C9BEC9" w:rsidR="00140B3B" w:rsidRDefault="00CC3DB6" w:rsidP="007A0DBA">
      <w:pPr>
        <w:pStyle w:val="ListParagraph"/>
        <w:widowControl w:val="0"/>
        <w:numPr>
          <w:ilvl w:val="0"/>
          <w:numId w:val="43"/>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851" w:hanging="284"/>
        <w:rPr>
          <w:rFonts w:cs="Calibri"/>
          <w:sz w:val="24"/>
          <w:szCs w:val="24"/>
        </w:rPr>
      </w:pPr>
      <w:r w:rsidRPr="007A0DBA">
        <w:rPr>
          <w:rFonts w:cs="Calibri"/>
          <w:sz w:val="24"/>
          <w:szCs w:val="24"/>
        </w:rPr>
        <w:t xml:space="preserve">the </w:t>
      </w:r>
      <w:r w:rsidR="00140B3B" w:rsidRPr="007A0DBA">
        <w:rPr>
          <w:rFonts w:cs="Calibri"/>
          <w:sz w:val="24"/>
          <w:szCs w:val="24"/>
        </w:rPr>
        <w:t>interpretation of child rights highlighted</w:t>
      </w:r>
      <w:r w:rsidRPr="007A0DBA">
        <w:rPr>
          <w:rFonts w:cs="Calibri"/>
          <w:sz w:val="24"/>
          <w:szCs w:val="24"/>
        </w:rPr>
        <w:t xml:space="preserve"> by the Committee on the Rights of the Child</w:t>
      </w:r>
      <w:r w:rsidR="00140B3B" w:rsidRPr="007A0DBA">
        <w:rPr>
          <w:rFonts w:cs="Calibri"/>
          <w:sz w:val="24"/>
          <w:szCs w:val="24"/>
        </w:rPr>
        <w:t>, including in relation to the guiding principles of CRC, the general comment on harmful practices and statements regarding the prevention of manipulation of the ‘best interests’ principle;</w:t>
      </w:r>
    </w:p>
    <w:p w14:paraId="0FE8E2EE" w14:textId="6E36107F" w:rsidR="00B71E66" w:rsidRDefault="00140B3B" w:rsidP="007A0DBA">
      <w:pPr>
        <w:pStyle w:val="ListParagraph"/>
        <w:widowControl w:val="0"/>
        <w:numPr>
          <w:ilvl w:val="0"/>
          <w:numId w:val="43"/>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851" w:hanging="284"/>
        <w:contextualSpacing w:val="0"/>
        <w:rPr>
          <w:rFonts w:cs="Calibri"/>
          <w:sz w:val="24"/>
          <w:szCs w:val="24"/>
        </w:rPr>
      </w:pPr>
      <w:r w:rsidRPr="007A0DBA">
        <w:rPr>
          <w:rFonts w:cs="Calibri"/>
          <w:sz w:val="24"/>
          <w:szCs w:val="24"/>
        </w:rPr>
        <w:lastRenderedPageBreak/>
        <w:t>the views provided by the Committee on the Rights of Persons with Disabilities in its General Comments regarding the link between denial of legal capacity and violations of other human rights, such as the right to consent to medical interventions; this leads to forms of violence and ill-treatment including forced sterilisation and forced invasive and irreversible medical practices</w:t>
      </w:r>
      <w:r w:rsidR="004118AB" w:rsidRPr="007A0DBA">
        <w:rPr>
          <w:rFonts w:cs="Calibri"/>
          <w:sz w:val="24"/>
          <w:szCs w:val="24"/>
        </w:rPr>
        <w:t xml:space="preserve"> performed on intersex people</w:t>
      </w:r>
      <w:r w:rsidRPr="007A0DBA">
        <w:rPr>
          <w:rFonts w:cs="Calibri"/>
          <w:sz w:val="24"/>
          <w:szCs w:val="24"/>
        </w:rPr>
        <w:t xml:space="preserve">; </w:t>
      </w:r>
    </w:p>
    <w:p w14:paraId="3112615F" w14:textId="1D710305" w:rsidR="008730FA" w:rsidRDefault="008730FA" w:rsidP="007A0DBA">
      <w:pPr>
        <w:pStyle w:val="ListParagraph"/>
        <w:widowControl w:val="0"/>
        <w:numPr>
          <w:ilvl w:val="0"/>
          <w:numId w:val="43"/>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851" w:hanging="284"/>
        <w:contextualSpacing w:val="0"/>
        <w:rPr>
          <w:rFonts w:cs="Calibri"/>
          <w:sz w:val="24"/>
          <w:szCs w:val="24"/>
        </w:rPr>
      </w:pPr>
      <w:r w:rsidRPr="007A0DBA">
        <w:rPr>
          <w:rFonts w:cs="Calibri"/>
          <w:sz w:val="24"/>
          <w:szCs w:val="24"/>
        </w:rPr>
        <w:t xml:space="preserve">discussion of the application of rights contained in the </w:t>
      </w:r>
      <w:r w:rsidR="006C47BF" w:rsidRPr="007A0DBA">
        <w:rPr>
          <w:rFonts w:cs="Calibri"/>
          <w:sz w:val="24"/>
          <w:szCs w:val="24"/>
        </w:rPr>
        <w:t>Yogyakarta Principles plus 10</w:t>
      </w:r>
      <w:r w:rsidRPr="007A0DBA">
        <w:rPr>
          <w:rFonts w:cs="Calibri"/>
          <w:sz w:val="24"/>
          <w:szCs w:val="24"/>
        </w:rPr>
        <w:t>, with specific discussion of the right to bodily and mental integrity and the right to truth;</w:t>
      </w:r>
    </w:p>
    <w:p w14:paraId="6185967D" w14:textId="77777777" w:rsidR="007A0DBA" w:rsidRDefault="008730FA" w:rsidP="007A0DBA">
      <w:pPr>
        <w:pStyle w:val="ListParagraph"/>
        <w:widowControl w:val="0"/>
        <w:numPr>
          <w:ilvl w:val="0"/>
          <w:numId w:val="43"/>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851" w:hanging="284"/>
        <w:contextualSpacing w:val="0"/>
        <w:rPr>
          <w:rFonts w:cs="Calibri"/>
          <w:sz w:val="24"/>
          <w:szCs w:val="24"/>
        </w:rPr>
      </w:pPr>
      <w:r w:rsidRPr="007A0DBA">
        <w:rPr>
          <w:rFonts w:cs="Calibri"/>
          <w:sz w:val="24"/>
          <w:szCs w:val="24"/>
        </w:rPr>
        <w:t xml:space="preserve">an overview of the </w:t>
      </w:r>
      <w:r w:rsidR="006C47BF" w:rsidRPr="007A0DBA">
        <w:rPr>
          <w:rFonts w:cs="Calibri"/>
          <w:sz w:val="24"/>
          <w:szCs w:val="24"/>
        </w:rPr>
        <w:t xml:space="preserve">key recommendations from the Senate Community Affairs References Committee inquiry into the involuntary and coerced sterilisation of intersex people, </w:t>
      </w:r>
      <w:r w:rsidR="00140B3B" w:rsidRPr="007A0DBA">
        <w:rPr>
          <w:rFonts w:cs="Calibri"/>
          <w:sz w:val="24"/>
          <w:szCs w:val="24"/>
        </w:rPr>
        <w:t>none of which have been implemented</w:t>
      </w:r>
      <w:r w:rsidRPr="007A0DBA">
        <w:rPr>
          <w:rFonts w:cs="Calibri"/>
          <w:sz w:val="24"/>
          <w:szCs w:val="24"/>
        </w:rPr>
        <w:t xml:space="preserve"> by Australian governments;</w:t>
      </w:r>
    </w:p>
    <w:p w14:paraId="409AD9CC" w14:textId="5CEB1FB0" w:rsidR="00D71B5F" w:rsidRPr="007A0DBA" w:rsidRDefault="008730FA" w:rsidP="007A0DBA">
      <w:pPr>
        <w:pStyle w:val="ListParagraph"/>
        <w:widowControl w:val="0"/>
        <w:numPr>
          <w:ilvl w:val="0"/>
          <w:numId w:val="43"/>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851" w:hanging="284"/>
        <w:contextualSpacing w:val="0"/>
        <w:rPr>
          <w:rFonts w:cs="Calibri"/>
          <w:sz w:val="24"/>
          <w:szCs w:val="24"/>
        </w:rPr>
      </w:pPr>
      <w:r w:rsidRPr="007A0DBA">
        <w:rPr>
          <w:rFonts w:cs="Calibri"/>
          <w:sz w:val="24"/>
          <w:szCs w:val="24"/>
        </w:rPr>
        <w:t xml:space="preserve">a discussion of the </w:t>
      </w:r>
      <w:r w:rsidR="006C47BF" w:rsidRPr="007A0DBA">
        <w:rPr>
          <w:rFonts w:cs="Calibri"/>
          <w:sz w:val="24"/>
          <w:szCs w:val="24"/>
        </w:rPr>
        <w:t xml:space="preserve">community consensus statement, </w:t>
      </w:r>
      <w:r w:rsidR="006C47BF" w:rsidRPr="007A0DBA">
        <w:rPr>
          <w:rFonts w:cs="Calibri"/>
          <w:i/>
          <w:sz w:val="24"/>
          <w:szCs w:val="24"/>
        </w:rPr>
        <w:t>The Darlington Statement</w:t>
      </w:r>
      <w:r w:rsidR="006C47BF" w:rsidRPr="007A0DBA">
        <w:rPr>
          <w:rFonts w:cs="Calibri"/>
          <w:sz w:val="24"/>
          <w:szCs w:val="24"/>
        </w:rPr>
        <w:t xml:space="preserve"> </w:t>
      </w:r>
      <w:r w:rsidRPr="007A0DBA">
        <w:rPr>
          <w:rFonts w:cs="Calibri"/>
          <w:sz w:val="24"/>
          <w:szCs w:val="24"/>
        </w:rPr>
        <w:t xml:space="preserve">which has been </w:t>
      </w:r>
      <w:r w:rsidR="006C47BF" w:rsidRPr="007A0DBA">
        <w:rPr>
          <w:rFonts w:cs="Calibri"/>
          <w:sz w:val="24"/>
          <w:szCs w:val="24"/>
        </w:rPr>
        <w:t>agreed by Australian and Aotearoa / New Zealand intersex organisations and advocates</w:t>
      </w:r>
      <w:r w:rsidRPr="007A0DBA">
        <w:rPr>
          <w:rFonts w:cs="Calibri"/>
          <w:sz w:val="24"/>
          <w:szCs w:val="24"/>
        </w:rPr>
        <w:t xml:space="preserve">, and which articulates the self-determined human rights concerns of the intersex community.  </w:t>
      </w:r>
    </w:p>
    <w:p w14:paraId="1B232596" w14:textId="742157FB" w:rsidR="000B3B5F" w:rsidRDefault="00DF69A2" w:rsidP="00DF69A2">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cs="Calibri"/>
          <w:sz w:val="24"/>
          <w:szCs w:val="24"/>
        </w:rPr>
      </w:pPr>
      <w:r>
        <w:rPr>
          <w:rFonts w:cs="Calibri"/>
          <w:sz w:val="24"/>
          <w:szCs w:val="24"/>
        </w:rPr>
        <w:t>3.4</w:t>
      </w:r>
      <w:r>
        <w:rPr>
          <w:rFonts w:cs="Calibri"/>
          <w:sz w:val="24"/>
          <w:szCs w:val="24"/>
        </w:rPr>
        <w:tab/>
      </w:r>
      <w:r w:rsidR="000B3B5F">
        <w:rPr>
          <w:rFonts w:cs="Calibri"/>
          <w:sz w:val="24"/>
          <w:szCs w:val="24"/>
        </w:rPr>
        <w:t xml:space="preserve">For several years, DPO Australia </w:t>
      </w:r>
      <w:r w:rsidR="00FD6455">
        <w:rPr>
          <w:rFonts w:cs="Calibri"/>
          <w:sz w:val="24"/>
          <w:szCs w:val="24"/>
        </w:rPr>
        <w:t>and its’ member organisations</w:t>
      </w:r>
      <w:r w:rsidR="0052619C">
        <w:rPr>
          <w:rFonts w:cs="Calibri"/>
          <w:sz w:val="24"/>
          <w:szCs w:val="24"/>
        </w:rPr>
        <w:t xml:space="preserve"> </w:t>
      </w:r>
      <w:r w:rsidR="00FD6455">
        <w:rPr>
          <w:rFonts w:cs="Calibri"/>
          <w:sz w:val="24"/>
          <w:szCs w:val="24"/>
        </w:rPr>
        <w:t>have</w:t>
      </w:r>
      <w:r w:rsidR="000B3B5F">
        <w:rPr>
          <w:rFonts w:cs="Calibri"/>
          <w:sz w:val="24"/>
          <w:szCs w:val="24"/>
        </w:rPr>
        <w:t xml:space="preserve"> been using the international human rights framework to raise human rights concerns about forced sterilisation and forced medical interventions perpetrated against people with disability and intersex people / people born with variations of sex characteristics, and to call for legal prohibition of these practices. We have raised these concerns at both the domestic level</w:t>
      </w:r>
      <w:r w:rsidR="0052619C">
        <w:rPr>
          <w:rStyle w:val="FootnoteReference"/>
          <w:rFonts w:cs="Calibri"/>
          <w:sz w:val="24"/>
          <w:szCs w:val="24"/>
        </w:rPr>
        <w:footnoteReference w:id="6"/>
      </w:r>
      <w:r w:rsidR="0052619C">
        <w:rPr>
          <w:rFonts w:cs="Calibri"/>
          <w:sz w:val="24"/>
          <w:szCs w:val="24"/>
        </w:rPr>
        <w:t xml:space="preserve"> </w:t>
      </w:r>
      <w:r w:rsidR="000B3B5F">
        <w:rPr>
          <w:rFonts w:cs="Calibri"/>
          <w:sz w:val="24"/>
          <w:szCs w:val="24"/>
        </w:rPr>
        <w:t>and internationally through a broad rang</w:t>
      </w:r>
      <w:r w:rsidR="0052619C">
        <w:rPr>
          <w:rFonts w:cs="Calibri"/>
          <w:sz w:val="24"/>
          <w:szCs w:val="24"/>
        </w:rPr>
        <w:t>e of UN human rights mechanisms, including UN treaty body review processes and the Universal Periodic Review of Australia conducted by the Human Rights Council.</w:t>
      </w:r>
      <w:r w:rsidR="0052619C">
        <w:rPr>
          <w:rStyle w:val="FootnoteReference"/>
          <w:rFonts w:cs="Calibri"/>
          <w:sz w:val="24"/>
          <w:szCs w:val="24"/>
        </w:rPr>
        <w:footnoteReference w:id="7"/>
      </w:r>
      <w:r w:rsidR="0052619C">
        <w:rPr>
          <w:rFonts w:cs="Calibri"/>
          <w:sz w:val="24"/>
          <w:szCs w:val="24"/>
        </w:rPr>
        <w:t xml:space="preserve"> </w:t>
      </w:r>
      <w:r w:rsidR="000B3B5F">
        <w:rPr>
          <w:rFonts w:cs="Calibri"/>
          <w:sz w:val="24"/>
          <w:szCs w:val="24"/>
        </w:rPr>
        <w:t xml:space="preserve">  </w:t>
      </w:r>
    </w:p>
    <w:p w14:paraId="2E65B18D" w14:textId="10B19D42" w:rsidR="000B3B5F" w:rsidRPr="006C47BF" w:rsidRDefault="00DF69A2" w:rsidP="006C47BF">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cs="Calibri"/>
          <w:sz w:val="24"/>
          <w:szCs w:val="24"/>
        </w:rPr>
      </w:pPr>
      <w:r>
        <w:rPr>
          <w:rFonts w:asciiTheme="minorHAnsi" w:hAnsiTheme="minorHAnsi" w:cs="Calibri"/>
          <w:sz w:val="24"/>
          <w:szCs w:val="24"/>
        </w:rPr>
        <w:t>3.5</w:t>
      </w:r>
      <w:r>
        <w:rPr>
          <w:rFonts w:asciiTheme="minorHAnsi" w:hAnsiTheme="minorHAnsi" w:cs="Calibri"/>
          <w:sz w:val="24"/>
          <w:szCs w:val="24"/>
        </w:rPr>
        <w:tab/>
      </w:r>
      <w:r w:rsidR="000B3B5F">
        <w:rPr>
          <w:rFonts w:cs="Calibri"/>
          <w:sz w:val="24"/>
          <w:szCs w:val="24"/>
        </w:rPr>
        <w:t xml:space="preserve">We have also supported and formally endorsed a number of </w:t>
      </w:r>
      <w:r w:rsidR="00C11001">
        <w:rPr>
          <w:rFonts w:cs="Calibri"/>
          <w:sz w:val="24"/>
          <w:szCs w:val="24"/>
        </w:rPr>
        <w:t xml:space="preserve">submissions, </w:t>
      </w:r>
      <w:r w:rsidR="000B3B5F">
        <w:rPr>
          <w:rFonts w:cs="Calibri"/>
          <w:sz w:val="24"/>
          <w:szCs w:val="24"/>
        </w:rPr>
        <w:t>recommendations and positions prepared by IHRA (and Organisation Intersex Australia as IHRA was previously known),</w:t>
      </w:r>
      <w:r w:rsidR="00C11001">
        <w:rPr>
          <w:rStyle w:val="FootnoteReference"/>
          <w:rFonts w:cs="Calibri"/>
          <w:sz w:val="24"/>
          <w:szCs w:val="24"/>
        </w:rPr>
        <w:footnoteReference w:id="8"/>
      </w:r>
      <w:r w:rsidR="000B3B5F">
        <w:rPr>
          <w:rFonts w:cs="Calibri"/>
          <w:sz w:val="24"/>
          <w:szCs w:val="24"/>
        </w:rPr>
        <w:t xml:space="preserve"> including the ‘Shadow Report submission to the Committee on the Rights of Persons with Disabilities on the situation of </w:t>
      </w:r>
      <w:r w:rsidR="000B3B5F">
        <w:rPr>
          <w:rFonts w:cs="Calibri"/>
          <w:sz w:val="24"/>
          <w:szCs w:val="24"/>
        </w:rPr>
        <w:lastRenderedPageBreak/>
        <w:t>intersex people in Australia’.</w:t>
      </w:r>
      <w:r w:rsidR="00C11001">
        <w:rPr>
          <w:rStyle w:val="FootnoteReference"/>
          <w:rFonts w:cs="Calibri"/>
          <w:sz w:val="24"/>
          <w:szCs w:val="24"/>
        </w:rPr>
        <w:footnoteReference w:id="9"/>
      </w:r>
      <w:r w:rsidR="000B3B5F">
        <w:rPr>
          <w:rFonts w:cs="Calibri"/>
          <w:sz w:val="24"/>
          <w:szCs w:val="24"/>
        </w:rPr>
        <w:t xml:space="preserve"> </w:t>
      </w:r>
    </w:p>
    <w:p w14:paraId="113A0A7B" w14:textId="1B9DC440" w:rsidR="000B3B5F" w:rsidRDefault="00DF69A2" w:rsidP="00B42A3B">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cs="Calibri"/>
          <w:sz w:val="24"/>
          <w:szCs w:val="24"/>
        </w:rPr>
      </w:pPr>
      <w:r>
        <w:rPr>
          <w:rFonts w:cs="Calibri"/>
          <w:sz w:val="24"/>
          <w:szCs w:val="24"/>
        </w:rPr>
        <w:t>3.6</w:t>
      </w:r>
      <w:r>
        <w:rPr>
          <w:rFonts w:cs="Calibri"/>
          <w:sz w:val="24"/>
          <w:szCs w:val="24"/>
        </w:rPr>
        <w:tab/>
      </w:r>
      <w:r w:rsidR="00622212" w:rsidRPr="00622212">
        <w:rPr>
          <w:rFonts w:cs="Calibri"/>
          <w:sz w:val="24"/>
          <w:szCs w:val="24"/>
        </w:rPr>
        <w:t>Since 2005, UN human rights treaty bodies, UN special procedures and international medical bodies have made recommendations to Australia to enact national legislation to prohibit forced sterilisation.</w:t>
      </w:r>
      <w:r w:rsidR="00622212">
        <w:rPr>
          <w:rStyle w:val="FootnoteReference"/>
          <w:rFonts w:cs="Calibri"/>
          <w:sz w:val="24"/>
          <w:szCs w:val="24"/>
        </w:rPr>
        <w:footnoteReference w:id="10"/>
      </w:r>
      <w:r w:rsidR="00622212" w:rsidRPr="00622212">
        <w:rPr>
          <w:rFonts w:cs="Calibri"/>
          <w:sz w:val="24"/>
          <w:szCs w:val="24"/>
        </w:rPr>
        <w:t xml:space="preserve"> The Human Rights Council made similar recommendations as an outcome of the Universal Periodic Review (UPR) of Australia in 2015.</w:t>
      </w:r>
      <w:r w:rsidR="00622212">
        <w:rPr>
          <w:rStyle w:val="FootnoteReference"/>
          <w:rFonts w:cs="Calibri"/>
          <w:sz w:val="24"/>
          <w:szCs w:val="24"/>
        </w:rPr>
        <w:footnoteReference w:id="11"/>
      </w:r>
      <w:r w:rsidR="00622212">
        <w:rPr>
          <w:rFonts w:cs="Calibri"/>
          <w:sz w:val="24"/>
          <w:szCs w:val="24"/>
        </w:rPr>
        <w:t xml:space="preserve"> </w:t>
      </w:r>
      <w:r w:rsidR="0041498C">
        <w:rPr>
          <w:rFonts w:cs="Calibri"/>
          <w:sz w:val="24"/>
          <w:szCs w:val="24"/>
        </w:rPr>
        <w:t>As noted above in 3.2, there are increasing UN recommendations for the prohibition of forced medical interventions against intersex people / people born with variations of sex characteristics.</w:t>
      </w:r>
      <w:r w:rsidR="0041498C">
        <w:rPr>
          <w:rStyle w:val="FootnoteReference"/>
          <w:rFonts w:cs="Calibri"/>
          <w:sz w:val="24"/>
          <w:szCs w:val="24"/>
        </w:rPr>
        <w:footnoteReference w:id="12"/>
      </w:r>
    </w:p>
    <w:p w14:paraId="317235F8" w14:textId="5E09BD56" w:rsidR="00A8011D" w:rsidRDefault="00DF69A2" w:rsidP="000B3B5F">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cs="Calibri"/>
          <w:sz w:val="24"/>
          <w:szCs w:val="24"/>
        </w:rPr>
      </w:pPr>
      <w:r>
        <w:rPr>
          <w:rFonts w:cs="Calibri"/>
          <w:sz w:val="24"/>
          <w:szCs w:val="24"/>
        </w:rPr>
        <w:t>3.8</w:t>
      </w:r>
      <w:r>
        <w:rPr>
          <w:rFonts w:cs="Calibri"/>
          <w:sz w:val="24"/>
          <w:szCs w:val="24"/>
        </w:rPr>
        <w:tab/>
      </w:r>
      <w:r w:rsidR="00175977">
        <w:rPr>
          <w:rFonts w:cs="Calibri"/>
          <w:sz w:val="24"/>
          <w:szCs w:val="24"/>
        </w:rPr>
        <w:t xml:space="preserve">Despite recognition of human rights protections contained in the international human rights framework, the numerous UN treaty body concluding observations, recommendations from </w:t>
      </w:r>
      <w:r w:rsidR="00A8011D">
        <w:rPr>
          <w:rFonts w:cs="Calibri"/>
          <w:sz w:val="24"/>
          <w:szCs w:val="24"/>
        </w:rPr>
        <w:t xml:space="preserve">the Human Rights Council and </w:t>
      </w:r>
      <w:r w:rsidR="00175977">
        <w:rPr>
          <w:rFonts w:cs="Calibri"/>
          <w:sz w:val="24"/>
          <w:szCs w:val="24"/>
        </w:rPr>
        <w:t xml:space="preserve">UN Special Rapporteurs, statements from UN </w:t>
      </w:r>
      <w:r w:rsidR="00A8011D">
        <w:rPr>
          <w:rFonts w:cs="Calibri"/>
          <w:sz w:val="24"/>
          <w:szCs w:val="24"/>
        </w:rPr>
        <w:t xml:space="preserve">agencies </w:t>
      </w:r>
      <w:r w:rsidR="00175977">
        <w:rPr>
          <w:rFonts w:cs="Calibri"/>
          <w:sz w:val="24"/>
          <w:szCs w:val="24"/>
        </w:rPr>
        <w:t xml:space="preserve">and independent experts, community consensus statements from intersex people, and advocacy from </w:t>
      </w:r>
      <w:r w:rsidR="00A8011D">
        <w:rPr>
          <w:rFonts w:cs="Calibri"/>
          <w:sz w:val="24"/>
          <w:szCs w:val="24"/>
        </w:rPr>
        <w:t xml:space="preserve">disability and intersex-led </w:t>
      </w:r>
      <w:r w:rsidR="00175977">
        <w:rPr>
          <w:rFonts w:cs="Calibri"/>
          <w:sz w:val="24"/>
          <w:szCs w:val="24"/>
        </w:rPr>
        <w:t>organisations</w:t>
      </w:r>
      <w:r w:rsidR="00A8011D">
        <w:rPr>
          <w:rFonts w:cs="Calibri"/>
          <w:sz w:val="24"/>
          <w:szCs w:val="24"/>
        </w:rPr>
        <w:t>, Australia continues to pass responsibility for action to State and Territory jurisdictions, and retain a focus on better regulation and non-binding guidelines</w:t>
      </w:r>
      <w:r w:rsidR="004D6139">
        <w:rPr>
          <w:rFonts w:cs="Calibri"/>
          <w:sz w:val="24"/>
          <w:szCs w:val="24"/>
        </w:rPr>
        <w:t>.</w:t>
      </w:r>
      <w:r w:rsidR="00A8011D">
        <w:rPr>
          <w:rStyle w:val="FootnoteReference"/>
          <w:rFonts w:cs="Calibri"/>
          <w:sz w:val="24"/>
          <w:szCs w:val="24"/>
        </w:rPr>
        <w:footnoteReference w:id="13"/>
      </w:r>
    </w:p>
    <w:p w14:paraId="1661B0E4" w14:textId="663BDABD" w:rsidR="008A2710" w:rsidRDefault="00A8011D" w:rsidP="003401B4">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567" w:hanging="567"/>
        <w:rPr>
          <w:rFonts w:cs="Calibri"/>
          <w:sz w:val="24"/>
          <w:szCs w:val="24"/>
        </w:rPr>
      </w:pPr>
      <w:r>
        <w:rPr>
          <w:rFonts w:cs="Calibri"/>
          <w:sz w:val="24"/>
          <w:szCs w:val="24"/>
        </w:rPr>
        <w:t>3.9</w:t>
      </w:r>
      <w:r>
        <w:rPr>
          <w:rFonts w:cs="Calibri"/>
          <w:sz w:val="24"/>
          <w:szCs w:val="24"/>
        </w:rPr>
        <w:tab/>
        <w:t xml:space="preserve">The </w:t>
      </w:r>
      <w:r w:rsidR="003401B4">
        <w:rPr>
          <w:rFonts w:cs="Calibri"/>
          <w:sz w:val="24"/>
          <w:szCs w:val="24"/>
        </w:rPr>
        <w:t xml:space="preserve">AHRC inquiry on protecting the rights of people born with variations of sex characteristics in the context of medical interventions is critical to influencing Australian governments to take action.  In this respect, and in line with international human rights jurisprudence, the AHRC must have as a key recommendation </w:t>
      </w:r>
      <w:r w:rsidR="004D6139">
        <w:rPr>
          <w:rFonts w:cs="Calibri"/>
          <w:sz w:val="24"/>
          <w:szCs w:val="24"/>
        </w:rPr>
        <w:t xml:space="preserve">from </w:t>
      </w:r>
      <w:r w:rsidR="00FD6455">
        <w:rPr>
          <w:rFonts w:cs="Calibri"/>
          <w:sz w:val="24"/>
          <w:szCs w:val="24"/>
        </w:rPr>
        <w:t>this</w:t>
      </w:r>
      <w:r w:rsidR="004D6139">
        <w:rPr>
          <w:rFonts w:cs="Calibri"/>
          <w:sz w:val="24"/>
          <w:szCs w:val="24"/>
        </w:rPr>
        <w:t xml:space="preserve"> inquiry </w:t>
      </w:r>
      <w:r w:rsidR="008A2710">
        <w:rPr>
          <w:rFonts w:cs="Calibri"/>
          <w:sz w:val="24"/>
          <w:szCs w:val="24"/>
        </w:rPr>
        <w:t xml:space="preserve">that: </w:t>
      </w:r>
      <w:r w:rsidR="008A2710" w:rsidRPr="007A0DBA">
        <w:rPr>
          <w:rFonts w:cs="Calibri"/>
          <w:i/>
          <w:sz w:val="24"/>
          <w:szCs w:val="24"/>
        </w:rPr>
        <w:t xml:space="preserve">Australia enact </w:t>
      </w:r>
      <w:r w:rsidR="00831416" w:rsidRPr="007A0DBA">
        <w:rPr>
          <w:rFonts w:cs="Calibri"/>
          <w:i/>
          <w:sz w:val="24"/>
          <w:szCs w:val="24"/>
        </w:rPr>
        <w:t xml:space="preserve">legislation to criminally </w:t>
      </w:r>
      <w:r w:rsidR="008A2710" w:rsidRPr="007A0DBA">
        <w:rPr>
          <w:rFonts w:cs="Calibri"/>
          <w:i/>
          <w:sz w:val="24"/>
          <w:szCs w:val="24"/>
        </w:rPr>
        <w:t>prohibit deferrable medical interventions, including surgical and hormonal interventions that result in sterilisation and / or alter sex characteristics without prior, fully informed and free personal consent</w:t>
      </w:r>
      <w:r w:rsidR="008A2710">
        <w:rPr>
          <w:rFonts w:cs="Calibri"/>
          <w:sz w:val="24"/>
          <w:szCs w:val="24"/>
        </w:rPr>
        <w:t>.</w:t>
      </w:r>
      <w:r w:rsidR="008A2710">
        <w:rPr>
          <w:rStyle w:val="FootnoteReference"/>
          <w:rFonts w:cs="Calibri"/>
          <w:sz w:val="24"/>
          <w:szCs w:val="24"/>
        </w:rPr>
        <w:footnoteReference w:id="14"/>
      </w:r>
      <w:r w:rsidR="008A2710">
        <w:rPr>
          <w:rFonts w:cs="Calibri"/>
          <w:sz w:val="24"/>
          <w:szCs w:val="24"/>
        </w:rPr>
        <w:t xml:space="preserve"> </w:t>
      </w:r>
    </w:p>
    <w:p w14:paraId="7B1DBEE4" w14:textId="3EF2B4D8" w:rsidR="00DF69A2" w:rsidRDefault="0018493E" w:rsidP="00DF69A2">
      <w:pPr>
        <w:pStyle w:val="Heading1"/>
        <w:ind w:hanging="720"/>
      </w:pPr>
      <w:bookmarkStart w:id="4" w:name="_Toc526192180"/>
      <w:r>
        <w:lastRenderedPageBreak/>
        <w:t>T</w:t>
      </w:r>
      <w:r w:rsidR="00DF69A2">
        <w:t>he CRPD</w:t>
      </w:r>
      <w:r w:rsidR="00885138">
        <w:t>, disability</w:t>
      </w:r>
      <w:r w:rsidR="00DF69A2">
        <w:t xml:space="preserve"> and the rights of intersex people</w:t>
      </w:r>
      <w:bookmarkEnd w:id="4"/>
    </w:p>
    <w:p w14:paraId="39E87E6E" w14:textId="77777777" w:rsidR="00B3001E" w:rsidRPr="005629B0" w:rsidRDefault="00B3001E" w:rsidP="00B3001E">
      <w:pPr>
        <w:pBdr>
          <w:bottom w:val="single" w:sz="12" w:space="1" w:color="auto"/>
        </w:pBdr>
        <w:rPr>
          <w:sz w:val="16"/>
          <w:szCs w:val="16"/>
        </w:rPr>
      </w:pPr>
    </w:p>
    <w:p w14:paraId="73462944" w14:textId="4441588F" w:rsidR="00DF69A2" w:rsidRDefault="00DF69A2" w:rsidP="00DF69A2">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cs="Calibri"/>
          <w:sz w:val="24"/>
          <w:szCs w:val="24"/>
        </w:rPr>
      </w:pPr>
      <w:r>
        <w:rPr>
          <w:rFonts w:cs="Calibri"/>
          <w:sz w:val="24"/>
          <w:szCs w:val="24"/>
        </w:rPr>
        <w:t>4.1</w:t>
      </w:r>
      <w:r>
        <w:rPr>
          <w:rFonts w:cs="Calibri"/>
          <w:sz w:val="24"/>
          <w:szCs w:val="24"/>
        </w:rPr>
        <w:tab/>
      </w:r>
      <w:r w:rsidR="00606968">
        <w:rPr>
          <w:rFonts w:cs="Calibri"/>
          <w:sz w:val="24"/>
          <w:szCs w:val="24"/>
        </w:rPr>
        <w:t xml:space="preserve">Section 3, Terminology in the Consultation Paper seeks to canvass views about appropriate terminology.  </w:t>
      </w:r>
      <w:r w:rsidR="006E454D">
        <w:rPr>
          <w:rFonts w:cs="Calibri"/>
          <w:sz w:val="24"/>
          <w:szCs w:val="24"/>
        </w:rPr>
        <w:t>DPO Australia agrees with IHRA that “it is not the Australian Human Rights Commission’s role to determine terminology”.</w:t>
      </w:r>
      <w:r w:rsidR="00606968">
        <w:rPr>
          <w:rStyle w:val="FootnoteReference"/>
          <w:rFonts w:cs="Calibri"/>
          <w:sz w:val="24"/>
          <w:szCs w:val="24"/>
        </w:rPr>
        <w:footnoteReference w:id="15"/>
      </w:r>
      <w:r w:rsidR="006E454D">
        <w:rPr>
          <w:rFonts w:cs="Calibri"/>
          <w:sz w:val="24"/>
          <w:szCs w:val="24"/>
        </w:rPr>
        <w:t xml:space="preserve">  </w:t>
      </w:r>
      <w:r w:rsidR="00606968">
        <w:rPr>
          <w:rFonts w:cs="Calibri"/>
          <w:sz w:val="24"/>
          <w:szCs w:val="24"/>
        </w:rPr>
        <w:t xml:space="preserve">As IHRA </w:t>
      </w:r>
      <w:r w:rsidR="006E454D">
        <w:rPr>
          <w:rFonts w:cs="Calibri"/>
          <w:sz w:val="24"/>
          <w:szCs w:val="24"/>
        </w:rPr>
        <w:t>has rightly pointed out</w:t>
      </w:r>
      <w:r w:rsidR="00606968">
        <w:rPr>
          <w:rFonts w:cs="Calibri"/>
          <w:sz w:val="24"/>
          <w:szCs w:val="24"/>
        </w:rPr>
        <w:t>,</w:t>
      </w:r>
      <w:r w:rsidR="006E454D">
        <w:rPr>
          <w:rFonts w:cs="Calibri"/>
          <w:sz w:val="24"/>
          <w:szCs w:val="24"/>
        </w:rPr>
        <w:t xml:space="preserve"> definitions and terminology are </w:t>
      </w:r>
      <w:r w:rsidR="00606968">
        <w:rPr>
          <w:rFonts w:cs="Calibri"/>
          <w:sz w:val="24"/>
          <w:szCs w:val="24"/>
        </w:rPr>
        <w:t xml:space="preserve">already </w:t>
      </w:r>
      <w:r w:rsidR="006E454D">
        <w:rPr>
          <w:rFonts w:cs="Calibri"/>
          <w:sz w:val="24"/>
          <w:szCs w:val="24"/>
        </w:rPr>
        <w:t xml:space="preserve">consistently being used in human rights jurisprudence and statements, such as the Yogyakarta Principles plus 10 and the UN joint statement for Intersex Awareness Day.  We defer </w:t>
      </w:r>
      <w:r w:rsidR="00EB120F">
        <w:rPr>
          <w:rFonts w:cs="Calibri"/>
          <w:sz w:val="24"/>
          <w:szCs w:val="24"/>
        </w:rPr>
        <w:t>to the discussion and conclusions outlined by IHRA in relation to question 1 of the Consultation Paper.</w:t>
      </w:r>
      <w:r w:rsidR="00606968">
        <w:rPr>
          <w:rStyle w:val="FootnoteReference"/>
          <w:rFonts w:cs="Calibri"/>
          <w:sz w:val="24"/>
          <w:szCs w:val="24"/>
        </w:rPr>
        <w:footnoteReference w:id="16"/>
      </w:r>
      <w:r w:rsidR="00606968">
        <w:rPr>
          <w:rFonts w:cs="Calibri"/>
          <w:sz w:val="24"/>
          <w:szCs w:val="24"/>
        </w:rPr>
        <w:t xml:space="preserve"> </w:t>
      </w:r>
    </w:p>
    <w:p w14:paraId="762F9335" w14:textId="1F764A7B" w:rsidR="00B24949" w:rsidRDefault="00DF69A2" w:rsidP="00DF69A2">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cs="Calibri"/>
          <w:sz w:val="24"/>
          <w:szCs w:val="24"/>
        </w:rPr>
      </w:pPr>
      <w:r>
        <w:rPr>
          <w:rFonts w:cs="Calibri"/>
          <w:sz w:val="24"/>
          <w:szCs w:val="24"/>
        </w:rPr>
        <w:t>4.2</w:t>
      </w:r>
      <w:r>
        <w:rPr>
          <w:rFonts w:cs="Calibri"/>
          <w:sz w:val="24"/>
          <w:szCs w:val="24"/>
        </w:rPr>
        <w:tab/>
      </w:r>
      <w:r w:rsidR="00EB120F">
        <w:rPr>
          <w:rFonts w:cs="Calibri"/>
          <w:sz w:val="24"/>
          <w:szCs w:val="24"/>
        </w:rPr>
        <w:t xml:space="preserve">However, DPO Australia </w:t>
      </w:r>
      <w:r w:rsidR="00EA2662">
        <w:rPr>
          <w:rFonts w:cs="Calibri"/>
          <w:sz w:val="24"/>
          <w:szCs w:val="24"/>
        </w:rPr>
        <w:t xml:space="preserve">highlights that the CRPD provides </w:t>
      </w:r>
      <w:r w:rsidR="000B7A49">
        <w:rPr>
          <w:rFonts w:cs="Calibri"/>
          <w:sz w:val="24"/>
          <w:szCs w:val="24"/>
        </w:rPr>
        <w:t>a</w:t>
      </w:r>
      <w:r w:rsidR="00B24949">
        <w:rPr>
          <w:rFonts w:cs="Calibri"/>
          <w:sz w:val="24"/>
          <w:szCs w:val="24"/>
        </w:rPr>
        <w:t xml:space="preserve"> critical</w:t>
      </w:r>
      <w:r w:rsidR="00EA2662">
        <w:rPr>
          <w:rFonts w:cs="Calibri"/>
          <w:sz w:val="24"/>
          <w:szCs w:val="24"/>
        </w:rPr>
        <w:t xml:space="preserve"> </w:t>
      </w:r>
      <w:r w:rsidR="000B7A49">
        <w:rPr>
          <w:rFonts w:cs="Calibri"/>
          <w:sz w:val="24"/>
          <w:szCs w:val="24"/>
        </w:rPr>
        <w:t xml:space="preserve">human rights </w:t>
      </w:r>
      <w:r w:rsidR="00B24949">
        <w:rPr>
          <w:rFonts w:cs="Calibri"/>
          <w:sz w:val="24"/>
          <w:szCs w:val="24"/>
        </w:rPr>
        <w:t>conceptualisation</w:t>
      </w:r>
      <w:r w:rsidR="00EA2662">
        <w:rPr>
          <w:rFonts w:cs="Calibri"/>
          <w:sz w:val="24"/>
          <w:szCs w:val="24"/>
        </w:rPr>
        <w:t xml:space="preserve"> </w:t>
      </w:r>
      <w:r w:rsidR="00B24949">
        <w:rPr>
          <w:rFonts w:cs="Calibri"/>
          <w:sz w:val="24"/>
          <w:szCs w:val="24"/>
        </w:rPr>
        <w:t xml:space="preserve">of ‘disability’ that is specifically relevant to human rights conceptions of ‘intersex’.  The IHRA </w:t>
      </w:r>
      <w:r w:rsidR="000B7A49">
        <w:rPr>
          <w:rFonts w:cs="Calibri"/>
          <w:sz w:val="24"/>
          <w:szCs w:val="24"/>
        </w:rPr>
        <w:t xml:space="preserve">highlights this conceptualisation with reference to the </w:t>
      </w:r>
      <w:r w:rsidR="00B24949">
        <w:rPr>
          <w:rFonts w:cs="Calibri"/>
          <w:sz w:val="24"/>
          <w:szCs w:val="24"/>
        </w:rPr>
        <w:t>‘social model of disability’ a</w:t>
      </w:r>
      <w:r w:rsidR="000B7A49">
        <w:rPr>
          <w:rFonts w:cs="Calibri"/>
          <w:sz w:val="24"/>
          <w:szCs w:val="24"/>
        </w:rPr>
        <w:t xml:space="preserve">nd its application to </w:t>
      </w:r>
      <w:r w:rsidR="00B24949">
        <w:rPr>
          <w:rFonts w:cs="Calibri"/>
          <w:sz w:val="24"/>
          <w:szCs w:val="24"/>
        </w:rPr>
        <w:t>intersex people / people born with variations of sex characteristics</w:t>
      </w:r>
      <w:r w:rsidR="000B7A49">
        <w:rPr>
          <w:rFonts w:cs="Calibri"/>
          <w:sz w:val="24"/>
          <w:szCs w:val="24"/>
        </w:rPr>
        <w:t>,</w:t>
      </w:r>
      <w:r w:rsidR="00B24949">
        <w:rPr>
          <w:rFonts w:cs="Calibri"/>
          <w:sz w:val="24"/>
          <w:szCs w:val="24"/>
        </w:rPr>
        <w:t xml:space="preserve"> to recognise that stigma and discrimination are </w:t>
      </w:r>
      <w:r w:rsidR="000B7A49">
        <w:rPr>
          <w:rFonts w:cs="Calibri"/>
          <w:sz w:val="24"/>
          <w:szCs w:val="24"/>
        </w:rPr>
        <w:t xml:space="preserve">the </w:t>
      </w:r>
      <w:r w:rsidR="00B24949">
        <w:rPr>
          <w:rFonts w:cs="Calibri"/>
          <w:sz w:val="24"/>
          <w:szCs w:val="24"/>
        </w:rPr>
        <w:t xml:space="preserve">barriers to full and equal participation </w:t>
      </w:r>
      <w:r w:rsidR="000B7A49">
        <w:rPr>
          <w:rFonts w:cs="Calibri"/>
          <w:sz w:val="24"/>
          <w:szCs w:val="24"/>
        </w:rPr>
        <w:t>in society, not variations in sex characteristics</w:t>
      </w:r>
      <w:r w:rsidR="00B24949">
        <w:rPr>
          <w:rFonts w:cs="Calibri"/>
          <w:sz w:val="24"/>
          <w:szCs w:val="24"/>
        </w:rPr>
        <w:t>.</w:t>
      </w:r>
      <w:r w:rsidR="001C4A8D">
        <w:rPr>
          <w:rStyle w:val="FootnoteReference"/>
          <w:rFonts w:cs="Calibri"/>
          <w:sz w:val="24"/>
          <w:szCs w:val="24"/>
        </w:rPr>
        <w:footnoteReference w:id="17"/>
      </w:r>
      <w:r w:rsidR="001C4A8D">
        <w:rPr>
          <w:rFonts w:cs="Calibri"/>
          <w:sz w:val="24"/>
          <w:szCs w:val="24"/>
        </w:rPr>
        <w:t xml:space="preserve"> </w:t>
      </w:r>
    </w:p>
    <w:p w14:paraId="0E382D91" w14:textId="00BBB27C" w:rsidR="000B7A49" w:rsidRPr="00DF69A2" w:rsidRDefault="00DF69A2" w:rsidP="00DF69A2">
      <w:pPr>
        <w:pStyle w:val="FootnoteText"/>
        <w:spacing w:after="0" w:line="0" w:lineRule="atLeast"/>
        <w:ind w:left="567" w:hanging="567"/>
        <w:rPr>
          <w:sz w:val="24"/>
          <w:szCs w:val="24"/>
        </w:rPr>
      </w:pPr>
      <w:r>
        <w:rPr>
          <w:rFonts w:cs="Calibri"/>
          <w:sz w:val="24"/>
          <w:szCs w:val="24"/>
        </w:rPr>
        <w:t>4.3</w:t>
      </w:r>
      <w:r>
        <w:rPr>
          <w:rFonts w:cs="Calibri"/>
          <w:sz w:val="24"/>
          <w:szCs w:val="24"/>
        </w:rPr>
        <w:tab/>
      </w:r>
      <w:r w:rsidR="000B7A49">
        <w:rPr>
          <w:rFonts w:cs="Calibri"/>
          <w:sz w:val="24"/>
          <w:szCs w:val="24"/>
        </w:rPr>
        <w:t xml:space="preserve">Traditionally, ‘disability’ has been understood as a ‘deficit’ in individual minds and / or bodies, as individual problems to be solved, fixed and / or cured.  This ‘medical model of disability’ focuses on care, treatment, medical interventions and </w:t>
      </w:r>
      <w:r w:rsidR="0010595C">
        <w:rPr>
          <w:rFonts w:cs="Calibri"/>
          <w:sz w:val="24"/>
          <w:szCs w:val="24"/>
        </w:rPr>
        <w:t>‘</w:t>
      </w:r>
      <w:r w:rsidR="000B7A49">
        <w:rPr>
          <w:rFonts w:cs="Calibri"/>
          <w:sz w:val="24"/>
          <w:szCs w:val="24"/>
        </w:rPr>
        <w:t>protections</w:t>
      </w:r>
      <w:r w:rsidR="0010595C">
        <w:rPr>
          <w:rFonts w:cs="Calibri"/>
          <w:sz w:val="24"/>
          <w:szCs w:val="24"/>
        </w:rPr>
        <w:t>’</w:t>
      </w:r>
      <w:r w:rsidR="000B7A49">
        <w:rPr>
          <w:rFonts w:cs="Calibri"/>
          <w:sz w:val="24"/>
          <w:szCs w:val="24"/>
        </w:rPr>
        <w:t>, and conceptualises people with disability as passive recipients of care, medical treatment and welfare.</w:t>
      </w:r>
      <w:r w:rsidR="001C4A8D">
        <w:rPr>
          <w:rStyle w:val="FootnoteReference"/>
          <w:rFonts w:cs="Calibri"/>
          <w:sz w:val="24"/>
          <w:szCs w:val="24"/>
        </w:rPr>
        <w:footnoteReference w:id="18"/>
      </w:r>
      <w:r w:rsidR="000B7A49">
        <w:rPr>
          <w:rFonts w:cs="Calibri"/>
          <w:sz w:val="24"/>
          <w:szCs w:val="24"/>
        </w:rPr>
        <w:t xml:space="preserve"> </w:t>
      </w:r>
      <w:r w:rsidR="000B7A49">
        <w:t xml:space="preserve"> </w:t>
      </w:r>
      <w:r w:rsidR="000B7A49">
        <w:rPr>
          <w:sz w:val="24"/>
          <w:szCs w:val="24"/>
        </w:rPr>
        <w:t>The medical or deficit model of disability has led to legislative and policy responses to disability that focus on segregation and exclusion of people with disability, such as segregated education, hous</w:t>
      </w:r>
      <w:r w:rsidR="005F0EF3">
        <w:rPr>
          <w:sz w:val="24"/>
          <w:szCs w:val="24"/>
        </w:rPr>
        <w:t>ing and employment arrangements;</w:t>
      </w:r>
      <w:r w:rsidR="000B7A49">
        <w:rPr>
          <w:sz w:val="24"/>
          <w:szCs w:val="24"/>
        </w:rPr>
        <w:t xml:space="preserve"> denial of legal capacity through substitute decision-making</w:t>
      </w:r>
      <w:r w:rsidR="001C4A8D">
        <w:rPr>
          <w:sz w:val="24"/>
          <w:szCs w:val="24"/>
        </w:rPr>
        <w:t xml:space="preserve"> arrangements</w:t>
      </w:r>
      <w:r w:rsidR="005F0EF3">
        <w:rPr>
          <w:sz w:val="24"/>
          <w:szCs w:val="24"/>
        </w:rPr>
        <w:t>;</w:t>
      </w:r>
      <w:r>
        <w:rPr>
          <w:sz w:val="24"/>
          <w:szCs w:val="24"/>
        </w:rPr>
        <w:t xml:space="preserve"> </w:t>
      </w:r>
      <w:r w:rsidR="000B7A49">
        <w:rPr>
          <w:sz w:val="24"/>
          <w:szCs w:val="24"/>
        </w:rPr>
        <w:t xml:space="preserve">and laws </w:t>
      </w:r>
      <w:r w:rsidR="00606EE1">
        <w:rPr>
          <w:sz w:val="24"/>
          <w:szCs w:val="24"/>
        </w:rPr>
        <w:t xml:space="preserve">and medical practices </w:t>
      </w:r>
      <w:r w:rsidR="000B7A49">
        <w:rPr>
          <w:sz w:val="24"/>
          <w:szCs w:val="24"/>
        </w:rPr>
        <w:t xml:space="preserve">that allow for forced </w:t>
      </w:r>
      <w:r w:rsidR="001C4A8D">
        <w:rPr>
          <w:sz w:val="24"/>
          <w:szCs w:val="24"/>
        </w:rPr>
        <w:t xml:space="preserve">sterilisation and other forced </w:t>
      </w:r>
      <w:r w:rsidR="000B7A49">
        <w:rPr>
          <w:sz w:val="24"/>
          <w:szCs w:val="24"/>
        </w:rPr>
        <w:t xml:space="preserve">medical interventions and forced treatment options. </w:t>
      </w:r>
    </w:p>
    <w:p w14:paraId="40B59B66" w14:textId="34D3DB6E" w:rsidR="000B7A49" w:rsidRDefault="000B7A49" w:rsidP="000B7A4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hanging="567"/>
        <w:rPr>
          <w:rFonts w:cs="Calibri"/>
          <w:sz w:val="24"/>
          <w:szCs w:val="24"/>
        </w:rPr>
      </w:pPr>
    </w:p>
    <w:p w14:paraId="1678CB61" w14:textId="168F208C" w:rsidR="0010595C" w:rsidRDefault="00DF69A2" w:rsidP="000B7A4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hanging="567"/>
        <w:rPr>
          <w:rFonts w:cs="Calibri"/>
          <w:sz w:val="24"/>
          <w:szCs w:val="24"/>
        </w:rPr>
      </w:pPr>
      <w:r>
        <w:rPr>
          <w:rFonts w:cs="Calibri"/>
          <w:sz w:val="24"/>
          <w:szCs w:val="24"/>
        </w:rPr>
        <w:t>4.4</w:t>
      </w:r>
      <w:r>
        <w:rPr>
          <w:rFonts w:cs="Calibri"/>
          <w:sz w:val="24"/>
          <w:szCs w:val="24"/>
        </w:rPr>
        <w:tab/>
      </w:r>
      <w:r w:rsidR="000B7A49">
        <w:rPr>
          <w:rFonts w:cs="Calibri"/>
          <w:sz w:val="24"/>
          <w:szCs w:val="24"/>
        </w:rPr>
        <w:t xml:space="preserve">Over many decades, the disability rights movement has fought against </w:t>
      </w:r>
      <w:proofErr w:type="spellStart"/>
      <w:r w:rsidR="000B7A49">
        <w:rPr>
          <w:rFonts w:cs="Calibri"/>
          <w:sz w:val="24"/>
          <w:szCs w:val="24"/>
        </w:rPr>
        <w:t>medicalised</w:t>
      </w:r>
      <w:proofErr w:type="spellEnd"/>
      <w:r w:rsidR="000B7A49">
        <w:rPr>
          <w:rFonts w:cs="Calibri"/>
          <w:sz w:val="24"/>
          <w:szCs w:val="24"/>
        </w:rPr>
        <w:t xml:space="preserve"> notions of disability</w:t>
      </w:r>
      <w:r w:rsidR="002A26A0">
        <w:rPr>
          <w:rFonts w:cs="Calibri"/>
          <w:sz w:val="24"/>
          <w:szCs w:val="24"/>
        </w:rPr>
        <w:t>,</w:t>
      </w:r>
      <w:r w:rsidR="000B7A49">
        <w:rPr>
          <w:rFonts w:cs="Calibri"/>
          <w:sz w:val="24"/>
          <w:szCs w:val="24"/>
        </w:rPr>
        <w:t xml:space="preserve"> and strongly asserted a social model of disability.</w:t>
      </w:r>
      <w:r w:rsidR="002A26A0">
        <w:rPr>
          <w:rStyle w:val="FootnoteReference"/>
          <w:rFonts w:cs="Calibri"/>
          <w:sz w:val="24"/>
          <w:szCs w:val="24"/>
        </w:rPr>
        <w:footnoteReference w:id="19"/>
      </w:r>
      <w:r w:rsidR="000B7A49">
        <w:rPr>
          <w:rFonts w:cs="Calibri"/>
          <w:sz w:val="24"/>
          <w:szCs w:val="24"/>
        </w:rPr>
        <w:t xml:space="preserve">  The social model </w:t>
      </w:r>
      <w:r w:rsidR="0085123B">
        <w:rPr>
          <w:rFonts w:cs="Calibri"/>
          <w:sz w:val="24"/>
          <w:szCs w:val="24"/>
        </w:rPr>
        <w:t xml:space="preserve">recognises that it is society that disables people with impairments, and prevents full and equal participation in all aspects of society.  </w:t>
      </w:r>
    </w:p>
    <w:p w14:paraId="4AB63E98" w14:textId="77777777" w:rsidR="0010595C" w:rsidRDefault="0010595C" w:rsidP="000B7A4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hanging="567"/>
        <w:rPr>
          <w:rFonts w:cs="Calibri"/>
          <w:sz w:val="24"/>
          <w:szCs w:val="24"/>
        </w:rPr>
      </w:pPr>
    </w:p>
    <w:p w14:paraId="4D82E56A" w14:textId="37C9905E" w:rsidR="002F2E17" w:rsidRDefault="00DF69A2" w:rsidP="006A59FB">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rPr>
          <w:rFonts w:cs="Calibri"/>
          <w:sz w:val="24"/>
          <w:szCs w:val="24"/>
        </w:rPr>
      </w:pPr>
      <w:r>
        <w:rPr>
          <w:rFonts w:cs="Calibri"/>
          <w:sz w:val="24"/>
          <w:szCs w:val="24"/>
        </w:rPr>
        <w:t>4.5</w:t>
      </w:r>
      <w:r>
        <w:rPr>
          <w:rFonts w:cs="Calibri"/>
          <w:sz w:val="24"/>
          <w:szCs w:val="24"/>
        </w:rPr>
        <w:tab/>
      </w:r>
      <w:r w:rsidR="0010595C">
        <w:rPr>
          <w:rFonts w:cs="Calibri"/>
          <w:sz w:val="24"/>
          <w:szCs w:val="24"/>
        </w:rPr>
        <w:t xml:space="preserve">The participation of people with disability and our representative organisations in the development of the CRPD has meant that a social model of disability has contributed </w:t>
      </w:r>
      <w:r w:rsidR="0010595C">
        <w:rPr>
          <w:rFonts w:cs="Calibri"/>
          <w:sz w:val="24"/>
          <w:szCs w:val="24"/>
        </w:rPr>
        <w:lastRenderedPageBreak/>
        <w:t xml:space="preserve">to the human rights </w:t>
      </w:r>
      <w:r w:rsidR="006A59FB">
        <w:rPr>
          <w:rFonts w:cs="Calibri"/>
          <w:sz w:val="24"/>
          <w:szCs w:val="24"/>
        </w:rPr>
        <w:t>conception</w:t>
      </w:r>
      <w:r w:rsidR="0010595C">
        <w:rPr>
          <w:rFonts w:cs="Calibri"/>
          <w:sz w:val="24"/>
          <w:szCs w:val="24"/>
        </w:rPr>
        <w:t xml:space="preserve"> of ‘disability’</w:t>
      </w:r>
      <w:r w:rsidR="002F2E17">
        <w:rPr>
          <w:rFonts w:cs="Calibri"/>
          <w:sz w:val="24"/>
          <w:szCs w:val="24"/>
        </w:rPr>
        <w:t xml:space="preserve"> </w:t>
      </w:r>
      <w:r w:rsidR="005707F4">
        <w:rPr>
          <w:rFonts w:cs="Calibri"/>
          <w:sz w:val="24"/>
          <w:szCs w:val="24"/>
        </w:rPr>
        <w:t>within</w:t>
      </w:r>
      <w:r w:rsidR="002F2E17">
        <w:rPr>
          <w:rFonts w:cs="Calibri"/>
          <w:sz w:val="24"/>
          <w:szCs w:val="24"/>
        </w:rPr>
        <w:t xml:space="preserve"> the CRPD.  The key elements of </w:t>
      </w:r>
      <w:r w:rsidR="006A59FB">
        <w:rPr>
          <w:rFonts w:cs="Calibri"/>
          <w:sz w:val="24"/>
          <w:szCs w:val="24"/>
        </w:rPr>
        <w:t xml:space="preserve">this human rights conception </w:t>
      </w:r>
      <w:r w:rsidR="002F2E17">
        <w:rPr>
          <w:rFonts w:cs="Calibri"/>
          <w:sz w:val="24"/>
          <w:szCs w:val="24"/>
        </w:rPr>
        <w:t>are:</w:t>
      </w:r>
    </w:p>
    <w:p w14:paraId="4945FEF2" w14:textId="5A5F56BB" w:rsidR="0002396A" w:rsidRDefault="006A59FB" w:rsidP="007A0DBA">
      <w:pPr>
        <w:pStyle w:val="ListParagraph"/>
        <w:widowControl w:val="0"/>
        <w:numPr>
          <w:ilvl w:val="0"/>
          <w:numId w:val="45"/>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51" w:hanging="284"/>
        <w:contextualSpacing w:val="0"/>
        <w:rPr>
          <w:rFonts w:cs="Calibri"/>
          <w:sz w:val="24"/>
          <w:szCs w:val="24"/>
        </w:rPr>
      </w:pPr>
      <w:r>
        <w:rPr>
          <w:rFonts w:cs="Calibri"/>
          <w:sz w:val="24"/>
          <w:szCs w:val="24"/>
        </w:rPr>
        <w:t xml:space="preserve">‘Disability’ is not defined.  It is conceptualised as a dynamic </w:t>
      </w:r>
      <w:r w:rsidR="0002396A">
        <w:rPr>
          <w:rFonts w:cs="Calibri"/>
          <w:sz w:val="24"/>
          <w:szCs w:val="24"/>
        </w:rPr>
        <w:t xml:space="preserve">and evolving </w:t>
      </w:r>
      <w:r>
        <w:rPr>
          <w:rFonts w:cs="Calibri"/>
          <w:sz w:val="24"/>
          <w:szCs w:val="24"/>
        </w:rPr>
        <w:t xml:space="preserve">relationship between people with impairments and </w:t>
      </w:r>
      <w:r w:rsidR="0002396A">
        <w:rPr>
          <w:rFonts w:cs="Calibri"/>
          <w:sz w:val="24"/>
          <w:szCs w:val="24"/>
        </w:rPr>
        <w:t xml:space="preserve">their interaction with </w:t>
      </w:r>
      <w:r>
        <w:rPr>
          <w:rFonts w:cs="Calibri"/>
          <w:sz w:val="24"/>
          <w:szCs w:val="24"/>
        </w:rPr>
        <w:t>environmental, attitudinal and social and other barriers that “hinders their full and effective participation in society on an equal basis with others”.</w:t>
      </w:r>
      <w:r w:rsidR="002A26A0">
        <w:rPr>
          <w:rStyle w:val="FootnoteReference"/>
          <w:rFonts w:cs="Calibri"/>
          <w:sz w:val="24"/>
          <w:szCs w:val="24"/>
        </w:rPr>
        <w:footnoteReference w:id="20"/>
      </w:r>
    </w:p>
    <w:p w14:paraId="4E3427A8" w14:textId="64D22348" w:rsidR="0002396A" w:rsidRDefault="0002396A" w:rsidP="007A0DBA">
      <w:pPr>
        <w:pStyle w:val="ListParagraph"/>
        <w:widowControl w:val="0"/>
        <w:numPr>
          <w:ilvl w:val="0"/>
          <w:numId w:val="45"/>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51" w:hanging="284"/>
        <w:contextualSpacing w:val="0"/>
        <w:rPr>
          <w:rFonts w:cs="Calibri"/>
          <w:sz w:val="24"/>
          <w:szCs w:val="24"/>
        </w:rPr>
      </w:pPr>
      <w:r w:rsidRPr="0002396A">
        <w:rPr>
          <w:rFonts w:cs="Calibri"/>
          <w:sz w:val="24"/>
          <w:szCs w:val="24"/>
        </w:rPr>
        <w:t xml:space="preserve">Following from this, </w:t>
      </w:r>
      <w:r w:rsidR="006A59FB" w:rsidRPr="0002396A">
        <w:rPr>
          <w:rFonts w:cs="Calibri"/>
          <w:sz w:val="24"/>
          <w:szCs w:val="24"/>
        </w:rPr>
        <w:t>‘</w:t>
      </w:r>
      <w:r w:rsidRPr="0002396A">
        <w:rPr>
          <w:rFonts w:cs="Calibri"/>
          <w:sz w:val="24"/>
          <w:szCs w:val="24"/>
        </w:rPr>
        <w:t>d</w:t>
      </w:r>
      <w:r w:rsidR="006A59FB" w:rsidRPr="0002396A">
        <w:rPr>
          <w:rFonts w:cs="Calibri"/>
          <w:sz w:val="24"/>
          <w:szCs w:val="24"/>
        </w:rPr>
        <w:t xml:space="preserve">isability’ is not the same as individual impairment or medical diagnoses and categories.  </w:t>
      </w:r>
      <w:r>
        <w:rPr>
          <w:rFonts w:cs="Calibri"/>
          <w:sz w:val="24"/>
          <w:szCs w:val="24"/>
        </w:rPr>
        <w:t>People with impairments are those who have differences in minds and / or bodies that do not conform to the</w:t>
      </w:r>
      <w:r w:rsidRPr="0002396A">
        <w:rPr>
          <w:rFonts w:cs="Calibri"/>
          <w:sz w:val="24"/>
          <w:szCs w:val="24"/>
        </w:rPr>
        <w:t xml:space="preserve"> normative ideal</w:t>
      </w:r>
      <w:r>
        <w:rPr>
          <w:rFonts w:cs="Calibri"/>
          <w:sz w:val="24"/>
          <w:szCs w:val="24"/>
        </w:rPr>
        <w:t>s</w:t>
      </w:r>
      <w:r w:rsidRPr="0002396A">
        <w:rPr>
          <w:rFonts w:cs="Calibri"/>
          <w:sz w:val="24"/>
          <w:szCs w:val="24"/>
        </w:rPr>
        <w:t xml:space="preserve"> of minds and bodies. </w:t>
      </w:r>
    </w:p>
    <w:p w14:paraId="7A8D5F2A" w14:textId="425071B5" w:rsidR="0002396A" w:rsidRPr="0002396A" w:rsidRDefault="0002396A" w:rsidP="007A0DBA">
      <w:pPr>
        <w:pStyle w:val="ListParagraph"/>
        <w:widowControl w:val="0"/>
        <w:numPr>
          <w:ilvl w:val="0"/>
          <w:numId w:val="45"/>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51" w:hanging="284"/>
        <w:contextualSpacing w:val="0"/>
        <w:rPr>
          <w:rFonts w:cs="Calibri"/>
          <w:sz w:val="24"/>
          <w:szCs w:val="24"/>
        </w:rPr>
      </w:pPr>
      <w:r>
        <w:rPr>
          <w:rFonts w:cs="Calibri"/>
          <w:sz w:val="24"/>
          <w:szCs w:val="24"/>
        </w:rPr>
        <w:t>These differences are conceptualised as one aspect of the human condition, and should be accepted “as part of human diversity and humanity”.</w:t>
      </w:r>
      <w:r w:rsidR="002A26A0">
        <w:rPr>
          <w:rStyle w:val="FootnoteReference"/>
          <w:rFonts w:cs="Calibri"/>
          <w:sz w:val="24"/>
          <w:szCs w:val="24"/>
        </w:rPr>
        <w:footnoteReference w:id="21"/>
      </w:r>
      <w:r w:rsidR="002A26A0">
        <w:rPr>
          <w:rFonts w:cs="Calibri"/>
          <w:sz w:val="24"/>
          <w:szCs w:val="24"/>
        </w:rPr>
        <w:t xml:space="preserve"> </w:t>
      </w:r>
    </w:p>
    <w:p w14:paraId="2D9C1F1D" w14:textId="366C9742" w:rsidR="005707F4" w:rsidRDefault="00DF69A2" w:rsidP="00DF69A2">
      <w:pPr>
        <w:spacing w:before="240"/>
        <w:ind w:left="709" w:hanging="709"/>
        <w:rPr>
          <w:sz w:val="24"/>
          <w:szCs w:val="24"/>
        </w:rPr>
      </w:pPr>
      <w:r>
        <w:rPr>
          <w:sz w:val="24"/>
          <w:szCs w:val="24"/>
        </w:rPr>
        <w:t>4.6</w:t>
      </w:r>
      <w:r>
        <w:rPr>
          <w:sz w:val="24"/>
          <w:szCs w:val="24"/>
        </w:rPr>
        <w:tab/>
      </w:r>
      <w:r w:rsidR="005707F4">
        <w:rPr>
          <w:sz w:val="24"/>
          <w:szCs w:val="24"/>
        </w:rPr>
        <w:t xml:space="preserve">This conception of disability means that the CRPD provides a blueprint for the removal of barriers to </w:t>
      </w:r>
      <w:r w:rsidR="005F0EF3">
        <w:rPr>
          <w:sz w:val="24"/>
          <w:szCs w:val="24"/>
        </w:rPr>
        <w:t>realisation of human rights</w:t>
      </w:r>
      <w:r w:rsidR="00D460B5">
        <w:rPr>
          <w:sz w:val="24"/>
          <w:szCs w:val="24"/>
        </w:rPr>
        <w:t xml:space="preserve"> a</w:t>
      </w:r>
      <w:r w:rsidR="005707F4">
        <w:rPr>
          <w:sz w:val="24"/>
          <w:szCs w:val="24"/>
        </w:rPr>
        <w:t>nd outlines positive measures to accommodate difference and initiate structural change.</w:t>
      </w:r>
      <w:r w:rsidR="002A26A0">
        <w:rPr>
          <w:rStyle w:val="FootnoteReference"/>
          <w:sz w:val="24"/>
          <w:szCs w:val="24"/>
        </w:rPr>
        <w:footnoteReference w:id="22"/>
      </w:r>
      <w:r w:rsidR="002A26A0">
        <w:rPr>
          <w:sz w:val="24"/>
          <w:szCs w:val="24"/>
        </w:rPr>
        <w:t xml:space="preserve">  Its aim is </w:t>
      </w:r>
      <w:r w:rsidR="005707F4">
        <w:rPr>
          <w:sz w:val="24"/>
          <w:szCs w:val="24"/>
        </w:rPr>
        <w:t xml:space="preserve">to respect and include difference within society by removing the </w:t>
      </w:r>
      <w:r w:rsidR="005707F4" w:rsidRPr="005707F4">
        <w:rPr>
          <w:sz w:val="24"/>
          <w:szCs w:val="24"/>
        </w:rPr>
        <w:t>disadvantage, the discrimination, the detriment but not the difference itself</w:t>
      </w:r>
      <w:r w:rsidR="005707F4">
        <w:rPr>
          <w:rStyle w:val="FootnoteReference"/>
          <w:sz w:val="24"/>
          <w:szCs w:val="24"/>
        </w:rPr>
        <w:footnoteReference w:id="23"/>
      </w:r>
      <w:r w:rsidR="005707F4" w:rsidRPr="005707F4">
        <w:rPr>
          <w:sz w:val="24"/>
          <w:szCs w:val="24"/>
        </w:rPr>
        <w:t xml:space="preserve"> – it’s about embracing difference as integral part of the human condition.</w:t>
      </w:r>
      <w:r w:rsidR="002A26A0">
        <w:rPr>
          <w:rStyle w:val="FootnoteReference"/>
          <w:sz w:val="24"/>
          <w:szCs w:val="24"/>
        </w:rPr>
        <w:footnoteReference w:id="24"/>
      </w:r>
    </w:p>
    <w:p w14:paraId="49EB0DEF" w14:textId="75EC3012" w:rsidR="00C63643" w:rsidRDefault="00DF69A2" w:rsidP="00DF69A2">
      <w:pPr>
        <w:spacing w:before="240"/>
        <w:ind w:left="709" w:hanging="709"/>
        <w:rPr>
          <w:rFonts w:cs="Calibri"/>
          <w:sz w:val="24"/>
          <w:szCs w:val="24"/>
        </w:rPr>
      </w:pPr>
      <w:r>
        <w:rPr>
          <w:sz w:val="24"/>
          <w:szCs w:val="24"/>
        </w:rPr>
        <w:t>4.7</w:t>
      </w:r>
      <w:r>
        <w:rPr>
          <w:sz w:val="24"/>
          <w:szCs w:val="24"/>
        </w:rPr>
        <w:tab/>
      </w:r>
      <w:r w:rsidR="00D460B5">
        <w:rPr>
          <w:rFonts w:cs="Calibri"/>
          <w:sz w:val="24"/>
          <w:szCs w:val="24"/>
        </w:rPr>
        <w:t>The CRPD is a critical framework for understanding the human rights of intersex people.  Intersex people / people born with variations of sex characteristics should be accepted as on</w:t>
      </w:r>
      <w:r w:rsidR="00492B75">
        <w:rPr>
          <w:rFonts w:cs="Calibri"/>
          <w:sz w:val="24"/>
          <w:szCs w:val="24"/>
        </w:rPr>
        <w:t>e</w:t>
      </w:r>
      <w:r w:rsidR="00D460B5">
        <w:rPr>
          <w:rFonts w:cs="Calibri"/>
          <w:sz w:val="24"/>
          <w:szCs w:val="24"/>
        </w:rPr>
        <w:t xml:space="preserve"> aspect of human diversity and humanity.  </w:t>
      </w:r>
      <w:r w:rsidR="001B4E36">
        <w:rPr>
          <w:rFonts w:cs="Calibri"/>
          <w:sz w:val="24"/>
          <w:szCs w:val="24"/>
        </w:rPr>
        <w:t xml:space="preserve">Using a medical framework to </w:t>
      </w:r>
      <w:proofErr w:type="spellStart"/>
      <w:r w:rsidR="001B4E36">
        <w:rPr>
          <w:rFonts w:cs="Calibri"/>
          <w:sz w:val="24"/>
          <w:szCs w:val="24"/>
        </w:rPr>
        <w:t>pathologise</w:t>
      </w:r>
      <w:proofErr w:type="spellEnd"/>
      <w:r w:rsidR="001B4E36">
        <w:rPr>
          <w:rFonts w:cs="Calibri"/>
          <w:sz w:val="24"/>
          <w:szCs w:val="24"/>
        </w:rPr>
        <w:t xml:space="preserve">, define or assert authority over intersex people / people born with variations of sex characteristics is contrary to their human rights. </w:t>
      </w:r>
    </w:p>
    <w:p w14:paraId="370B9DFD" w14:textId="3C2E0B04" w:rsidR="00251677" w:rsidRDefault="002A26A0" w:rsidP="009358B7">
      <w:pPr>
        <w:spacing w:before="240" w:after="240"/>
        <w:ind w:left="709" w:hanging="709"/>
        <w:rPr>
          <w:rFonts w:cs="Calibri"/>
          <w:sz w:val="24"/>
          <w:szCs w:val="24"/>
        </w:rPr>
      </w:pPr>
      <w:r>
        <w:rPr>
          <w:rFonts w:cs="Calibri"/>
          <w:sz w:val="24"/>
          <w:szCs w:val="24"/>
        </w:rPr>
        <w:t>4.8</w:t>
      </w:r>
      <w:r>
        <w:rPr>
          <w:rFonts w:cs="Calibri"/>
          <w:sz w:val="24"/>
          <w:szCs w:val="24"/>
        </w:rPr>
        <w:tab/>
      </w:r>
      <w:r w:rsidR="009A43CF" w:rsidRPr="009A43CF">
        <w:rPr>
          <w:rFonts w:cs="Calibri"/>
          <w:i/>
          <w:sz w:val="24"/>
          <w:szCs w:val="24"/>
        </w:rPr>
        <w:t xml:space="preserve">We recommend that a human rights based understanding of intersex people / people born with variations of sex characteristics, as conceptualised in the social model </w:t>
      </w:r>
      <w:r w:rsidR="00251677">
        <w:rPr>
          <w:rFonts w:cs="Calibri"/>
          <w:i/>
          <w:sz w:val="24"/>
          <w:szCs w:val="24"/>
        </w:rPr>
        <w:t xml:space="preserve">of disability </w:t>
      </w:r>
      <w:r w:rsidR="009A43CF" w:rsidRPr="009A43CF">
        <w:rPr>
          <w:rFonts w:cs="Calibri"/>
          <w:i/>
          <w:sz w:val="24"/>
          <w:szCs w:val="24"/>
        </w:rPr>
        <w:t xml:space="preserve">and the CRPD, is understood and applied by the medical profession, including in </w:t>
      </w:r>
      <w:r w:rsidR="009358B7">
        <w:rPr>
          <w:rFonts w:cs="Calibri"/>
          <w:i/>
          <w:sz w:val="24"/>
          <w:szCs w:val="24"/>
        </w:rPr>
        <w:t xml:space="preserve">guidelines, </w:t>
      </w:r>
      <w:r w:rsidR="002E66CB">
        <w:rPr>
          <w:rFonts w:cs="Calibri"/>
          <w:i/>
          <w:sz w:val="24"/>
          <w:szCs w:val="24"/>
        </w:rPr>
        <w:t xml:space="preserve">clinical narratives and </w:t>
      </w:r>
      <w:r w:rsidR="00E02097">
        <w:rPr>
          <w:rFonts w:cs="Calibri"/>
          <w:i/>
          <w:sz w:val="24"/>
          <w:szCs w:val="24"/>
        </w:rPr>
        <w:t xml:space="preserve">all </w:t>
      </w:r>
      <w:r w:rsidR="009A43CF" w:rsidRPr="009A43CF">
        <w:rPr>
          <w:rFonts w:cs="Calibri"/>
          <w:i/>
          <w:sz w:val="24"/>
          <w:szCs w:val="24"/>
        </w:rPr>
        <w:t>medical training and professional development.</w:t>
      </w:r>
      <w:r w:rsidR="009A43CF">
        <w:rPr>
          <w:rFonts w:cs="Calibri"/>
          <w:sz w:val="24"/>
          <w:szCs w:val="24"/>
        </w:rPr>
        <w:t xml:space="preserve">  </w:t>
      </w:r>
    </w:p>
    <w:p w14:paraId="6594DC3B" w14:textId="4D696DCC" w:rsidR="009A43CF" w:rsidRDefault="009358B7" w:rsidP="009358B7">
      <w:pPr>
        <w:spacing w:before="120"/>
        <w:ind w:left="709" w:hanging="709"/>
        <w:rPr>
          <w:rFonts w:cs="Calibri"/>
          <w:sz w:val="24"/>
          <w:szCs w:val="24"/>
        </w:rPr>
      </w:pPr>
      <w:r>
        <w:rPr>
          <w:rFonts w:cs="Calibri"/>
          <w:sz w:val="24"/>
          <w:szCs w:val="24"/>
        </w:rPr>
        <w:t>4.9</w:t>
      </w:r>
      <w:r>
        <w:rPr>
          <w:rFonts w:cs="Calibri"/>
          <w:sz w:val="24"/>
          <w:szCs w:val="24"/>
        </w:rPr>
        <w:tab/>
      </w:r>
      <w:r w:rsidR="00215F4A" w:rsidRPr="002E66CB">
        <w:rPr>
          <w:rFonts w:cs="Calibri"/>
          <w:i/>
          <w:sz w:val="24"/>
          <w:szCs w:val="24"/>
        </w:rPr>
        <w:t xml:space="preserve">Intersex led organisations should be integral to the design, delivery and evaluation of </w:t>
      </w:r>
      <w:r w:rsidRPr="002E66CB">
        <w:rPr>
          <w:rFonts w:cs="Calibri"/>
          <w:i/>
          <w:sz w:val="24"/>
          <w:szCs w:val="24"/>
        </w:rPr>
        <w:t xml:space="preserve">a human rights understanding of intersex people for the medical profession, including associated training and professional development.  Any </w:t>
      </w:r>
      <w:r w:rsidR="00E02097" w:rsidRPr="002E66CB">
        <w:rPr>
          <w:rFonts w:cs="Calibri"/>
          <w:i/>
          <w:sz w:val="24"/>
          <w:szCs w:val="24"/>
        </w:rPr>
        <w:t>training and professional development should</w:t>
      </w:r>
      <w:r w:rsidR="002E66CB" w:rsidRPr="002E66CB">
        <w:rPr>
          <w:rFonts w:cs="Calibri"/>
          <w:i/>
          <w:sz w:val="24"/>
          <w:szCs w:val="24"/>
        </w:rPr>
        <w:t xml:space="preserve"> also</w:t>
      </w:r>
      <w:r w:rsidR="00E02097" w:rsidRPr="002E66CB">
        <w:rPr>
          <w:rFonts w:cs="Calibri"/>
          <w:i/>
          <w:sz w:val="24"/>
          <w:szCs w:val="24"/>
        </w:rPr>
        <w:t xml:space="preserve"> include incorporation of </w:t>
      </w:r>
      <w:r w:rsidR="00251677" w:rsidRPr="002E66CB">
        <w:rPr>
          <w:rFonts w:cs="Calibri"/>
          <w:i/>
          <w:sz w:val="24"/>
          <w:szCs w:val="24"/>
        </w:rPr>
        <w:t xml:space="preserve">human rights </w:t>
      </w:r>
      <w:r w:rsidR="00251677" w:rsidRPr="002E66CB">
        <w:rPr>
          <w:rFonts w:cs="Calibri"/>
          <w:i/>
          <w:sz w:val="24"/>
          <w:szCs w:val="24"/>
        </w:rPr>
        <w:lastRenderedPageBreak/>
        <w:t xml:space="preserve">affirming </w:t>
      </w:r>
      <w:r w:rsidRPr="002E66CB">
        <w:rPr>
          <w:rFonts w:cs="Calibri"/>
          <w:i/>
          <w:sz w:val="24"/>
          <w:szCs w:val="24"/>
        </w:rPr>
        <w:t xml:space="preserve">national guidelines, which should be </w:t>
      </w:r>
      <w:r w:rsidR="00E02097" w:rsidRPr="002E66CB">
        <w:rPr>
          <w:rFonts w:cs="Calibri"/>
          <w:i/>
          <w:sz w:val="24"/>
          <w:szCs w:val="24"/>
        </w:rPr>
        <w:t xml:space="preserve">developed according to the core principles </w:t>
      </w:r>
      <w:r w:rsidR="00251677" w:rsidRPr="002E66CB">
        <w:rPr>
          <w:rFonts w:cs="Calibri"/>
          <w:i/>
          <w:sz w:val="24"/>
          <w:szCs w:val="24"/>
        </w:rPr>
        <w:t>and content</w:t>
      </w:r>
      <w:r w:rsidRPr="002E66CB">
        <w:rPr>
          <w:rFonts w:cs="Calibri"/>
          <w:i/>
          <w:sz w:val="24"/>
          <w:szCs w:val="24"/>
        </w:rPr>
        <w:t xml:space="preserve"> recommended for national guidelines by </w:t>
      </w:r>
      <w:r w:rsidR="00251677" w:rsidRPr="002E66CB">
        <w:rPr>
          <w:rFonts w:cs="Calibri"/>
          <w:i/>
          <w:sz w:val="24"/>
          <w:szCs w:val="24"/>
        </w:rPr>
        <w:t>IHRA.</w:t>
      </w:r>
      <w:r w:rsidR="00251677">
        <w:rPr>
          <w:rStyle w:val="FootnoteReference"/>
          <w:rFonts w:cs="Calibri"/>
          <w:sz w:val="24"/>
          <w:szCs w:val="24"/>
        </w:rPr>
        <w:footnoteReference w:id="25"/>
      </w:r>
    </w:p>
    <w:p w14:paraId="304A20D8" w14:textId="0717A21C" w:rsidR="0084069F" w:rsidRPr="005629B0" w:rsidRDefault="00DF69A2" w:rsidP="0084069F">
      <w:pPr>
        <w:pStyle w:val="Heading1"/>
        <w:ind w:hanging="720"/>
      </w:pPr>
      <w:bookmarkStart w:id="5" w:name="_Toc526192181"/>
      <w:r>
        <w:t>Legal Capacity</w:t>
      </w:r>
      <w:bookmarkEnd w:id="5"/>
    </w:p>
    <w:p w14:paraId="316D459E" w14:textId="77777777" w:rsidR="0084069F" w:rsidRPr="005629B0" w:rsidRDefault="0084069F" w:rsidP="0084069F">
      <w:pPr>
        <w:pBdr>
          <w:bottom w:val="single" w:sz="12" w:space="1" w:color="auto"/>
        </w:pBdr>
        <w:jc w:val="right"/>
        <w:rPr>
          <w:sz w:val="16"/>
          <w:szCs w:val="16"/>
        </w:rPr>
      </w:pPr>
    </w:p>
    <w:p w14:paraId="5EB0F764" w14:textId="6DF9F747" w:rsidR="00B6344B" w:rsidRDefault="005A58AC" w:rsidP="002E66CB">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 xml:space="preserve">5.1 </w:t>
      </w:r>
      <w:r>
        <w:rPr>
          <w:rFonts w:cs="Calibri"/>
          <w:sz w:val="24"/>
          <w:szCs w:val="24"/>
          <w:lang w:val="en-US"/>
        </w:rPr>
        <w:tab/>
      </w:r>
      <w:r w:rsidR="00533B01">
        <w:rPr>
          <w:rFonts w:cs="Calibri"/>
          <w:sz w:val="24"/>
          <w:szCs w:val="24"/>
          <w:lang w:val="en-US"/>
        </w:rPr>
        <w:t>DPO Australia is concerned about reference</w:t>
      </w:r>
      <w:r w:rsidR="002E66CB">
        <w:rPr>
          <w:rFonts w:cs="Calibri"/>
          <w:sz w:val="24"/>
          <w:szCs w:val="24"/>
          <w:lang w:val="en-US"/>
        </w:rPr>
        <w:t>s</w:t>
      </w:r>
      <w:r w:rsidR="00533B01">
        <w:rPr>
          <w:rFonts w:cs="Calibri"/>
          <w:sz w:val="24"/>
          <w:szCs w:val="24"/>
          <w:lang w:val="en-US"/>
        </w:rPr>
        <w:t xml:space="preserve"> in the Consultation Paper to persons that do “not have the legal capacity to provide consent” and to “adults who lack legal capacity”</w:t>
      </w:r>
      <w:r w:rsidR="002E66CB">
        <w:rPr>
          <w:rFonts w:cs="Calibri"/>
          <w:sz w:val="24"/>
          <w:szCs w:val="24"/>
          <w:lang w:val="en-US"/>
        </w:rPr>
        <w:t xml:space="preserve"> and similar phrases</w:t>
      </w:r>
      <w:r w:rsidR="00533B01">
        <w:rPr>
          <w:rFonts w:cs="Calibri"/>
          <w:sz w:val="24"/>
          <w:szCs w:val="24"/>
          <w:lang w:val="en-US"/>
        </w:rPr>
        <w:t>.</w:t>
      </w:r>
      <w:r w:rsidR="002E66CB">
        <w:rPr>
          <w:rStyle w:val="FootnoteReference"/>
          <w:rFonts w:cs="Calibri"/>
          <w:sz w:val="24"/>
          <w:szCs w:val="24"/>
          <w:lang w:val="en-US"/>
        </w:rPr>
        <w:footnoteReference w:id="26"/>
      </w:r>
      <w:r w:rsidR="002E66CB">
        <w:rPr>
          <w:rFonts w:cs="Calibri"/>
          <w:sz w:val="24"/>
          <w:szCs w:val="24"/>
          <w:lang w:val="en-US"/>
        </w:rPr>
        <w:t xml:space="preserve"> </w:t>
      </w:r>
      <w:r w:rsidR="00357D0B">
        <w:rPr>
          <w:rFonts w:cs="Calibri"/>
          <w:sz w:val="24"/>
          <w:szCs w:val="24"/>
          <w:lang w:val="en-US"/>
        </w:rPr>
        <w:t xml:space="preserve">While much of the </w:t>
      </w:r>
      <w:r w:rsidR="00B6344B">
        <w:rPr>
          <w:rFonts w:cs="Calibri"/>
          <w:sz w:val="24"/>
          <w:szCs w:val="24"/>
          <w:lang w:val="en-US"/>
        </w:rPr>
        <w:t xml:space="preserve">discussion in the Consultation Paper is in the context of infants and children who </w:t>
      </w:r>
      <w:r w:rsidR="00FD54D9">
        <w:rPr>
          <w:rFonts w:cs="Calibri"/>
          <w:sz w:val="24"/>
          <w:szCs w:val="24"/>
          <w:lang w:val="en-US"/>
        </w:rPr>
        <w:t>are</w:t>
      </w:r>
      <w:r w:rsidR="00B6344B">
        <w:rPr>
          <w:rFonts w:cs="Calibri"/>
          <w:sz w:val="24"/>
          <w:szCs w:val="24"/>
          <w:lang w:val="en-US"/>
        </w:rPr>
        <w:t xml:space="preserve"> unable to provide consent</w:t>
      </w:r>
      <w:r w:rsidR="00AA04C7">
        <w:rPr>
          <w:rFonts w:cs="Calibri"/>
          <w:sz w:val="24"/>
          <w:szCs w:val="24"/>
          <w:lang w:val="en-US"/>
        </w:rPr>
        <w:t xml:space="preserve"> to medical treatment</w:t>
      </w:r>
      <w:r w:rsidR="00B6344B">
        <w:rPr>
          <w:rFonts w:cs="Calibri"/>
          <w:sz w:val="24"/>
          <w:szCs w:val="24"/>
          <w:lang w:val="en-US"/>
        </w:rPr>
        <w:t xml:space="preserve">, </w:t>
      </w:r>
      <w:r w:rsidR="00FD54D9">
        <w:rPr>
          <w:rFonts w:cs="Calibri"/>
          <w:sz w:val="24"/>
          <w:szCs w:val="24"/>
          <w:lang w:val="en-US"/>
        </w:rPr>
        <w:t>issues of</w:t>
      </w:r>
      <w:r w:rsidR="00B6344B">
        <w:rPr>
          <w:rFonts w:cs="Calibri"/>
          <w:sz w:val="24"/>
          <w:szCs w:val="24"/>
          <w:lang w:val="en-US"/>
        </w:rPr>
        <w:t xml:space="preserve"> consent and legal capacity must comply with human rights, and specifically </w:t>
      </w:r>
      <w:r w:rsidR="00435EBB">
        <w:rPr>
          <w:rFonts w:cs="Calibri"/>
          <w:sz w:val="24"/>
          <w:szCs w:val="24"/>
          <w:lang w:val="en-US"/>
        </w:rPr>
        <w:t xml:space="preserve">article 12 of </w:t>
      </w:r>
      <w:r w:rsidR="00B6344B">
        <w:rPr>
          <w:rFonts w:cs="Calibri"/>
          <w:sz w:val="24"/>
          <w:szCs w:val="24"/>
          <w:lang w:val="en-US"/>
        </w:rPr>
        <w:t>the CRPD.</w:t>
      </w:r>
      <w:r w:rsidR="00FD54D9">
        <w:rPr>
          <w:rFonts w:cs="Calibri"/>
          <w:sz w:val="24"/>
          <w:szCs w:val="24"/>
          <w:lang w:val="en-US"/>
        </w:rPr>
        <w:t xml:space="preserve"> </w:t>
      </w:r>
    </w:p>
    <w:p w14:paraId="77F7AEC7" w14:textId="2088462F" w:rsidR="00B6344B" w:rsidRDefault="00B6344B" w:rsidP="002E66CB">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5.2</w:t>
      </w:r>
      <w:r>
        <w:rPr>
          <w:rFonts w:cs="Calibri"/>
          <w:sz w:val="24"/>
          <w:szCs w:val="24"/>
          <w:lang w:val="en-US"/>
        </w:rPr>
        <w:tab/>
      </w:r>
      <w:r w:rsidR="00FD54D9">
        <w:rPr>
          <w:rFonts w:cs="Calibri"/>
          <w:sz w:val="24"/>
          <w:szCs w:val="24"/>
          <w:lang w:val="en-US"/>
        </w:rPr>
        <w:t xml:space="preserve">The term </w:t>
      </w:r>
      <w:r>
        <w:rPr>
          <w:rFonts w:cs="Calibri"/>
          <w:sz w:val="24"/>
          <w:szCs w:val="24"/>
          <w:lang w:val="en-US"/>
        </w:rPr>
        <w:t>‘lack of legal capacity</w:t>
      </w:r>
      <w:r w:rsidR="00FD54D9">
        <w:rPr>
          <w:rFonts w:cs="Calibri"/>
          <w:sz w:val="24"/>
          <w:szCs w:val="24"/>
          <w:lang w:val="en-US"/>
        </w:rPr>
        <w:t xml:space="preserve">’, particularly in the context of adults, is directed at  </w:t>
      </w:r>
      <w:r>
        <w:rPr>
          <w:rFonts w:cs="Calibri"/>
          <w:sz w:val="24"/>
          <w:szCs w:val="24"/>
          <w:lang w:val="en-US"/>
        </w:rPr>
        <w:t>people with disability</w:t>
      </w:r>
      <w:r w:rsidR="00AA04C7">
        <w:rPr>
          <w:rFonts w:cs="Calibri"/>
          <w:sz w:val="24"/>
          <w:szCs w:val="24"/>
          <w:lang w:val="en-US"/>
        </w:rPr>
        <w:t xml:space="preserve">, </w:t>
      </w:r>
      <w:r w:rsidR="00FC75B8">
        <w:rPr>
          <w:rFonts w:cs="Calibri"/>
          <w:sz w:val="24"/>
          <w:szCs w:val="24"/>
          <w:lang w:val="en-US"/>
        </w:rPr>
        <w:t>disproportionately</w:t>
      </w:r>
      <w:r w:rsidR="00AA04C7">
        <w:rPr>
          <w:rFonts w:cs="Calibri"/>
          <w:sz w:val="24"/>
          <w:szCs w:val="24"/>
          <w:lang w:val="en-US"/>
        </w:rPr>
        <w:t xml:space="preserve"> those with cognitive and psychosocial disability</w:t>
      </w:r>
      <w:r>
        <w:rPr>
          <w:rFonts w:cs="Calibri"/>
          <w:sz w:val="24"/>
          <w:szCs w:val="24"/>
          <w:lang w:val="en-US"/>
        </w:rPr>
        <w:t xml:space="preserve"> who are </w:t>
      </w:r>
      <w:r w:rsidR="00FD54D9">
        <w:rPr>
          <w:rFonts w:cs="Calibri"/>
          <w:sz w:val="24"/>
          <w:szCs w:val="24"/>
          <w:lang w:val="en-US"/>
        </w:rPr>
        <w:t xml:space="preserve">deemed not to have decision-making ability and require substitute decision-making mechanisms, such as guardianship to make decisions on their behalf.  </w:t>
      </w:r>
      <w:r w:rsidR="00FC75B8">
        <w:rPr>
          <w:rFonts w:cs="Calibri"/>
          <w:sz w:val="24"/>
          <w:szCs w:val="24"/>
          <w:lang w:val="en-US"/>
        </w:rPr>
        <w:t>Under guardianship, a</w:t>
      </w:r>
      <w:r>
        <w:rPr>
          <w:rFonts w:cs="Calibri"/>
          <w:sz w:val="24"/>
          <w:szCs w:val="24"/>
          <w:lang w:val="en-US"/>
        </w:rPr>
        <w:t xml:space="preserve"> substitute decision-maker </w:t>
      </w:r>
      <w:r w:rsidR="00FD54D9">
        <w:rPr>
          <w:rFonts w:cs="Calibri"/>
          <w:sz w:val="24"/>
          <w:szCs w:val="24"/>
          <w:lang w:val="en-US"/>
        </w:rPr>
        <w:t>can</w:t>
      </w:r>
      <w:r>
        <w:rPr>
          <w:rFonts w:cs="Calibri"/>
          <w:sz w:val="24"/>
          <w:szCs w:val="24"/>
          <w:lang w:val="en-US"/>
        </w:rPr>
        <w:t xml:space="preserve"> </w:t>
      </w:r>
      <w:r w:rsidR="00AA04C7">
        <w:rPr>
          <w:rFonts w:cs="Calibri"/>
          <w:sz w:val="24"/>
          <w:szCs w:val="24"/>
          <w:lang w:val="en-US"/>
        </w:rPr>
        <w:t xml:space="preserve">legally make </w:t>
      </w:r>
      <w:r>
        <w:rPr>
          <w:rFonts w:cs="Calibri"/>
          <w:sz w:val="24"/>
          <w:szCs w:val="24"/>
          <w:lang w:val="en-US"/>
        </w:rPr>
        <w:t>decisions on behalf of the person, including decisions in relation to ‘special medical procedures’</w:t>
      </w:r>
      <w:r w:rsidR="00FD54D9">
        <w:rPr>
          <w:rFonts w:cs="Calibri"/>
          <w:sz w:val="24"/>
          <w:szCs w:val="24"/>
          <w:lang w:val="en-US"/>
        </w:rPr>
        <w:t xml:space="preserve">. </w:t>
      </w:r>
    </w:p>
    <w:p w14:paraId="139F9D3E" w14:textId="509BF534" w:rsidR="00AA04C7" w:rsidRPr="00654FD0" w:rsidRDefault="00B6344B" w:rsidP="002E66CB">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rPr>
      </w:pPr>
      <w:r w:rsidRPr="00654FD0">
        <w:rPr>
          <w:rFonts w:cs="Calibri"/>
          <w:sz w:val="24"/>
          <w:szCs w:val="24"/>
        </w:rPr>
        <w:t xml:space="preserve">5.3 </w:t>
      </w:r>
      <w:r w:rsidRPr="00654FD0">
        <w:rPr>
          <w:rFonts w:cs="Calibri"/>
          <w:sz w:val="24"/>
          <w:szCs w:val="24"/>
        </w:rPr>
        <w:tab/>
        <w:t xml:space="preserve">Article 12 of the CRPD, </w:t>
      </w:r>
      <w:r w:rsidRPr="00654FD0">
        <w:rPr>
          <w:rFonts w:cs="Calibri"/>
          <w:i/>
          <w:sz w:val="24"/>
          <w:szCs w:val="24"/>
        </w:rPr>
        <w:t>Equal recognition before the law</w:t>
      </w:r>
      <w:r w:rsidRPr="00654FD0">
        <w:rPr>
          <w:rFonts w:cs="Calibri"/>
          <w:sz w:val="24"/>
          <w:szCs w:val="24"/>
        </w:rPr>
        <w:t xml:space="preserve"> affirms that all persons with disability have full legal capacity</w:t>
      </w:r>
      <w:r w:rsidR="005F4A07" w:rsidRPr="00654FD0">
        <w:rPr>
          <w:rFonts w:cs="Calibri"/>
          <w:sz w:val="24"/>
          <w:szCs w:val="24"/>
        </w:rPr>
        <w:t>.  The CRPD recognises that legal capacity is “a universal attribute inherent in all persons by virtue of their humanity and must be</w:t>
      </w:r>
      <w:r w:rsidRPr="00654FD0">
        <w:rPr>
          <w:rFonts w:cs="Calibri"/>
          <w:sz w:val="24"/>
          <w:szCs w:val="24"/>
        </w:rPr>
        <w:t xml:space="preserve"> upheld </w:t>
      </w:r>
      <w:r w:rsidR="005F4A07" w:rsidRPr="00654FD0">
        <w:rPr>
          <w:rFonts w:cs="Calibri"/>
          <w:sz w:val="24"/>
          <w:szCs w:val="24"/>
        </w:rPr>
        <w:t xml:space="preserve">for persons with disabilities </w:t>
      </w:r>
      <w:r w:rsidRPr="00654FD0">
        <w:rPr>
          <w:rFonts w:cs="Calibri"/>
          <w:sz w:val="24"/>
          <w:szCs w:val="24"/>
        </w:rPr>
        <w:t>on an equal basis with others</w:t>
      </w:r>
      <w:r w:rsidR="005F4A07" w:rsidRPr="00654FD0">
        <w:rPr>
          <w:rFonts w:cs="Calibri"/>
          <w:sz w:val="24"/>
          <w:szCs w:val="24"/>
        </w:rPr>
        <w:t>”</w:t>
      </w:r>
      <w:r w:rsidRPr="00654FD0">
        <w:rPr>
          <w:rFonts w:cs="Calibri"/>
          <w:sz w:val="24"/>
          <w:szCs w:val="24"/>
        </w:rPr>
        <w:t>.</w:t>
      </w:r>
      <w:r w:rsidR="002E66CB" w:rsidRPr="00654FD0">
        <w:rPr>
          <w:rStyle w:val="FootnoteReference"/>
          <w:rFonts w:cs="Calibri"/>
          <w:sz w:val="24"/>
          <w:szCs w:val="24"/>
        </w:rPr>
        <w:footnoteReference w:id="27"/>
      </w:r>
      <w:r w:rsidR="00654FD0" w:rsidRPr="00654FD0">
        <w:rPr>
          <w:rFonts w:cs="Calibri"/>
          <w:sz w:val="24"/>
          <w:szCs w:val="24"/>
        </w:rPr>
        <w:t xml:space="preserve"> </w:t>
      </w:r>
      <w:r w:rsidRPr="00654FD0">
        <w:rPr>
          <w:rFonts w:cs="Calibri"/>
          <w:sz w:val="24"/>
          <w:szCs w:val="24"/>
        </w:rPr>
        <w:t xml:space="preserve"> </w:t>
      </w:r>
    </w:p>
    <w:p w14:paraId="274C6FA2" w14:textId="5AB9F7FD" w:rsidR="00AA04C7" w:rsidRPr="00654FD0" w:rsidRDefault="00AA04C7" w:rsidP="002E66CB">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rPr>
      </w:pPr>
      <w:r w:rsidRPr="00654FD0">
        <w:rPr>
          <w:rFonts w:cs="Calibri"/>
          <w:sz w:val="24"/>
          <w:szCs w:val="24"/>
        </w:rPr>
        <w:t>5.4</w:t>
      </w:r>
      <w:r w:rsidRPr="00654FD0">
        <w:rPr>
          <w:rFonts w:cs="Calibri"/>
          <w:sz w:val="24"/>
          <w:szCs w:val="24"/>
        </w:rPr>
        <w:tab/>
      </w:r>
      <w:r w:rsidR="00B6344B" w:rsidRPr="00654FD0">
        <w:rPr>
          <w:rFonts w:cs="Calibri"/>
          <w:sz w:val="24"/>
          <w:szCs w:val="24"/>
        </w:rPr>
        <w:t xml:space="preserve">The General Comment </w:t>
      </w:r>
      <w:r w:rsidR="00FD54D9" w:rsidRPr="00654FD0">
        <w:rPr>
          <w:rFonts w:cs="Calibri"/>
          <w:sz w:val="24"/>
          <w:szCs w:val="24"/>
        </w:rPr>
        <w:t xml:space="preserve">on article 12 of the CRPD </w:t>
      </w:r>
      <w:r w:rsidR="00B6344B" w:rsidRPr="00654FD0">
        <w:rPr>
          <w:rFonts w:cs="Calibri"/>
          <w:sz w:val="24"/>
          <w:szCs w:val="24"/>
        </w:rPr>
        <w:t xml:space="preserve">issued by the Committee on the Rights of Persons with Disabilities provides clear interpretation and guidance for States Parties with regards to their obligations in </w:t>
      </w:r>
      <w:r w:rsidR="00654FD0">
        <w:rPr>
          <w:rFonts w:cs="Calibri"/>
          <w:sz w:val="24"/>
          <w:szCs w:val="24"/>
        </w:rPr>
        <w:t>the recognition of legal capacity and the need to provide decision-making supports to assist people with disability to exercise their legal capacity.</w:t>
      </w:r>
      <w:r w:rsidR="00654FD0">
        <w:rPr>
          <w:rStyle w:val="FootnoteReference"/>
          <w:rFonts w:cs="Calibri"/>
          <w:sz w:val="24"/>
          <w:szCs w:val="24"/>
        </w:rPr>
        <w:footnoteReference w:id="28"/>
      </w:r>
      <w:r w:rsidR="00654FD0">
        <w:rPr>
          <w:rFonts w:cs="Calibri"/>
          <w:sz w:val="24"/>
          <w:szCs w:val="24"/>
        </w:rPr>
        <w:t xml:space="preserve">  </w:t>
      </w:r>
      <w:r w:rsidRPr="00654FD0">
        <w:rPr>
          <w:rFonts w:cs="Calibri"/>
          <w:sz w:val="24"/>
          <w:szCs w:val="24"/>
        </w:rPr>
        <w:t xml:space="preserve"> </w:t>
      </w:r>
    </w:p>
    <w:p w14:paraId="7A198778" w14:textId="317AB656" w:rsidR="00FD54D9" w:rsidRDefault="00AA04C7" w:rsidP="00654FD0">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sidRPr="00654FD0">
        <w:rPr>
          <w:rFonts w:cs="Calibri"/>
          <w:sz w:val="24"/>
          <w:szCs w:val="24"/>
        </w:rPr>
        <w:t>5.5</w:t>
      </w:r>
      <w:r w:rsidRPr="00654FD0">
        <w:rPr>
          <w:rFonts w:cs="Calibri"/>
          <w:sz w:val="24"/>
          <w:szCs w:val="24"/>
        </w:rPr>
        <w:tab/>
        <w:t>Recognition of l</w:t>
      </w:r>
      <w:r w:rsidR="005E66F4" w:rsidRPr="00654FD0">
        <w:rPr>
          <w:rFonts w:cs="Calibri"/>
          <w:sz w:val="24"/>
          <w:szCs w:val="24"/>
        </w:rPr>
        <w:t xml:space="preserve">egal capacity </w:t>
      </w:r>
      <w:r w:rsidRPr="00654FD0">
        <w:rPr>
          <w:rFonts w:cs="Calibri"/>
          <w:sz w:val="24"/>
          <w:szCs w:val="24"/>
        </w:rPr>
        <w:t xml:space="preserve">underpins the realisation of </w:t>
      </w:r>
      <w:r w:rsidR="00435EBB" w:rsidRPr="00654FD0">
        <w:rPr>
          <w:rFonts w:cs="Calibri"/>
          <w:sz w:val="24"/>
          <w:szCs w:val="24"/>
        </w:rPr>
        <w:t xml:space="preserve">many other </w:t>
      </w:r>
      <w:r w:rsidRPr="00654FD0">
        <w:rPr>
          <w:rFonts w:cs="Calibri"/>
          <w:sz w:val="24"/>
          <w:szCs w:val="24"/>
        </w:rPr>
        <w:t>rights contained in the CRPD</w:t>
      </w:r>
      <w:r w:rsidR="00435EBB" w:rsidRPr="00654FD0">
        <w:rPr>
          <w:rFonts w:cs="Calibri"/>
          <w:sz w:val="24"/>
          <w:szCs w:val="24"/>
        </w:rPr>
        <w:t xml:space="preserve">.  </w:t>
      </w:r>
      <w:r w:rsidR="00FD54D9" w:rsidRPr="00654FD0">
        <w:rPr>
          <w:rFonts w:cs="Calibri"/>
          <w:sz w:val="24"/>
          <w:szCs w:val="24"/>
        </w:rPr>
        <w:t>Th</w:t>
      </w:r>
      <w:r w:rsidR="00654FD0">
        <w:rPr>
          <w:rFonts w:cs="Calibri"/>
          <w:sz w:val="24"/>
          <w:szCs w:val="24"/>
        </w:rPr>
        <w:t>e</w:t>
      </w:r>
      <w:r w:rsidR="00FD54D9" w:rsidRPr="00654FD0">
        <w:rPr>
          <w:rFonts w:cs="Calibri"/>
          <w:sz w:val="24"/>
          <w:szCs w:val="24"/>
        </w:rPr>
        <w:t xml:space="preserve"> General Comment emphasises that “the concepts of mental and legal capacity” are often conflated, so that where a person, usually a person with cognitive or psychosocial disability, is considered to have impaired decision-making skills, their legal capacity is removed.</w:t>
      </w:r>
      <w:r w:rsidR="00654FD0">
        <w:rPr>
          <w:rStyle w:val="FootnoteReference"/>
          <w:rFonts w:cs="Calibri"/>
          <w:sz w:val="24"/>
          <w:szCs w:val="24"/>
        </w:rPr>
        <w:footnoteReference w:id="29"/>
      </w:r>
      <w:r w:rsidR="00654FD0">
        <w:rPr>
          <w:rFonts w:cs="Calibri"/>
          <w:sz w:val="24"/>
          <w:szCs w:val="24"/>
        </w:rPr>
        <w:t xml:space="preserve">  This d</w:t>
      </w:r>
      <w:r w:rsidR="00435EBB" w:rsidRPr="00654FD0">
        <w:rPr>
          <w:rFonts w:cs="Calibri"/>
          <w:sz w:val="24"/>
          <w:szCs w:val="24"/>
        </w:rPr>
        <w:t xml:space="preserve">enial of legal capacity leads to a range of human rights violations, including forced medical interventions and treatments, forced sterilisation and other practices, and breaches of human </w:t>
      </w:r>
      <w:r w:rsidR="00435EBB" w:rsidRPr="00654FD0">
        <w:rPr>
          <w:rFonts w:cs="Calibri"/>
          <w:sz w:val="24"/>
          <w:szCs w:val="24"/>
        </w:rPr>
        <w:lastRenderedPageBreak/>
        <w:t>rights including the right to respect for physical and mental integrity</w:t>
      </w:r>
      <w:r w:rsidR="00435EBB">
        <w:rPr>
          <w:rFonts w:cs="Calibri"/>
          <w:sz w:val="24"/>
          <w:szCs w:val="24"/>
          <w:lang w:val="en-US"/>
        </w:rPr>
        <w:t xml:space="preserve"> (</w:t>
      </w:r>
      <w:r w:rsidR="00654FD0">
        <w:rPr>
          <w:rFonts w:cs="Calibri"/>
          <w:sz w:val="24"/>
          <w:szCs w:val="24"/>
          <w:lang w:val="en-US"/>
        </w:rPr>
        <w:t xml:space="preserve">CRPD </w:t>
      </w:r>
      <w:r w:rsidR="00435EBB">
        <w:rPr>
          <w:rFonts w:cs="Calibri"/>
          <w:sz w:val="24"/>
          <w:szCs w:val="24"/>
          <w:lang w:val="en-US"/>
        </w:rPr>
        <w:t>article 17) and the right to consent to medical treatment (</w:t>
      </w:r>
      <w:r w:rsidR="00654FD0">
        <w:rPr>
          <w:rFonts w:cs="Calibri"/>
          <w:sz w:val="24"/>
          <w:szCs w:val="24"/>
          <w:lang w:val="en-US"/>
        </w:rPr>
        <w:t xml:space="preserve">CRPD </w:t>
      </w:r>
      <w:r w:rsidR="00435EBB">
        <w:rPr>
          <w:rFonts w:cs="Calibri"/>
          <w:sz w:val="24"/>
          <w:szCs w:val="24"/>
          <w:lang w:val="en-US"/>
        </w:rPr>
        <w:t xml:space="preserve">article 25).  </w:t>
      </w:r>
    </w:p>
    <w:p w14:paraId="4B65E8E4" w14:textId="3B87B44A" w:rsidR="00FD54D9" w:rsidRDefault="00FD54D9" w:rsidP="00654FD0">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5.6</w:t>
      </w:r>
      <w:r>
        <w:rPr>
          <w:rFonts w:cs="Calibri"/>
          <w:sz w:val="24"/>
          <w:szCs w:val="24"/>
          <w:lang w:val="en-US"/>
        </w:rPr>
        <w:tab/>
        <w:t xml:space="preserve">The CRPD requires States Parties to abolish the legal and policy framework that allows substitute decision making, and to restore full legal capacity to people with disability.  This requires a shift to supported decision-making systems that focus on the formal and informal supports required by individuals with disability to exercise their legal capacity.  </w:t>
      </w:r>
      <w:r w:rsidR="0067484E">
        <w:rPr>
          <w:rFonts w:cs="Calibri"/>
          <w:sz w:val="24"/>
          <w:szCs w:val="24"/>
          <w:lang w:val="en-US"/>
        </w:rPr>
        <w:t>Safeguards must be embedded in the support system to protect against abuse and undue influence, but these safeguards “must respect the rights, will and preferences of the person, including the right to take risks and make mistakes”.</w:t>
      </w:r>
      <w:r w:rsidR="0067484E">
        <w:rPr>
          <w:rStyle w:val="FootnoteReference"/>
          <w:rFonts w:cs="Calibri"/>
          <w:sz w:val="24"/>
          <w:szCs w:val="24"/>
          <w:lang w:val="en-US"/>
        </w:rPr>
        <w:footnoteReference w:id="30"/>
      </w:r>
    </w:p>
    <w:p w14:paraId="7D4C9D26" w14:textId="133FD848" w:rsidR="003E57DA" w:rsidRDefault="00FD54D9" w:rsidP="00654FD0">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5.7</w:t>
      </w:r>
      <w:r>
        <w:rPr>
          <w:rFonts w:cs="Calibri"/>
          <w:sz w:val="24"/>
          <w:szCs w:val="24"/>
          <w:lang w:val="en-US"/>
        </w:rPr>
        <w:tab/>
      </w:r>
      <w:r w:rsidR="00E11C1E">
        <w:rPr>
          <w:rFonts w:cs="Calibri"/>
          <w:sz w:val="24"/>
          <w:szCs w:val="24"/>
          <w:lang w:val="en-US"/>
        </w:rPr>
        <w:t xml:space="preserve">While the support required will be dependent on the needs of the individual, the support “must respect the rights, will and preferences of persons with disabilities and should never amount </w:t>
      </w:r>
      <w:r w:rsidR="0067484E">
        <w:rPr>
          <w:rFonts w:cs="Calibri"/>
          <w:sz w:val="24"/>
          <w:szCs w:val="24"/>
          <w:lang w:val="en-US"/>
        </w:rPr>
        <w:t>to substitute decision-making”.</w:t>
      </w:r>
      <w:r w:rsidR="0067484E">
        <w:rPr>
          <w:rStyle w:val="FootnoteReference"/>
          <w:rFonts w:cs="Calibri"/>
          <w:sz w:val="24"/>
          <w:szCs w:val="24"/>
          <w:lang w:val="en-US"/>
        </w:rPr>
        <w:footnoteReference w:id="31"/>
      </w:r>
      <w:r w:rsidR="00E11C1E">
        <w:rPr>
          <w:rFonts w:cs="Calibri"/>
          <w:sz w:val="24"/>
          <w:szCs w:val="24"/>
          <w:lang w:val="en-US"/>
        </w:rPr>
        <w:t xml:space="preserve">  This means that formal and informal supports are directed at assisting the individual to ex</w:t>
      </w:r>
      <w:r w:rsidR="003E57DA">
        <w:rPr>
          <w:rFonts w:cs="Calibri"/>
          <w:sz w:val="24"/>
          <w:szCs w:val="24"/>
          <w:lang w:val="en-US"/>
        </w:rPr>
        <w:t xml:space="preserve">press their will and preference. </w:t>
      </w:r>
      <w:r w:rsidR="0067484E">
        <w:rPr>
          <w:rFonts w:cs="Calibri"/>
          <w:sz w:val="24"/>
          <w:szCs w:val="24"/>
          <w:lang w:val="en-US"/>
        </w:rPr>
        <w:t xml:space="preserve"> </w:t>
      </w:r>
    </w:p>
    <w:p w14:paraId="5937C0A4" w14:textId="77777777" w:rsidR="0067484E" w:rsidRDefault="003E57DA" w:rsidP="00654FD0">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5.8</w:t>
      </w:r>
      <w:r>
        <w:rPr>
          <w:rFonts w:cs="Calibri"/>
          <w:sz w:val="24"/>
          <w:szCs w:val="24"/>
          <w:lang w:val="en-US"/>
        </w:rPr>
        <w:tab/>
      </w:r>
      <w:r w:rsidR="00E11C1E">
        <w:rPr>
          <w:rFonts w:cs="Calibri"/>
          <w:sz w:val="24"/>
          <w:szCs w:val="24"/>
          <w:lang w:val="en-US"/>
        </w:rPr>
        <w:t>For adults</w:t>
      </w:r>
      <w:r>
        <w:rPr>
          <w:rFonts w:cs="Calibri"/>
          <w:sz w:val="24"/>
          <w:szCs w:val="24"/>
          <w:lang w:val="en-US"/>
        </w:rPr>
        <w:t xml:space="preserve"> with disability</w:t>
      </w:r>
      <w:r w:rsidR="00E11C1E">
        <w:rPr>
          <w:rFonts w:cs="Calibri"/>
          <w:sz w:val="24"/>
          <w:szCs w:val="24"/>
          <w:lang w:val="en-US"/>
        </w:rPr>
        <w:t xml:space="preserve">, </w:t>
      </w:r>
      <w:r>
        <w:rPr>
          <w:rFonts w:cs="Calibri"/>
          <w:sz w:val="24"/>
          <w:szCs w:val="24"/>
          <w:lang w:val="en-US"/>
        </w:rPr>
        <w:t>the ‘will and preferences’ paradigm replaces the ‘best interests’ paradigm, which “is not a safeguard which complies with article 12</w:t>
      </w:r>
      <w:r w:rsidR="0067484E">
        <w:rPr>
          <w:rFonts w:cs="Calibri"/>
          <w:sz w:val="24"/>
          <w:szCs w:val="24"/>
          <w:lang w:val="en-US"/>
        </w:rPr>
        <w:t xml:space="preserve"> in relation to adults</w:t>
      </w:r>
      <w:r>
        <w:rPr>
          <w:rFonts w:cs="Calibri"/>
          <w:sz w:val="24"/>
          <w:szCs w:val="24"/>
          <w:lang w:val="en-US"/>
        </w:rPr>
        <w:t>”.</w:t>
      </w:r>
      <w:r w:rsidR="0067484E">
        <w:rPr>
          <w:rStyle w:val="FootnoteReference"/>
          <w:rFonts w:cs="Calibri"/>
          <w:sz w:val="24"/>
          <w:szCs w:val="24"/>
          <w:lang w:val="en-US"/>
        </w:rPr>
        <w:footnoteReference w:id="32"/>
      </w:r>
      <w:r w:rsidR="0067484E">
        <w:rPr>
          <w:rFonts w:cs="Calibri"/>
          <w:sz w:val="24"/>
          <w:szCs w:val="24"/>
          <w:lang w:val="en-US"/>
        </w:rPr>
        <w:t xml:space="preserve"> </w:t>
      </w:r>
    </w:p>
    <w:p w14:paraId="1DD98591" w14:textId="4CC80326" w:rsidR="003E57DA" w:rsidRDefault="0067484E" w:rsidP="00654FD0">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5.9</w:t>
      </w:r>
      <w:r>
        <w:rPr>
          <w:rFonts w:cs="Calibri"/>
          <w:sz w:val="24"/>
          <w:szCs w:val="24"/>
          <w:lang w:val="en-US"/>
        </w:rPr>
        <w:tab/>
      </w:r>
      <w:r w:rsidR="003E57DA">
        <w:rPr>
          <w:rFonts w:cs="Calibri"/>
          <w:sz w:val="24"/>
          <w:szCs w:val="24"/>
          <w:lang w:val="en-US"/>
        </w:rPr>
        <w:t>For children, article 7 of the CRPD is consistent with the C</w:t>
      </w:r>
      <w:r>
        <w:rPr>
          <w:rFonts w:cs="Calibri"/>
          <w:sz w:val="24"/>
          <w:szCs w:val="24"/>
          <w:lang w:val="en-US"/>
        </w:rPr>
        <w:t xml:space="preserve">RC, </w:t>
      </w:r>
      <w:r w:rsidR="003E57DA">
        <w:rPr>
          <w:rFonts w:cs="Calibri"/>
          <w:sz w:val="24"/>
          <w:szCs w:val="24"/>
          <w:lang w:val="en-US"/>
        </w:rPr>
        <w:t>requiring that the best interests of the child be the primary consideration in all actions concerning children with disability.</w:t>
      </w:r>
      <w:r>
        <w:rPr>
          <w:rStyle w:val="FootnoteReference"/>
          <w:rFonts w:cs="Calibri"/>
          <w:sz w:val="24"/>
          <w:szCs w:val="24"/>
          <w:lang w:val="en-US"/>
        </w:rPr>
        <w:footnoteReference w:id="33"/>
      </w:r>
      <w:r w:rsidR="003E57DA">
        <w:rPr>
          <w:rFonts w:cs="Calibri"/>
          <w:sz w:val="24"/>
          <w:szCs w:val="24"/>
          <w:lang w:val="en-US"/>
        </w:rPr>
        <w:t xml:space="preserve">  The CRPD </w:t>
      </w:r>
      <w:proofErr w:type="spellStart"/>
      <w:r w:rsidR="003E57DA">
        <w:rPr>
          <w:rFonts w:cs="Calibri"/>
          <w:sz w:val="24"/>
          <w:szCs w:val="24"/>
          <w:lang w:val="en-US"/>
        </w:rPr>
        <w:t>recognises</w:t>
      </w:r>
      <w:proofErr w:type="spellEnd"/>
      <w:r w:rsidR="003E57DA">
        <w:rPr>
          <w:rFonts w:cs="Calibri"/>
          <w:sz w:val="24"/>
          <w:szCs w:val="24"/>
          <w:lang w:val="en-US"/>
        </w:rPr>
        <w:t xml:space="preserve"> the evolving capacities of children with disability</w:t>
      </w:r>
      <w:r w:rsidR="00F17991">
        <w:rPr>
          <w:rStyle w:val="FootnoteReference"/>
          <w:rFonts w:cs="Calibri"/>
          <w:sz w:val="24"/>
          <w:szCs w:val="24"/>
          <w:lang w:val="en-US"/>
        </w:rPr>
        <w:footnoteReference w:id="34"/>
      </w:r>
      <w:r w:rsidR="003E57DA">
        <w:rPr>
          <w:rFonts w:cs="Calibri"/>
          <w:sz w:val="24"/>
          <w:szCs w:val="24"/>
          <w:lang w:val="en-US"/>
        </w:rPr>
        <w:t xml:space="preserve"> and that they have the right to express their views freely, and for these views to be “given due weight in accordance with their age and maturity on an equal basis with other children”.</w:t>
      </w:r>
      <w:r w:rsidR="00985120">
        <w:rPr>
          <w:rStyle w:val="FootnoteReference"/>
          <w:rFonts w:cs="Calibri"/>
          <w:sz w:val="24"/>
          <w:szCs w:val="24"/>
          <w:lang w:val="en-US"/>
        </w:rPr>
        <w:footnoteReference w:id="35"/>
      </w:r>
      <w:r w:rsidR="00985120">
        <w:rPr>
          <w:rFonts w:cs="Calibri"/>
          <w:sz w:val="24"/>
          <w:szCs w:val="24"/>
          <w:lang w:val="en-US"/>
        </w:rPr>
        <w:t xml:space="preserve"> </w:t>
      </w:r>
      <w:r w:rsidR="003E57DA">
        <w:rPr>
          <w:rFonts w:cs="Calibri"/>
          <w:sz w:val="24"/>
          <w:szCs w:val="24"/>
          <w:lang w:val="en-US"/>
        </w:rPr>
        <w:t xml:space="preserve"> To comply with article 12 of the CRPD, States Parties must ensure that laws respect the views</w:t>
      </w:r>
      <w:r w:rsidR="00985120">
        <w:rPr>
          <w:rFonts w:cs="Calibri"/>
          <w:sz w:val="24"/>
          <w:szCs w:val="24"/>
          <w:lang w:val="en-US"/>
        </w:rPr>
        <w:t xml:space="preserve"> (</w:t>
      </w:r>
      <w:r w:rsidR="003E57DA">
        <w:rPr>
          <w:rFonts w:cs="Calibri"/>
          <w:sz w:val="24"/>
          <w:szCs w:val="24"/>
          <w:lang w:val="en-US"/>
        </w:rPr>
        <w:t>will and preferences</w:t>
      </w:r>
      <w:r w:rsidR="00985120">
        <w:rPr>
          <w:rFonts w:cs="Calibri"/>
          <w:sz w:val="24"/>
          <w:szCs w:val="24"/>
          <w:lang w:val="en-US"/>
        </w:rPr>
        <w:t>)</w:t>
      </w:r>
      <w:r w:rsidR="003E57DA">
        <w:rPr>
          <w:rFonts w:cs="Calibri"/>
          <w:sz w:val="24"/>
          <w:szCs w:val="24"/>
          <w:lang w:val="en-US"/>
        </w:rPr>
        <w:t xml:space="preserve"> of children with disability on an equal basis with others.</w:t>
      </w:r>
      <w:r w:rsidR="00985120">
        <w:rPr>
          <w:rStyle w:val="FootnoteReference"/>
          <w:rFonts w:cs="Calibri"/>
          <w:sz w:val="24"/>
          <w:szCs w:val="24"/>
          <w:lang w:val="en-US"/>
        </w:rPr>
        <w:footnoteReference w:id="36"/>
      </w:r>
      <w:r w:rsidR="00985120">
        <w:rPr>
          <w:rFonts w:cs="Calibri"/>
          <w:sz w:val="24"/>
          <w:szCs w:val="24"/>
          <w:lang w:val="en-US"/>
        </w:rPr>
        <w:t xml:space="preserve"> </w:t>
      </w:r>
    </w:p>
    <w:p w14:paraId="25CBF44B" w14:textId="542A02C6" w:rsidR="00127147" w:rsidRPr="00127147" w:rsidRDefault="003E57DA" w:rsidP="00654FD0">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bCs/>
          <w:sz w:val="24"/>
          <w:szCs w:val="24"/>
        </w:rPr>
      </w:pPr>
      <w:r>
        <w:rPr>
          <w:rFonts w:cs="Calibri"/>
          <w:sz w:val="24"/>
          <w:szCs w:val="24"/>
          <w:lang w:val="en-US"/>
        </w:rPr>
        <w:t>5.9</w:t>
      </w:r>
      <w:r w:rsidR="00127147">
        <w:rPr>
          <w:rFonts w:cs="Calibri"/>
          <w:sz w:val="24"/>
          <w:szCs w:val="24"/>
          <w:lang w:val="en-US"/>
        </w:rPr>
        <w:tab/>
        <w:t xml:space="preserve">When Australia ratified the CRPD, it made </w:t>
      </w:r>
      <w:r w:rsidR="00985120">
        <w:rPr>
          <w:rFonts w:cs="Calibri"/>
          <w:sz w:val="24"/>
          <w:szCs w:val="24"/>
          <w:lang w:val="en-US"/>
        </w:rPr>
        <w:t xml:space="preserve">three interpretative declarations, one of which was in relation to article 12 of the CRPD.  </w:t>
      </w:r>
      <w:r w:rsidR="00985120">
        <w:rPr>
          <w:rFonts w:cs="Calibri"/>
          <w:bCs/>
          <w:sz w:val="24"/>
          <w:szCs w:val="24"/>
        </w:rPr>
        <w:t>This</w:t>
      </w:r>
      <w:r w:rsidR="00127147" w:rsidRPr="00127147">
        <w:rPr>
          <w:rFonts w:cs="Calibri"/>
          <w:bCs/>
          <w:sz w:val="24"/>
          <w:szCs w:val="24"/>
        </w:rPr>
        <w:t xml:space="preserve"> interpretative declaration states that Australia underst</w:t>
      </w:r>
      <w:r w:rsidR="00985120">
        <w:rPr>
          <w:rFonts w:cs="Calibri"/>
          <w:bCs/>
          <w:sz w:val="24"/>
          <w:szCs w:val="24"/>
        </w:rPr>
        <w:t>ands this article to allow for “</w:t>
      </w:r>
      <w:r w:rsidR="00127147" w:rsidRPr="00127147">
        <w:rPr>
          <w:rFonts w:cs="Calibri"/>
          <w:bCs/>
          <w:sz w:val="24"/>
          <w:szCs w:val="24"/>
        </w:rPr>
        <w:t>fully supported or substituted decision making arrangements</w:t>
      </w:r>
      <w:r w:rsidR="00985120">
        <w:rPr>
          <w:rFonts w:cs="Calibri"/>
          <w:bCs/>
          <w:sz w:val="24"/>
          <w:szCs w:val="24"/>
        </w:rPr>
        <w:t>”</w:t>
      </w:r>
      <w:r w:rsidR="00127147" w:rsidRPr="00127147">
        <w:rPr>
          <w:rFonts w:cs="Calibri"/>
          <w:bCs/>
          <w:sz w:val="24"/>
          <w:szCs w:val="24"/>
        </w:rPr>
        <w:t>.</w:t>
      </w:r>
      <w:r w:rsidR="00985120">
        <w:rPr>
          <w:rStyle w:val="FootnoteReference"/>
          <w:rFonts w:cs="Calibri"/>
          <w:bCs/>
          <w:sz w:val="24"/>
          <w:szCs w:val="24"/>
        </w:rPr>
        <w:footnoteReference w:id="37"/>
      </w:r>
      <w:r w:rsidR="00127147" w:rsidRPr="00127147">
        <w:rPr>
          <w:rFonts w:cs="Calibri"/>
          <w:bCs/>
          <w:sz w:val="24"/>
          <w:szCs w:val="24"/>
        </w:rPr>
        <w:t xml:space="preserve"> Th</w:t>
      </w:r>
      <w:r w:rsidR="00985120">
        <w:rPr>
          <w:rFonts w:cs="Calibri"/>
          <w:bCs/>
          <w:sz w:val="24"/>
          <w:szCs w:val="24"/>
        </w:rPr>
        <w:t xml:space="preserve">e </w:t>
      </w:r>
      <w:r w:rsidR="00127147" w:rsidRPr="00127147">
        <w:rPr>
          <w:rFonts w:cs="Calibri"/>
          <w:bCs/>
          <w:sz w:val="24"/>
          <w:szCs w:val="24"/>
        </w:rPr>
        <w:t xml:space="preserve">interpretative declaration </w:t>
      </w:r>
      <w:r w:rsidR="00985120">
        <w:rPr>
          <w:rFonts w:cs="Calibri"/>
          <w:bCs/>
          <w:sz w:val="24"/>
          <w:szCs w:val="24"/>
        </w:rPr>
        <w:t>effectively allows fo</w:t>
      </w:r>
      <w:r w:rsidR="00127147" w:rsidRPr="00127147">
        <w:rPr>
          <w:rFonts w:cs="Calibri"/>
          <w:bCs/>
          <w:sz w:val="24"/>
          <w:szCs w:val="24"/>
        </w:rPr>
        <w:t>r the ongoing practice of substitute decision-making</w:t>
      </w:r>
      <w:r w:rsidR="00985120">
        <w:rPr>
          <w:rFonts w:cs="Calibri"/>
          <w:bCs/>
          <w:sz w:val="24"/>
          <w:szCs w:val="24"/>
        </w:rPr>
        <w:t>, and</w:t>
      </w:r>
      <w:r w:rsidR="00127147" w:rsidRPr="00127147">
        <w:rPr>
          <w:rFonts w:cs="Calibri"/>
          <w:bCs/>
          <w:sz w:val="24"/>
          <w:szCs w:val="24"/>
        </w:rPr>
        <w:t xml:space="preserve"> </w:t>
      </w:r>
      <w:r w:rsidR="00985120" w:rsidRPr="00127147">
        <w:rPr>
          <w:rFonts w:cs="Calibri"/>
          <w:bCs/>
          <w:sz w:val="24"/>
          <w:szCs w:val="24"/>
        </w:rPr>
        <w:t>limits reform</w:t>
      </w:r>
      <w:r w:rsidR="00985120">
        <w:rPr>
          <w:rFonts w:cs="Calibri"/>
          <w:bCs/>
          <w:sz w:val="24"/>
          <w:szCs w:val="24"/>
        </w:rPr>
        <w:t xml:space="preserve"> for the establishment of supported decision-making arrangements.  </w:t>
      </w:r>
      <w:r w:rsidR="00127147" w:rsidRPr="00127147">
        <w:rPr>
          <w:rFonts w:cs="Calibri"/>
          <w:bCs/>
          <w:sz w:val="24"/>
          <w:szCs w:val="24"/>
        </w:rPr>
        <w:t xml:space="preserve">This is </w:t>
      </w:r>
      <w:r w:rsidR="00127147" w:rsidRPr="00127147">
        <w:rPr>
          <w:rFonts w:cs="Calibri"/>
          <w:bCs/>
          <w:sz w:val="24"/>
          <w:szCs w:val="24"/>
        </w:rPr>
        <w:lastRenderedPageBreak/>
        <w:t xml:space="preserve">despite the </w:t>
      </w:r>
      <w:r w:rsidR="00985120">
        <w:rPr>
          <w:rFonts w:cs="Calibri"/>
          <w:bCs/>
          <w:sz w:val="24"/>
          <w:szCs w:val="24"/>
        </w:rPr>
        <w:t xml:space="preserve">2013 </w:t>
      </w:r>
      <w:r w:rsidR="00127147" w:rsidRPr="00127147">
        <w:rPr>
          <w:rFonts w:cs="Calibri"/>
          <w:bCs/>
          <w:sz w:val="24"/>
          <w:szCs w:val="24"/>
        </w:rPr>
        <w:t xml:space="preserve">concluding observations from the Committee on the Rights of Persons with Disabilities </w:t>
      </w:r>
      <w:r w:rsidR="00985120">
        <w:rPr>
          <w:rFonts w:cs="Calibri"/>
          <w:bCs/>
          <w:sz w:val="24"/>
          <w:szCs w:val="24"/>
        </w:rPr>
        <w:t xml:space="preserve">urging Australia to </w:t>
      </w:r>
      <w:r w:rsidR="00127147" w:rsidRPr="00127147">
        <w:rPr>
          <w:rFonts w:cs="Calibri"/>
          <w:bCs/>
          <w:sz w:val="24"/>
          <w:szCs w:val="24"/>
        </w:rPr>
        <w:t>withdraw</w:t>
      </w:r>
      <w:r w:rsidR="00985120">
        <w:rPr>
          <w:rFonts w:cs="Calibri"/>
          <w:bCs/>
          <w:sz w:val="24"/>
          <w:szCs w:val="24"/>
        </w:rPr>
        <w:t xml:space="preserve"> its </w:t>
      </w:r>
      <w:r w:rsidR="00127147" w:rsidRPr="00127147">
        <w:rPr>
          <w:rFonts w:cs="Calibri"/>
          <w:bCs/>
          <w:sz w:val="24"/>
          <w:szCs w:val="24"/>
        </w:rPr>
        <w:t>interpretative declaration and to replace substitute decision-making with supported decision-making.</w:t>
      </w:r>
      <w:r w:rsidR="00985120">
        <w:rPr>
          <w:rStyle w:val="FootnoteReference"/>
          <w:rFonts w:cs="Calibri"/>
          <w:bCs/>
          <w:sz w:val="24"/>
          <w:szCs w:val="24"/>
        </w:rPr>
        <w:footnoteReference w:id="38"/>
      </w:r>
    </w:p>
    <w:p w14:paraId="116A5500" w14:textId="27D1DC0D" w:rsidR="00A52841" w:rsidRDefault="00127147" w:rsidP="00654FD0">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5.10</w:t>
      </w:r>
      <w:r>
        <w:rPr>
          <w:rFonts w:cs="Calibri"/>
          <w:sz w:val="24"/>
          <w:szCs w:val="24"/>
          <w:lang w:val="en-US"/>
        </w:rPr>
        <w:tab/>
      </w:r>
      <w:r w:rsidR="00A52841">
        <w:rPr>
          <w:rFonts w:cs="Calibri"/>
          <w:sz w:val="24"/>
          <w:szCs w:val="24"/>
          <w:lang w:val="en-US"/>
        </w:rPr>
        <w:t>In 2017, the Committee on the Rights of Persons with Disabilities asked Australia for information on its progress in withdrawal of its interpretative declarations.</w:t>
      </w:r>
      <w:r w:rsidR="00A52841">
        <w:rPr>
          <w:rStyle w:val="FootnoteReference"/>
          <w:rFonts w:cs="Calibri"/>
          <w:sz w:val="24"/>
          <w:szCs w:val="24"/>
          <w:lang w:val="en-US"/>
        </w:rPr>
        <w:footnoteReference w:id="39"/>
      </w:r>
      <w:r w:rsidR="00A52841">
        <w:rPr>
          <w:rFonts w:cs="Calibri"/>
          <w:sz w:val="24"/>
          <w:szCs w:val="24"/>
          <w:lang w:val="en-US"/>
        </w:rPr>
        <w:t xml:space="preserve">  The response by Australia in its combined second and third periodic report </w:t>
      </w:r>
      <w:r w:rsidR="007B2CC6">
        <w:rPr>
          <w:rFonts w:cs="Calibri"/>
          <w:sz w:val="24"/>
          <w:szCs w:val="24"/>
          <w:lang w:val="en-US"/>
        </w:rPr>
        <w:t xml:space="preserve">to </w:t>
      </w:r>
      <w:r w:rsidR="00A52841">
        <w:rPr>
          <w:rFonts w:cs="Calibri"/>
          <w:sz w:val="24"/>
          <w:szCs w:val="24"/>
          <w:lang w:val="en-US"/>
        </w:rPr>
        <w:t>the Committee stated that “the Australian Government does not propose to withdraw this declaration” and restated its understanding that the CRPD “allows for fully supported or substituted decision-making where necessary, as a last resort and subject to safeguards.”</w:t>
      </w:r>
      <w:r w:rsidR="00A52841">
        <w:rPr>
          <w:rStyle w:val="FootnoteReference"/>
          <w:rFonts w:cs="Calibri"/>
          <w:sz w:val="24"/>
          <w:szCs w:val="24"/>
          <w:lang w:val="en-US"/>
        </w:rPr>
        <w:footnoteReference w:id="40"/>
      </w:r>
    </w:p>
    <w:p w14:paraId="5396A008" w14:textId="0BB7666F" w:rsidR="00C403D3" w:rsidRDefault="007B2CC6" w:rsidP="00654FD0">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lang w:val="en-US"/>
        </w:rPr>
        <w:t>5.10</w:t>
      </w:r>
      <w:r>
        <w:rPr>
          <w:rFonts w:cs="Calibri"/>
          <w:sz w:val="24"/>
          <w:szCs w:val="24"/>
          <w:lang w:val="en-US"/>
        </w:rPr>
        <w:tab/>
      </w:r>
      <w:r w:rsidR="00C403D3">
        <w:rPr>
          <w:rFonts w:cs="Calibri"/>
          <w:sz w:val="24"/>
          <w:szCs w:val="24"/>
          <w:lang w:val="en-US"/>
        </w:rPr>
        <w:t>Although the Australian Law Reform Commission (ALRC) conducted an inquiry into barriers to equal recognition before the law and legal capacity for people with disability, the Australian Government has not implemented the recommendations from the</w:t>
      </w:r>
      <w:r w:rsidR="00127147">
        <w:rPr>
          <w:rFonts w:cs="Calibri"/>
          <w:sz w:val="24"/>
          <w:szCs w:val="24"/>
          <w:lang w:val="en-US"/>
        </w:rPr>
        <w:t xml:space="preserve"> 2014 </w:t>
      </w:r>
      <w:r w:rsidR="00C403D3">
        <w:rPr>
          <w:rFonts w:cs="Calibri"/>
          <w:sz w:val="24"/>
          <w:szCs w:val="24"/>
          <w:lang w:val="en-US"/>
        </w:rPr>
        <w:t>inquiry report.</w:t>
      </w:r>
      <w:r>
        <w:rPr>
          <w:rStyle w:val="FootnoteReference"/>
          <w:rFonts w:cs="Calibri"/>
          <w:sz w:val="24"/>
          <w:szCs w:val="24"/>
          <w:lang w:val="en-US"/>
        </w:rPr>
        <w:footnoteReference w:id="41"/>
      </w:r>
      <w:r>
        <w:rPr>
          <w:rFonts w:cs="Calibri"/>
          <w:sz w:val="24"/>
          <w:szCs w:val="24"/>
          <w:lang w:val="en-US"/>
        </w:rPr>
        <w:t xml:space="preserve"> </w:t>
      </w:r>
      <w:r w:rsidR="00C403D3">
        <w:rPr>
          <w:rFonts w:cs="Calibri"/>
          <w:sz w:val="24"/>
          <w:szCs w:val="24"/>
          <w:lang w:val="en-US"/>
        </w:rPr>
        <w:t>A key recommendation was for the establishment of National Decision-Making Principles and Guidelines to guide reform of Commonwealth, State and Territory laws and legal frameworks.</w:t>
      </w:r>
      <w:r>
        <w:rPr>
          <w:rFonts w:cs="Calibri"/>
          <w:sz w:val="24"/>
          <w:szCs w:val="24"/>
          <w:lang w:val="en-US"/>
        </w:rPr>
        <w:t xml:space="preserve"> </w:t>
      </w:r>
      <w:r w:rsidR="00C1535F">
        <w:rPr>
          <w:rFonts w:cs="Calibri"/>
          <w:sz w:val="24"/>
          <w:szCs w:val="24"/>
          <w:lang w:val="en-US"/>
        </w:rPr>
        <w:t xml:space="preserve"> The  Australian Government has stated in its most recent report to the Committee on the Rights of Persons with Disabilities that it is still “considering the recommendations made by the ALRC... including</w:t>
      </w:r>
      <w:r>
        <w:rPr>
          <w:rFonts w:cs="Calibri"/>
          <w:sz w:val="24"/>
          <w:szCs w:val="24"/>
          <w:lang w:val="en-US"/>
        </w:rPr>
        <w:t xml:space="preserve"> </w:t>
      </w:r>
      <w:r w:rsidR="00C1535F">
        <w:rPr>
          <w:rFonts w:cs="Calibri"/>
          <w:sz w:val="24"/>
          <w:szCs w:val="24"/>
          <w:lang w:val="en-US"/>
        </w:rPr>
        <w:t>the recommendation a Commonwealth decision-making model be introduced into relevant Commonwealth laws and legal frameworks that encourages supported decision making.”</w:t>
      </w:r>
      <w:r w:rsidR="00C1535F">
        <w:rPr>
          <w:rStyle w:val="FootnoteReference"/>
          <w:rFonts w:cs="Calibri"/>
          <w:sz w:val="24"/>
          <w:szCs w:val="24"/>
          <w:lang w:val="en-US"/>
        </w:rPr>
        <w:footnoteReference w:id="42"/>
      </w:r>
      <w:r w:rsidR="00C1535F">
        <w:rPr>
          <w:rFonts w:cs="Calibri"/>
          <w:sz w:val="24"/>
          <w:szCs w:val="24"/>
          <w:lang w:val="en-US"/>
        </w:rPr>
        <w:t xml:space="preserve"> </w:t>
      </w:r>
      <w:r w:rsidR="00C403D3">
        <w:rPr>
          <w:rFonts w:cs="Calibri"/>
          <w:sz w:val="24"/>
          <w:szCs w:val="24"/>
          <w:lang w:val="en-US"/>
        </w:rPr>
        <w:t xml:space="preserve"> </w:t>
      </w:r>
    </w:p>
    <w:p w14:paraId="5A872626" w14:textId="7A06BCB2" w:rsidR="009C6144" w:rsidRPr="00C1535F" w:rsidRDefault="00C403D3" w:rsidP="00C1535F">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rPr>
      </w:pPr>
      <w:r>
        <w:rPr>
          <w:rFonts w:cs="Calibri"/>
          <w:sz w:val="24"/>
          <w:szCs w:val="24"/>
          <w:lang w:val="en-US"/>
        </w:rPr>
        <w:t>5.1</w:t>
      </w:r>
      <w:r w:rsidR="00127147">
        <w:rPr>
          <w:rFonts w:cs="Calibri"/>
          <w:sz w:val="24"/>
          <w:szCs w:val="24"/>
          <w:lang w:val="en-US"/>
        </w:rPr>
        <w:t>1</w:t>
      </w:r>
      <w:r>
        <w:rPr>
          <w:rFonts w:cs="Calibri"/>
          <w:sz w:val="24"/>
          <w:szCs w:val="24"/>
          <w:lang w:val="en-US"/>
        </w:rPr>
        <w:tab/>
        <w:t xml:space="preserve">Within the context of the Consultation Paper, </w:t>
      </w:r>
      <w:r w:rsidR="00464CDE">
        <w:rPr>
          <w:rFonts w:cs="Calibri"/>
          <w:sz w:val="24"/>
          <w:szCs w:val="24"/>
          <w:lang w:val="en-US"/>
        </w:rPr>
        <w:t xml:space="preserve">and specifically in relation to questions 10 and 11 regarding legal oversight mechanisms, DPO Australia argues that current oversight mechanisms, such as the Family Court and </w:t>
      </w:r>
      <w:r w:rsidR="009C6144">
        <w:rPr>
          <w:rFonts w:cs="Calibri"/>
          <w:sz w:val="24"/>
          <w:szCs w:val="24"/>
          <w:lang w:val="en-US"/>
        </w:rPr>
        <w:t xml:space="preserve">the substitute decision making context of </w:t>
      </w:r>
      <w:r w:rsidR="00464CDE">
        <w:rPr>
          <w:rFonts w:cs="Calibri"/>
          <w:sz w:val="24"/>
          <w:szCs w:val="24"/>
          <w:lang w:val="en-US"/>
        </w:rPr>
        <w:t>State and Territory Guardianship Trib</w:t>
      </w:r>
      <w:r w:rsidR="009C6144">
        <w:rPr>
          <w:rFonts w:cs="Calibri"/>
          <w:sz w:val="24"/>
          <w:szCs w:val="24"/>
          <w:lang w:val="en-US"/>
        </w:rPr>
        <w:t>unals</w:t>
      </w:r>
      <w:r w:rsidR="00464CDE">
        <w:rPr>
          <w:rFonts w:cs="Calibri"/>
          <w:sz w:val="24"/>
          <w:szCs w:val="24"/>
          <w:lang w:val="en-US"/>
        </w:rPr>
        <w:t xml:space="preserve"> do not </w:t>
      </w:r>
      <w:r w:rsidR="009C6144">
        <w:rPr>
          <w:rFonts w:cs="Calibri"/>
          <w:sz w:val="24"/>
          <w:szCs w:val="24"/>
          <w:lang w:val="en-US"/>
        </w:rPr>
        <w:t xml:space="preserve">provide </w:t>
      </w:r>
      <w:r w:rsidR="00464CDE">
        <w:rPr>
          <w:rFonts w:cs="Calibri"/>
          <w:sz w:val="24"/>
          <w:szCs w:val="24"/>
          <w:lang w:val="en-US"/>
        </w:rPr>
        <w:t>the necessary human rights</w:t>
      </w:r>
      <w:r w:rsidR="009C6144">
        <w:rPr>
          <w:rFonts w:cs="Calibri"/>
          <w:sz w:val="24"/>
          <w:szCs w:val="24"/>
          <w:lang w:val="en-US"/>
        </w:rPr>
        <w:t xml:space="preserve"> underpinnings to protect the human rights of intersex people / people born with variations of sex characteristics.  The failure of the Family Court to ensure that the best interest principle is applied in the human rights context set out in the CRC is clearly outlined in the submission by IHRA,</w:t>
      </w:r>
      <w:r w:rsidR="00C1535F">
        <w:rPr>
          <w:rStyle w:val="FootnoteReference"/>
          <w:rFonts w:cs="Calibri"/>
          <w:sz w:val="24"/>
          <w:szCs w:val="24"/>
          <w:lang w:val="en-US"/>
        </w:rPr>
        <w:footnoteReference w:id="43"/>
      </w:r>
      <w:r w:rsidR="009C6144">
        <w:rPr>
          <w:rFonts w:cs="Calibri"/>
          <w:sz w:val="24"/>
          <w:szCs w:val="24"/>
          <w:lang w:val="en-US"/>
        </w:rPr>
        <w:t xml:space="preserve"> and </w:t>
      </w:r>
      <w:r w:rsidR="009C6144" w:rsidRPr="00C1535F">
        <w:rPr>
          <w:rFonts w:cs="Calibri"/>
          <w:sz w:val="24"/>
          <w:szCs w:val="24"/>
        </w:rPr>
        <w:t>supported by analysis of authorisation</w:t>
      </w:r>
      <w:r w:rsidR="00C1535F" w:rsidRPr="00C1535F">
        <w:rPr>
          <w:rFonts w:cs="Calibri"/>
          <w:sz w:val="24"/>
          <w:szCs w:val="24"/>
        </w:rPr>
        <w:t>s</w:t>
      </w:r>
      <w:r w:rsidR="009C6144" w:rsidRPr="00C1535F">
        <w:rPr>
          <w:rFonts w:cs="Calibri"/>
          <w:sz w:val="24"/>
          <w:szCs w:val="24"/>
        </w:rPr>
        <w:t xml:space="preserve"> of </w:t>
      </w:r>
      <w:r w:rsidR="00C1535F" w:rsidRPr="00C1535F">
        <w:rPr>
          <w:rFonts w:cs="Calibri"/>
          <w:sz w:val="24"/>
          <w:szCs w:val="24"/>
        </w:rPr>
        <w:t>sterilisation</w:t>
      </w:r>
      <w:r w:rsidR="009C6144" w:rsidRPr="00C1535F">
        <w:rPr>
          <w:rFonts w:cs="Calibri"/>
          <w:sz w:val="24"/>
          <w:szCs w:val="24"/>
        </w:rPr>
        <w:t xml:space="preserve"> procedures of children with </w:t>
      </w:r>
      <w:r w:rsidR="009C6144" w:rsidRPr="00C1535F">
        <w:rPr>
          <w:rFonts w:cs="Calibri"/>
          <w:sz w:val="24"/>
          <w:szCs w:val="24"/>
        </w:rPr>
        <w:lastRenderedPageBreak/>
        <w:t>disability</w:t>
      </w:r>
      <w:r w:rsidR="00C1535F">
        <w:rPr>
          <w:rFonts w:cs="Calibri"/>
          <w:sz w:val="24"/>
          <w:szCs w:val="24"/>
        </w:rPr>
        <w:t>.</w:t>
      </w:r>
      <w:r w:rsidR="00C1535F">
        <w:rPr>
          <w:rStyle w:val="FootnoteReference"/>
          <w:rFonts w:cs="Calibri"/>
          <w:sz w:val="24"/>
          <w:szCs w:val="24"/>
        </w:rPr>
        <w:footnoteReference w:id="44"/>
      </w:r>
    </w:p>
    <w:p w14:paraId="601B79AB" w14:textId="713CC511" w:rsidR="009A3B6F" w:rsidRPr="00BE361C" w:rsidRDefault="009C6144" w:rsidP="00C1535F">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i/>
          <w:sz w:val="24"/>
          <w:szCs w:val="24"/>
        </w:rPr>
      </w:pPr>
      <w:r w:rsidRPr="00C1535F">
        <w:rPr>
          <w:rFonts w:cs="Calibri"/>
          <w:sz w:val="24"/>
          <w:szCs w:val="24"/>
        </w:rPr>
        <w:t>5.1</w:t>
      </w:r>
      <w:r w:rsidR="00127147" w:rsidRPr="00C1535F">
        <w:rPr>
          <w:rFonts w:cs="Calibri"/>
          <w:sz w:val="24"/>
          <w:szCs w:val="24"/>
        </w:rPr>
        <w:t>2</w:t>
      </w:r>
      <w:r w:rsidRPr="00C1535F">
        <w:rPr>
          <w:rFonts w:cs="Calibri"/>
          <w:sz w:val="24"/>
          <w:szCs w:val="24"/>
        </w:rPr>
        <w:tab/>
      </w:r>
      <w:r w:rsidR="009A3B6F" w:rsidRPr="00BE361C">
        <w:rPr>
          <w:rFonts w:cs="Calibri"/>
          <w:i/>
          <w:sz w:val="24"/>
          <w:szCs w:val="24"/>
        </w:rPr>
        <w:t>DPO Australia</w:t>
      </w:r>
      <w:r w:rsidR="00497822" w:rsidRPr="00BE361C">
        <w:rPr>
          <w:rFonts w:cs="Calibri"/>
          <w:i/>
          <w:sz w:val="24"/>
          <w:szCs w:val="24"/>
        </w:rPr>
        <w:t xml:space="preserve"> </w:t>
      </w:r>
      <w:r w:rsidR="00BE361C">
        <w:rPr>
          <w:rFonts w:cs="Calibri"/>
          <w:i/>
          <w:sz w:val="24"/>
          <w:szCs w:val="24"/>
        </w:rPr>
        <w:t>recomme</w:t>
      </w:r>
      <w:r w:rsidR="001B3268">
        <w:rPr>
          <w:rFonts w:cs="Calibri"/>
          <w:i/>
          <w:sz w:val="24"/>
          <w:szCs w:val="24"/>
        </w:rPr>
        <w:t>n</w:t>
      </w:r>
      <w:r w:rsidR="00BE361C">
        <w:rPr>
          <w:rFonts w:cs="Calibri"/>
          <w:i/>
          <w:sz w:val="24"/>
          <w:szCs w:val="24"/>
        </w:rPr>
        <w:t>d</w:t>
      </w:r>
      <w:r w:rsidR="001B3268">
        <w:rPr>
          <w:rFonts w:cs="Calibri"/>
          <w:i/>
          <w:sz w:val="24"/>
          <w:szCs w:val="24"/>
        </w:rPr>
        <w:t>s</w:t>
      </w:r>
      <w:r w:rsidR="009A3B6F" w:rsidRPr="00BE361C">
        <w:rPr>
          <w:rFonts w:cs="Calibri"/>
          <w:i/>
          <w:sz w:val="24"/>
          <w:szCs w:val="24"/>
        </w:rPr>
        <w:t xml:space="preserve"> </w:t>
      </w:r>
      <w:r w:rsidR="00497822" w:rsidRPr="00BE361C">
        <w:rPr>
          <w:rFonts w:cs="Calibri"/>
          <w:i/>
          <w:sz w:val="24"/>
          <w:szCs w:val="24"/>
        </w:rPr>
        <w:t xml:space="preserve">oversight of </w:t>
      </w:r>
      <w:r w:rsidR="008D1AB7" w:rsidRPr="00BE361C">
        <w:rPr>
          <w:rFonts w:cs="Calibri"/>
          <w:i/>
          <w:sz w:val="24"/>
          <w:szCs w:val="24"/>
        </w:rPr>
        <w:t xml:space="preserve">medical interventions for children </w:t>
      </w:r>
      <w:r w:rsidR="009A3B6F" w:rsidRPr="00BE361C">
        <w:rPr>
          <w:rFonts w:cs="Calibri"/>
          <w:i/>
          <w:sz w:val="24"/>
          <w:szCs w:val="24"/>
        </w:rPr>
        <w:t xml:space="preserve">born with variations of sex characteristics </w:t>
      </w:r>
      <w:r w:rsidR="008D1AB7" w:rsidRPr="00BE361C">
        <w:rPr>
          <w:rFonts w:cs="Calibri"/>
          <w:i/>
          <w:sz w:val="24"/>
          <w:szCs w:val="24"/>
        </w:rPr>
        <w:t xml:space="preserve">by </w:t>
      </w:r>
      <w:r w:rsidR="00497822" w:rsidRPr="00BE361C">
        <w:rPr>
          <w:rFonts w:cs="Calibri"/>
          <w:i/>
          <w:sz w:val="24"/>
          <w:szCs w:val="24"/>
        </w:rPr>
        <w:t>an independent, human rights body consisting of human rights experts, intersex-led community organisations</w:t>
      </w:r>
      <w:r w:rsidR="009A3B6F" w:rsidRPr="00BE361C">
        <w:rPr>
          <w:rFonts w:cs="Calibri"/>
          <w:i/>
          <w:sz w:val="24"/>
          <w:szCs w:val="24"/>
        </w:rPr>
        <w:t>, disability representative organisations</w:t>
      </w:r>
      <w:r w:rsidR="00497822" w:rsidRPr="00BE361C">
        <w:rPr>
          <w:rFonts w:cs="Calibri"/>
          <w:i/>
          <w:sz w:val="24"/>
          <w:szCs w:val="24"/>
        </w:rPr>
        <w:t xml:space="preserve"> and clinicians</w:t>
      </w:r>
      <w:r w:rsidR="008D1AB7" w:rsidRPr="00BE361C">
        <w:rPr>
          <w:rFonts w:cs="Calibri"/>
          <w:i/>
          <w:sz w:val="24"/>
          <w:szCs w:val="24"/>
        </w:rPr>
        <w:t xml:space="preserve">, </w:t>
      </w:r>
      <w:r w:rsidR="00497822" w:rsidRPr="00BE361C">
        <w:rPr>
          <w:rFonts w:cs="Calibri"/>
          <w:i/>
          <w:sz w:val="24"/>
          <w:szCs w:val="24"/>
        </w:rPr>
        <w:t>as outlined in the IHRA submission in section 8.2.3 and 8.3</w:t>
      </w:r>
      <w:r w:rsidR="009A3B6F" w:rsidRPr="00BE361C">
        <w:rPr>
          <w:rFonts w:cs="Calibri"/>
          <w:i/>
          <w:sz w:val="24"/>
          <w:szCs w:val="24"/>
        </w:rPr>
        <w:t xml:space="preserve">.  </w:t>
      </w:r>
    </w:p>
    <w:p w14:paraId="3CC0BB20" w14:textId="33CC8BBD" w:rsidR="009C6144" w:rsidRDefault="009A3B6F" w:rsidP="00C1535F">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sz w:val="24"/>
          <w:szCs w:val="24"/>
          <w:lang w:val="en-US"/>
        </w:rPr>
      </w:pPr>
      <w:r>
        <w:rPr>
          <w:rFonts w:cs="Calibri"/>
          <w:sz w:val="24"/>
          <w:szCs w:val="24"/>
        </w:rPr>
        <w:t>5.13</w:t>
      </w:r>
      <w:r>
        <w:rPr>
          <w:rFonts w:cs="Calibri"/>
          <w:sz w:val="24"/>
          <w:szCs w:val="24"/>
        </w:rPr>
        <w:tab/>
      </w:r>
      <w:r w:rsidRPr="00BE361C">
        <w:rPr>
          <w:rFonts w:cs="Calibri"/>
          <w:i/>
          <w:sz w:val="24"/>
          <w:szCs w:val="24"/>
        </w:rPr>
        <w:t xml:space="preserve">However, DPO Australia recommends that </w:t>
      </w:r>
      <w:r w:rsidR="00497822" w:rsidRPr="00BE361C">
        <w:rPr>
          <w:rFonts w:cs="Calibri"/>
          <w:i/>
          <w:sz w:val="24"/>
          <w:szCs w:val="24"/>
        </w:rPr>
        <w:t>a supported decision-making framework must be established to provide</w:t>
      </w:r>
      <w:r w:rsidR="00497822" w:rsidRPr="00BE361C">
        <w:rPr>
          <w:rFonts w:cs="Calibri"/>
          <w:i/>
          <w:sz w:val="24"/>
          <w:szCs w:val="24"/>
          <w:lang w:val="en-US"/>
        </w:rPr>
        <w:t xml:space="preserve"> su</w:t>
      </w:r>
      <w:r w:rsidRPr="00BE361C">
        <w:rPr>
          <w:rFonts w:cs="Calibri"/>
          <w:i/>
          <w:sz w:val="24"/>
          <w:szCs w:val="24"/>
          <w:lang w:val="en-US"/>
        </w:rPr>
        <w:t xml:space="preserve">pport to adults with disability, including those born with variations in sex characteristics, </w:t>
      </w:r>
      <w:r w:rsidR="00497822" w:rsidRPr="00BE361C">
        <w:rPr>
          <w:rFonts w:cs="Calibri"/>
          <w:i/>
          <w:sz w:val="24"/>
          <w:szCs w:val="24"/>
          <w:lang w:val="en-US"/>
        </w:rPr>
        <w:t>to express their will and preferences with regards to consent to medical interventions</w:t>
      </w:r>
      <w:r w:rsidR="00127147" w:rsidRPr="00BE361C">
        <w:rPr>
          <w:rFonts w:cs="Calibri"/>
          <w:i/>
          <w:sz w:val="24"/>
          <w:szCs w:val="24"/>
          <w:lang w:val="en-US"/>
        </w:rPr>
        <w:t xml:space="preserve"> on an equal basis with other adults</w:t>
      </w:r>
      <w:r w:rsidR="00497822" w:rsidRPr="00BE361C">
        <w:rPr>
          <w:rFonts w:cs="Calibri"/>
          <w:i/>
          <w:sz w:val="24"/>
          <w:szCs w:val="24"/>
          <w:lang w:val="en-US"/>
        </w:rPr>
        <w:t>.</w:t>
      </w:r>
      <w:r w:rsidRPr="00BE361C">
        <w:rPr>
          <w:rFonts w:cs="Calibri"/>
          <w:i/>
          <w:sz w:val="24"/>
          <w:szCs w:val="24"/>
          <w:lang w:val="en-US"/>
        </w:rPr>
        <w:t xml:space="preserve"> This is also recommended by IHRA in section 8.2.3 and </w:t>
      </w:r>
      <w:r w:rsidR="00BE361C" w:rsidRPr="00BE361C">
        <w:rPr>
          <w:rFonts w:cs="Calibri"/>
          <w:i/>
          <w:sz w:val="24"/>
          <w:szCs w:val="24"/>
          <w:lang w:val="en-US"/>
        </w:rPr>
        <w:t>8.3.</w:t>
      </w:r>
    </w:p>
    <w:p w14:paraId="2053395E" w14:textId="0BBDBEB0" w:rsidR="00BE361C" w:rsidRPr="00BE361C" w:rsidRDefault="00BE361C" w:rsidP="00C1535F">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09" w:hanging="709"/>
        <w:rPr>
          <w:rFonts w:cs="Calibri"/>
          <w:i/>
          <w:sz w:val="24"/>
          <w:szCs w:val="24"/>
          <w:lang w:val="en-US"/>
        </w:rPr>
      </w:pPr>
      <w:r>
        <w:rPr>
          <w:rFonts w:cs="Calibri"/>
          <w:sz w:val="24"/>
          <w:szCs w:val="24"/>
          <w:lang w:val="en-US"/>
        </w:rPr>
        <w:t>5.14</w:t>
      </w:r>
      <w:r>
        <w:rPr>
          <w:rFonts w:cs="Calibri"/>
          <w:sz w:val="24"/>
          <w:szCs w:val="24"/>
          <w:lang w:val="en-US"/>
        </w:rPr>
        <w:tab/>
      </w:r>
      <w:r w:rsidRPr="00BE361C">
        <w:rPr>
          <w:rFonts w:cs="Calibri"/>
          <w:i/>
          <w:sz w:val="24"/>
          <w:szCs w:val="24"/>
          <w:lang w:val="en-US"/>
        </w:rPr>
        <w:t>DPO Australia also recommends that the AHRC use its influence to seek the Australian Government’s withdrawal of its interpretative declarations, including in regard to article 12 of the CRPD; and to urgently progress the establishment of National Decision-Making Principles and Guidelines as recommended by the ALRC.</w:t>
      </w:r>
    </w:p>
    <w:p w14:paraId="69C27D2D" w14:textId="77777777" w:rsidR="009C6144" w:rsidRDefault="009C6144" w:rsidP="005A58AC">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709"/>
        <w:rPr>
          <w:rFonts w:cs="Calibri"/>
          <w:sz w:val="24"/>
          <w:szCs w:val="24"/>
          <w:lang w:val="en-US"/>
        </w:rPr>
      </w:pPr>
    </w:p>
    <w:p w14:paraId="2061FACF" w14:textId="65491677" w:rsidR="009C6144" w:rsidRDefault="009C6144" w:rsidP="005A58AC">
      <w:pPr>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09" w:hanging="709"/>
        <w:rPr>
          <w:rFonts w:cs="Calibri"/>
          <w:sz w:val="24"/>
          <w:szCs w:val="24"/>
          <w:lang w:val="en-US"/>
        </w:rPr>
      </w:pPr>
      <w:r>
        <w:rPr>
          <w:rFonts w:cs="Calibri"/>
          <w:sz w:val="24"/>
          <w:szCs w:val="24"/>
          <w:lang w:val="en-US"/>
        </w:rPr>
        <w:t xml:space="preserve"> </w:t>
      </w:r>
    </w:p>
    <w:p w14:paraId="1611EE28" w14:textId="77777777" w:rsidR="0055496B" w:rsidRDefault="0055496B" w:rsidP="003B53CD">
      <w:pPr>
        <w:widowControl w:val="0"/>
        <w:tabs>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b/>
          <w:i/>
          <w:sz w:val="24"/>
          <w:szCs w:val="24"/>
          <w:lang w:val="en-US"/>
        </w:rPr>
      </w:pPr>
    </w:p>
    <w:p w14:paraId="48EA3100" w14:textId="77777777" w:rsidR="0055496B" w:rsidRDefault="0055496B" w:rsidP="003B53CD">
      <w:pPr>
        <w:widowControl w:val="0"/>
        <w:tabs>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b/>
          <w:i/>
          <w:sz w:val="24"/>
          <w:szCs w:val="24"/>
          <w:lang w:val="en-US"/>
        </w:rPr>
      </w:pPr>
    </w:p>
    <w:p w14:paraId="4F6D2BF8" w14:textId="77777777" w:rsidR="0055496B" w:rsidRDefault="0055496B" w:rsidP="003B53CD">
      <w:pPr>
        <w:widowControl w:val="0"/>
        <w:tabs>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b/>
          <w:i/>
          <w:sz w:val="24"/>
          <w:szCs w:val="24"/>
          <w:lang w:val="en-US"/>
        </w:rPr>
      </w:pPr>
    </w:p>
    <w:p w14:paraId="2A3CBA9D" w14:textId="77777777" w:rsidR="0055496B" w:rsidRDefault="0055496B" w:rsidP="003B53CD">
      <w:pPr>
        <w:widowControl w:val="0"/>
        <w:tabs>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b/>
          <w:i/>
          <w:sz w:val="24"/>
          <w:szCs w:val="24"/>
          <w:lang w:val="en-US"/>
        </w:rPr>
      </w:pPr>
    </w:p>
    <w:p w14:paraId="76CFD3A0" w14:textId="77777777" w:rsidR="0055496B" w:rsidRDefault="0055496B" w:rsidP="003B53CD">
      <w:pPr>
        <w:widowControl w:val="0"/>
        <w:tabs>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b/>
          <w:i/>
          <w:sz w:val="24"/>
          <w:szCs w:val="24"/>
          <w:lang w:val="en-US"/>
        </w:rPr>
      </w:pPr>
    </w:p>
    <w:p w14:paraId="1DF6A2FA" w14:textId="77777777" w:rsidR="0055496B" w:rsidRPr="003B53CD" w:rsidRDefault="0055496B" w:rsidP="003B53CD">
      <w:pPr>
        <w:widowControl w:val="0"/>
        <w:tabs>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b/>
          <w:i/>
          <w:sz w:val="24"/>
          <w:szCs w:val="24"/>
          <w:lang w:val="en-US"/>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6"/>
        <w:gridCol w:w="2552"/>
        <w:gridCol w:w="2301"/>
        <w:gridCol w:w="2656"/>
      </w:tblGrid>
      <w:tr w:rsidR="00F5359F" w:rsidRPr="005629B0" w14:paraId="36677CA5" w14:textId="77777777" w:rsidTr="00007B29">
        <w:trPr>
          <w:trHeight w:val="1847"/>
        </w:trPr>
        <w:tc>
          <w:tcPr>
            <w:tcW w:w="2656" w:type="dxa"/>
          </w:tcPr>
          <w:p w14:paraId="4B6C8D1D" w14:textId="77777777" w:rsidR="00F5359F" w:rsidRPr="005629B0" w:rsidRDefault="00F5359F" w:rsidP="00007B29">
            <w:pPr>
              <w:spacing w:before="120" w:after="120"/>
              <w:rPr>
                <w:rFonts w:asciiTheme="majorHAnsi" w:hAnsiTheme="majorHAnsi" w:cs="Arial"/>
                <w:sz w:val="24"/>
                <w:szCs w:val="24"/>
              </w:rPr>
            </w:pPr>
            <w:r w:rsidRPr="005629B0">
              <w:rPr>
                <w:rFonts w:asciiTheme="majorHAnsi" w:hAnsiTheme="majorHAnsi" w:cs="Arial"/>
                <w:sz w:val="24"/>
                <w:szCs w:val="24"/>
              </w:rPr>
              <w:br w:type="page"/>
            </w:r>
            <w:r w:rsidRPr="005629B0">
              <w:rPr>
                <w:rFonts w:asciiTheme="majorHAnsi" w:hAnsiTheme="majorHAnsi" w:cs="Arial"/>
                <w:noProof/>
                <w:sz w:val="24"/>
                <w:szCs w:val="24"/>
                <w:lang w:eastAsia="en-AU"/>
              </w:rPr>
              <w:drawing>
                <wp:inline distT="0" distB="0" distL="0" distR="0" wp14:anchorId="3FCB1268" wp14:editId="2664EB3B">
                  <wp:extent cx="1373260" cy="72000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3260" cy="720000"/>
                          </a:xfrm>
                          <a:prstGeom prst="rect">
                            <a:avLst/>
                          </a:prstGeom>
                          <a:noFill/>
                          <a:ln>
                            <a:noFill/>
                          </a:ln>
                        </pic:spPr>
                      </pic:pic>
                    </a:graphicData>
                  </a:graphic>
                </wp:inline>
              </w:drawing>
            </w:r>
          </w:p>
        </w:tc>
        <w:tc>
          <w:tcPr>
            <w:tcW w:w="2552" w:type="dxa"/>
          </w:tcPr>
          <w:p w14:paraId="1E6E7EC8" w14:textId="39195098" w:rsidR="00F5359F" w:rsidRPr="005629B0" w:rsidRDefault="0055496B" w:rsidP="008906F8">
            <w:pPr>
              <w:spacing w:before="120" w:after="120"/>
              <w:ind w:left="-354"/>
              <w:rPr>
                <w:rFonts w:asciiTheme="majorHAnsi" w:hAnsiTheme="majorHAnsi" w:cs="Arial"/>
                <w:sz w:val="24"/>
                <w:szCs w:val="24"/>
              </w:rPr>
            </w:pPr>
            <w:r>
              <w:rPr>
                <w:rFonts w:asciiTheme="majorHAnsi" w:hAnsiTheme="majorHAnsi" w:cs="Arial"/>
                <w:noProof/>
                <w:sz w:val="24"/>
                <w:szCs w:val="24"/>
                <w:lang w:eastAsia="en-AU"/>
              </w:rPr>
              <w:drawing>
                <wp:inline distT="0" distB="0" distL="0" distR="0" wp14:anchorId="1B35A2AD" wp14:editId="70D1FBD7">
                  <wp:extent cx="184421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WDA_Logo_CMY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44212" cy="720000"/>
                          </a:xfrm>
                          <a:prstGeom prst="rect">
                            <a:avLst/>
                          </a:prstGeom>
                        </pic:spPr>
                      </pic:pic>
                    </a:graphicData>
                  </a:graphic>
                </wp:inline>
              </w:drawing>
            </w:r>
          </w:p>
        </w:tc>
        <w:tc>
          <w:tcPr>
            <w:tcW w:w="2301" w:type="dxa"/>
            <w:hideMark/>
          </w:tcPr>
          <w:p w14:paraId="714486CE" w14:textId="77777777" w:rsidR="00F5359F" w:rsidRDefault="00F5359F" w:rsidP="0055496B">
            <w:pPr>
              <w:spacing w:before="120" w:after="120"/>
              <w:ind w:left="354" w:right="-429"/>
              <w:rPr>
                <w:rFonts w:asciiTheme="majorHAnsi" w:hAnsiTheme="majorHAnsi" w:cs="Arial"/>
                <w:sz w:val="24"/>
                <w:szCs w:val="24"/>
              </w:rPr>
            </w:pPr>
            <w:r w:rsidRPr="005629B0">
              <w:rPr>
                <w:rFonts w:asciiTheme="majorHAnsi" w:hAnsiTheme="majorHAnsi" w:cs="Arial"/>
                <w:noProof/>
                <w:sz w:val="24"/>
                <w:szCs w:val="24"/>
                <w:lang w:eastAsia="en-AU"/>
              </w:rPr>
              <w:drawing>
                <wp:inline distT="0" distB="0" distL="0" distR="0" wp14:anchorId="35B14DC5" wp14:editId="2FA2C1EE">
                  <wp:extent cx="744963" cy="68400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4963" cy="684000"/>
                          </a:xfrm>
                          <a:prstGeom prst="rect">
                            <a:avLst/>
                          </a:prstGeom>
                          <a:noFill/>
                          <a:ln>
                            <a:noFill/>
                          </a:ln>
                        </pic:spPr>
                      </pic:pic>
                    </a:graphicData>
                  </a:graphic>
                </wp:inline>
              </w:drawing>
            </w:r>
          </w:p>
          <w:p w14:paraId="1002920E" w14:textId="77777777" w:rsidR="0055496B" w:rsidRPr="005629B0" w:rsidRDefault="0055496B" w:rsidP="00007B29">
            <w:pPr>
              <w:spacing w:before="120" w:after="120"/>
              <w:rPr>
                <w:rFonts w:asciiTheme="majorHAnsi" w:hAnsiTheme="majorHAnsi" w:cs="Arial"/>
                <w:sz w:val="24"/>
                <w:szCs w:val="24"/>
              </w:rPr>
            </w:pPr>
          </w:p>
        </w:tc>
        <w:tc>
          <w:tcPr>
            <w:tcW w:w="2656" w:type="dxa"/>
          </w:tcPr>
          <w:p w14:paraId="4DA9DCEE" w14:textId="77777777" w:rsidR="00F5359F" w:rsidRPr="005629B0" w:rsidRDefault="00F5359F" w:rsidP="00007B29">
            <w:pPr>
              <w:spacing w:before="120" w:after="120"/>
              <w:rPr>
                <w:rFonts w:asciiTheme="majorHAnsi" w:hAnsiTheme="majorHAnsi" w:cs="Arial"/>
                <w:sz w:val="24"/>
                <w:szCs w:val="24"/>
              </w:rPr>
            </w:pPr>
          </w:p>
          <w:p w14:paraId="088D78FF" w14:textId="77777777" w:rsidR="00F5359F" w:rsidRPr="005629B0" w:rsidRDefault="00F5359F" w:rsidP="00007B29">
            <w:pPr>
              <w:spacing w:before="120" w:after="120"/>
              <w:rPr>
                <w:rFonts w:asciiTheme="majorHAnsi" w:hAnsiTheme="majorHAnsi" w:cs="Arial"/>
                <w:sz w:val="24"/>
                <w:szCs w:val="24"/>
              </w:rPr>
            </w:pPr>
            <w:r w:rsidRPr="005629B0">
              <w:rPr>
                <w:rFonts w:asciiTheme="majorHAnsi" w:hAnsiTheme="majorHAnsi" w:cs="Arial"/>
                <w:noProof/>
                <w:sz w:val="24"/>
                <w:szCs w:val="24"/>
                <w:lang w:eastAsia="en-AU"/>
              </w:rPr>
              <w:drawing>
                <wp:inline distT="0" distB="0" distL="0" distR="0" wp14:anchorId="4498203B" wp14:editId="1634CED5">
                  <wp:extent cx="1453952" cy="468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3952" cy="468000"/>
                          </a:xfrm>
                          <a:prstGeom prst="rect">
                            <a:avLst/>
                          </a:prstGeom>
                          <a:noFill/>
                          <a:ln>
                            <a:noFill/>
                          </a:ln>
                        </pic:spPr>
                      </pic:pic>
                    </a:graphicData>
                  </a:graphic>
                </wp:inline>
              </w:drawing>
            </w:r>
          </w:p>
        </w:tc>
      </w:tr>
    </w:tbl>
    <w:p w14:paraId="6CFD8F5D" w14:textId="77777777" w:rsidR="0036535D" w:rsidRDefault="0036535D"/>
    <w:sectPr w:rsidR="0036535D" w:rsidSect="007703C1">
      <w:footerReference w:type="even" r:id="rId19"/>
      <w:footerReference w:type="default" r:id="rId20"/>
      <w:pgSz w:w="11900" w:h="16840"/>
      <w:pgMar w:top="1418" w:right="1835" w:bottom="851"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B26CB" w14:textId="77777777" w:rsidR="008A2710" w:rsidRDefault="008A2710" w:rsidP="00F5359F">
      <w:r>
        <w:separator/>
      </w:r>
    </w:p>
  </w:endnote>
  <w:endnote w:type="continuationSeparator" w:id="0">
    <w:p w14:paraId="1F532BDE" w14:textId="77777777" w:rsidR="008A2710" w:rsidRDefault="008A2710" w:rsidP="00F5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8F6CD" w14:textId="77777777" w:rsidR="008A2710" w:rsidRDefault="008A2710" w:rsidP="00007B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70F6AD" w14:textId="77777777" w:rsidR="008A2710" w:rsidRDefault="008A2710" w:rsidP="00007B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D7477" w14:textId="77777777" w:rsidR="008A2710" w:rsidRDefault="008A2710" w:rsidP="00007B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2C4B">
      <w:rPr>
        <w:rStyle w:val="PageNumber"/>
        <w:noProof/>
      </w:rPr>
      <w:t>13</w:t>
    </w:r>
    <w:r>
      <w:rPr>
        <w:rStyle w:val="PageNumber"/>
      </w:rPr>
      <w:fldChar w:fldCharType="end"/>
    </w:r>
  </w:p>
  <w:p w14:paraId="4769EE45" w14:textId="77777777" w:rsidR="008A2710" w:rsidRDefault="008A2710" w:rsidP="00007B2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3EAA4" w14:textId="77777777" w:rsidR="008A2710" w:rsidRDefault="008A2710" w:rsidP="00F5359F">
      <w:r>
        <w:separator/>
      </w:r>
    </w:p>
  </w:footnote>
  <w:footnote w:type="continuationSeparator" w:id="0">
    <w:p w14:paraId="63217F72" w14:textId="77777777" w:rsidR="008A2710" w:rsidRDefault="008A2710" w:rsidP="00F5359F">
      <w:r>
        <w:continuationSeparator/>
      </w:r>
    </w:p>
  </w:footnote>
  <w:footnote w:id="1">
    <w:p w14:paraId="6E40BBAF" w14:textId="0630A96C" w:rsidR="008A2710" w:rsidRPr="002916B9" w:rsidRDefault="008A2710" w:rsidP="002916B9">
      <w:pPr>
        <w:pStyle w:val="FootnoteText"/>
        <w:spacing w:after="0" w:line="240" w:lineRule="auto"/>
        <w:rPr>
          <w:lang w:val="en-US"/>
        </w:rPr>
      </w:pPr>
      <w:r>
        <w:rPr>
          <w:rStyle w:val="FootnoteReference"/>
        </w:rPr>
        <w:footnoteRef/>
      </w:r>
      <w:r>
        <w:t xml:space="preserve"> </w:t>
      </w:r>
      <w:r>
        <w:rPr>
          <w:lang w:val="en-US"/>
        </w:rPr>
        <w:t xml:space="preserve">Intersex Human Rights Australia, </w:t>
      </w:r>
      <w:r w:rsidRPr="002916B9">
        <w:rPr>
          <w:i/>
          <w:lang w:val="en-US"/>
        </w:rPr>
        <w:t>Submission to the Australian Human Rights Commission on protecting the rights of people born with variations in sex characteristics in the context of medical interventions</w:t>
      </w:r>
      <w:r>
        <w:rPr>
          <w:lang w:val="en-US"/>
        </w:rPr>
        <w:t>, 30 September 2018.</w:t>
      </w:r>
    </w:p>
  </w:footnote>
  <w:footnote w:id="2">
    <w:p w14:paraId="6145F868" w14:textId="0317BBE9" w:rsidR="008A2710" w:rsidRPr="00C27C7B" w:rsidRDefault="008A2710" w:rsidP="002916B9">
      <w:pPr>
        <w:pStyle w:val="FootnoteText"/>
        <w:spacing w:after="0" w:line="240" w:lineRule="auto"/>
      </w:pPr>
      <w:r w:rsidRPr="00C27C7B">
        <w:rPr>
          <w:rStyle w:val="FootnoteReference"/>
        </w:rPr>
        <w:footnoteRef/>
      </w:r>
      <w:r w:rsidRPr="00C27C7B">
        <w:t xml:space="preserve"> In response to the Consultation Paper, DPO Australia uses the terminology that is favoured by IHRA as outlined in section 5.1.4 of the IHRA submission.  IHRA is an intersex-led organisation, and we strongly support terminology that is self-determined by intersex people themselves, and that is embedded in the international human rights framework. </w:t>
      </w:r>
    </w:p>
  </w:footnote>
  <w:footnote w:id="3">
    <w:p w14:paraId="6951C807" w14:textId="373C57AF" w:rsidR="008A2710" w:rsidRPr="00C27C7B" w:rsidRDefault="008A2710" w:rsidP="002916B9">
      <w:pPr>
        <w:pStyle w:val="FootnoteText"/>
        <w:spacing w:after="0" w:line="240" w:lineRule="auto"/>
        <w:rPr>
          <w:lang w:val="en-US"/>
        </w:rPr>
      </w:pPr>
      <w:r>
        <w:rPr>
          <w:rStyle w:val="FootnoteReference"/>
        </w:rPr>
        <w:footnoteRef/>
      </w:r>
      <w:r>
        <w:t xml:space="preserve"> </w:t>
      </w:r>
      <w:r>
        <w:rPr>
          <w:lang w:val="en-US"/>
        </w:rPr>
        <w:t xml:space="preserve">Australian Human Rights Commission, </w:t>
      </w:r>
      <w:r w:rsidRPr="00C27C7B">
        <w:rPr>
          <w:i/>
          <w:lang w:val="en-US"/>
        </w:rPr>
        <w:t>Protecting the Human Rights of People Born with Variations in Sex Characteristics in the context of Medical Interventions</w:t>
      </w:r>
      <w:r>
        <w:rPr>
          <w:lang w:val="en-US"/>
        </w:rPr>
        <w:t>, Consultation Paper, July 2018, p.33.</w:t>
      </w:r>
    </w:p>
  </w:footnote>
  <w:footnote w:id="4">
    <w:p w14:paraId="12D9881F" w14:textId="4B4503E4" w:rsidR="008A2710" w:rsidRPr="007563C0" w:rsidRDefault="008A2710" w:rsidP="006E5581">
      <w:pPr>
        <w:pStyle w:val="FootnoteText"/>
        <w:spacing w:after="0" w:line="240" w:lineRule="auto"/>
        <w:rPr>
          <w:lang w:val="en-US"/>
        </w:rPr>
      </w:pPr>
      <w:r>
        <w:rPr>
          <w:rStyle w:val="FootnoteReference"/>
        </w:rPr>
        <w:footnoteRef/>
      </w:r>
      <w:r>
        <w:t xml:space="preserve"> </w:t>
      </w:r>
      <w:r>
        <w:rPr>
          <w:lang w:val="en-US"/>
        </w:rPr>
        <w:t>Ibid, pp. 31-34.</w:t>
      </w:r>
    </w:p>
  </w:footnote>
  <w:footnote w:id="5">
    <w:p w14:paraId="2832BF05" w14:textId="2D6EE7D9" w:rsidR="008A2710" w:rsidRPr="006E5581" w:rsidRDefault="008A2710" w:rsidP="006E5581">
      <w:pPr>
        <w:pStyle w:val="FootnoteText"/>
        <w:spacing w:after="0" w:line="240" w:lineRule="auto"/>
        <w:rPr>
          <w:lang w:val="en-US"/>
        </w:rPr>
      </w:pPr>
      <w:r>
        <w:rPr>
          <w:rStyle w:val="FootnoteReference"/>
        </w:rPr>
        <w:footnoteRef/>
      </w:r>
      <w:r>
        <w:t xml:space="preserve"> </w:t>
      </w:r>
      <w:r>
        <w:rPr>
          <w:lang w:val="en-US"/>
        </w:rPr>
        <w:t xml:space="preserve">Intersex Human Rights Australia, op. cit., section 4, </w:t>
      </w:r>
      <w:r w:rsidRPr="00B71E66">
        <w:rPr>
          <w:i/>
          <w:lang w:val="en-US"/>
        </w:rPr>
        <w:t>Human rights and the principles we apply in this submission</w:t>
      </w:r>
      <w:r>
        <w:rPr>
          <w:lang w:val="en-US"/>
        </w:rPr>
        <w:t>, pp. 5-18.</w:t>
      </w:r>
    </w:p>
  </w:footnote>
  <w:footnote w:id="6">
    <w:p w14:paraId="0BD4EE30" w14:textId="228B368D" w:rsidR="008A2710" w:rsidRPr="00FD6455" w:rsidRDefault="008A2710" w:rsidP="00FD6455">
      <w:pPr>
        <w:pStyle w:val="FootnoteText"/>
        <w:spacing w:after="0" w:line="240" w:lineRule="auto"/>
      </w:pPr>
      <w:r>
        <w:rPr>
          <w:rStyle w:val="FootnoteReference"/>
        </w:rPr>
        <w:footnoteRef/>
      </w:r>
      <w:r>
        <w:t xml:space="preserve"> </w:t>
      </w:r>
      <w:r>
        <w:rPr>
          <w:lang w:val="en-US"/>
        </w:rPr>
        <w:t xml:space="preserve">See e.g. People with Disability Australia, ‘Senate Standing Committee on Community Affairs: Inquiry into the </w:t>
      </w:r>
      <w:r w:rsidRPr="00FD6455">
        <w:t>involuntary or coerced sterilisation of people with disabilities in Australia’, Submission (March 2013); Women with Disabilities Australia, ‘Dehumanised: The Forced Sterilisation of Women and Girls with Disabilities in Australia’ (2013).</w:t>
      </w:r>
    </w:p>
  </w:footnote>
  <w:footnote w:id="7">
    <w:p w14:paraId="0568F40F" w14:textId="3FEF9140" w:rsidR="008A2710" w:rsidRPr="00FD6455" w:rsidRDefault="008A2710" w:rsidP="00FD6455">
      <w:pPr>
        <w:pStyle w:val="FootnoteText"/>
        <w:spacing w:after="0" w:line="240" w:lineRule="auto"/>
      </w:pPr>
      <w:r w:rsidRPr="00FD6455">
        <w:rPr>
          <w:rStyle w:val="FootnoteReference"/>
        </w:rPr>
        <w:footnoteRef/>
      </w:r>
      <w:r w:rsidRPr="00FD6455">
        <w:t xml:space="preserve"> See e.g. People with Disability Australia, </w:t>
      </w:r>
      <w:r w:rsidRPr="00FD6455">
        <w:rPr>
          <w:i/>
        </w:rPr>
        <w:t>Consideration of the 4</w:t>
      </w:r>
      <w:r w:rsidRPr="00FD6455">
        <w:rPr>
          <w:i/>
          <w:vertAlign w:val="superscript"/>
        </w:rPr>
        <w:t>th</w:t>
      </w:r>
      <w:r w:rsidRPr="00FD6455">
        <w:rPr>
          <w:i/>
        </w:rPr>
        <w:t xml:space="preserve"> and 5</w:t>
      </w:r>
      <w:r w:rsidRPr="00FD6455">
        <w:rPr>
          <w:i/>
          <w:vertAlign w:val="superscript"/>
        </w:rPr>
        <w:t>th</w:t>
      </w:r>
      <w:r w:rsidRPr="00FD6455">
        <w:rPr>
          <w:i/>
        </w:rPr>
        <w:t xml:space="preserve"> Reports of Australia by the Committee to the Convention Against Torture</w:t>
      </w:r>
      <w:r w:rsidRPr="00FD6455">
        <w:t>, Submission (October 2014); Australian Cross Disability Alliance, Australian Centre for Disability Law, Advocacy for Inclusion, “Forced sterilisation of people with disability and people with intersex variations”, Factsheet, Australia’s Universal Periodic Review 2015, People with Disability Australia; Disabled People’s Organisations Australia, ‘Submission to the Committee on the Rights of Persons with Disabilities – List of issues [Australia] to be adopted during the 18</w:t>
      </w:r>
      <w:r w:rsidRPr="00FD6455">
        <w:rPr>
          <w:vertAlign w:val="superscript"/>
        </w:rPr>
        <w:t>th</w:t>
      </w:r>
      <w:r w:rsidRPr="00FD6455">
        <w:t xml:space="preserve"> Session of the Committee on the Rights of Persons with Disabilities’, June 2017.</w:t>
      </w:r>
    </w:p>
  </w:footnote>
  <w:footnote w:id="8">
    <w:p w14:paraId="5B5C92FE" w14:textId="6D0EBA91" w:rsidR="008A2710" w:rsidRPr="00FD6455" w:rsidRDefault="008A2710" w:rsidP="00FD6455">
      <w:pPr>
        <w:pStyle w:val="FootnoteText"/>
        <w:spacing w:after="0" w:line="240" w:lineRule="auto"/>
      </w:pPr>
      <w:r w:rsidRPr="00FD6455">
        <w:rPr>
          <w:rStyle w:val="FootnoteReference"/>
        </w:rPr>
        <w:footnoteRef/>
      </w:r>
      <w:r w:rsidRPr="00FD6455">
        <w:t xml:space="preserve"> See e.g. Organisation Intersex International Australia, ‘Shadow Report submission to the Human Rights Committee on the situation of intersex people in Australia’, August 2017</w:t>
      </w:r>
    </w:p>
  </w:footnote>
  <w:footnote w:id="9">
    <w:p w14:paraId="23D14556" w14:textId="508D9E01" w:rsidR="008A2710" w:rsidRPr="00622212" w:rsidRDefault="008A2710" w:rsidP="00622212">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sz w:val="20"/>
          <w:szCs w:val="20"/>
        </w:rPr>
      </w:pPr>
      <w:r w:rsidRPr="00C11001">
        <w:rPr>
          <w:rStyle w:val="FootnoteReference"/>
          <w:sz w:val="20"/>
          <w:szCs w:val="20"/>
        </w:rPr>
        <w:footnoteRef/>
      </w:r>
      <w:r w:rsidRPr="00C11001">
        <w:rPr>
          <w:sz w:val="20"/>
          <w:szCs w:val="20"/>
        </w:rPr>
        <w:t xml:space="preserve"> Carpenter M, Organisation Intersex International Australia. Shadow Report submission to the Committee on the Rights of Persons with Disabilities on the situation of intersex people in Australia. 2017 June. Available at:</w:t>
      </w:r>
      <w:r w:rsidRPr="00C11001">
        <w:rPr>
          <w:color w:val="000000" w:themeColor="text1"/>
          <w:sz w:val="20"/>
          <w:szCs w:val="20"/>
        </w:rPr>
        <w:t xml:space="preserve"> </w:t>
      </w:r>
      <w:hyperlink r:id="rId1" w:history="1">
        <w:r w:rsidRPr="00C11001">
          <w:rPr>
            <w:rStyle w:val="Hyperlink"/>
            <w:sz w:val="20"/>
            <w:szCs w:val="20"/>
            <w:lang w:val="en-GB"/>
          </w:rPr>
          <w:t>https://oii.org.au/31467/</w:t>
        </w:r>
        <w:r w:rsidRPr="00C11001">
          <w:rPr>
            <w:rStyle w:val="Hyperlink"/>
            <w:bCs/>
            <w:sz w:val="20"/>
            <w:szCs w:val="20"/>
            <w:lang w:val="en-GB"/>
          </w:rPr>
          <w:t>submission-crpd-2017</w:t>
        </w:r>
        <w:r w:rsidRPr="00C11001">
          <w:rPr>
            <w:rStyle w:val="Hyperlink"/>
            <w:sz w:val="20"/>
            <w:szCs w:val="20"/>
            <w:lang w:val="en-GB"/>
          </w:rPr>
          <w:t>/</w:t>
        </w:r>
      </w:hyperlink>
      <w:r w:rsidRPr="00C11001">
        <w:rPr>
          <w:rFonts w:cs="Calibri"/>
          <w:sz w:val="20"/>
          <w:szCs w:val="20"/>
        </w:rPr>
        <w:t xml:space="preserve">)  </w:t>
      </w:r>
    </w:p>
  </w:footnote>
  <w:footnote w:id="10">
    <w:p w14:paraId="5932A3F4" w14:textId="7A6F6AA3" w:rsidR="008A2710" w:rsidRPr="00622212" w:rsidRDefault="008A2710" w:rsidP="00622212">
      <w:pPr>
        <w:pStyle w:val="FootnoteText"/>
        <w:spacing w:after="0" w:line="240" w:lineRule="auto"/>
        <w:rPr>
          <w:bCs/>
          <w:lang w:val="en-US"/>
        </w:rPr>
      </w:pPr>
      <w:r>
        <w:rPr>
          <w:rStyle w:val="FootnoteReference"/>
        </w:rPr>
        <w:footnoteRef/>
      </w:r>
      <w:r>
        <w:t xml:space="preserve"> </w:t>
      </w:r>
      <w:r w:rsidRPr="00622212">
        <w:rPr>
          <w:bCs/>
          <w:lang w:val="en-US"/>
        </w:rPr>
        <w:t xml:space="preserve">See UN Docs: E/C.12/AUS/CO/5; CAT/C/AUS/CO/4-5; CRPD/C/AUS/CO/1; CRC/C/AUS/CO/4; A/HRC/WG.6/10/L; CEDAW/C/AUS/CO/7; CRC/C/15/Add.268; A/67/227; A/HRC/22/53. See also: FIGO (International Federation of Gynecology and Obstetrics), </w:t>
      </w:r>
      <w:r w:rsidRPr="00622212">
        <w:rPr>
          <w:bCs/>
          <w:i/>
          <w:lang w:val="en-US"/>
        </w:rPr>
        <w:t>Female Contraceptive Sterilization</w:t>
      </w:r>
      <w:r w:rsidRPr="00622212">
        <w:rPr>
          <w:bCs/>
          <w:lang w:val="en-US"/>
        </w:rPr>
        <w:t xml:space="preserve"> &lt;</w:t>
      </w:r>
      <w:hyperlink r:id="rId2" w:history="1">
        <w:r w:rsidRPr="00622212">
          <w:rPr>
            <w:rStyle w:val="Hyperlink"/>
            <w:bCs/>
            <w:lang w:val="en-US"/>
          </w:rPr>
          <w:t>http://www.wwda.org.au/FIGOGuidelines2011.pdf</w:t>
        </w:r>
      </w:hyperlink>
      <w:r w:rsidRPr="00622212">
        <w:rPr>
          <w:bCs/>
          <w:lang w:val="en-US"/>
        </w:rPr>
        <w:t xml:space="preserve">&gt;  See also: World Medical Association (WMA) in conjunction with the International Federation of Health and Human Rights Organizations (IFHHRO) (2011) Global Bodies call for end to Forced Sterilization: Press Release, 5 September 2011, available at: </w:t>
      </w:r>
      <w:hyperlink r:id="rId3" w:history="1">
        <w:r w:rsidRPr="00622212">
          <w:rPr>
            <w:rStyle w:val="Hyperlink"/>
            <w:bCs/>
            <w:lang w:val="en-US"/>
          </w:rPr>
          <w:t>http://wwda.org.au/issues/sterilise/sterilise2011/sterilwma2011/</w:t>
        </w:r>
      </w:hyperlink>
      <w:r w:rsidRPr="00622212">
        <w:rPr>
          <w:bCs/>
          <w:lang w:val="en-US"/>
        </w:rPr>
        <w:t xml:space="preserve"> </w:t>
      </w:r>
    </w:p>
  </w:footnote>
  <w:footnote w:id="11">
    <w:p w14:paraId="18383272" w14:textId="47D7B3CC" w:rsidR="008A2710" w:rsidRPr="00622212" w:rsidRDefault="008A2710" w:rsidP="0041498C">
      <w:pPr>
        <w:pStyle w:val="FootnoteText"/>
        <w:spacing w:after="0" w:line="240" w:lineRule="auto"/>
        <w:rPr>
          <w:lang w:val="en-US"/>
        </w:rPr>
      </w:pPr>
      <w:r>
        <w:rPr>
          <w:rStyle w:val="FootnoteReference"/>
        </w:rPr>
        <w:footnoteRef/>
      </w:r>
      <w:r>
        <w:t xml:space="preserve"> </w:t>
      </w:r>
      <w:r w:rsidRPr="00622212">
        <w:t xml:space="preserve">Human Rights Council, 31st </w:t>
      </w:r>
      <w:proofErr w:type="spellStart"/>
      <w:r w:rsidRPr="00622212">
        <w:t>sess</w:t>
      </w:r>
      <w:proofErr w:type="spellEnd"/>
      <w:r w:rsidRPr="00622212">
        <w:t>, UN Doc A/HRC/31/14 (13 January 2016) rec 136.180-184, p.22.</w:t>
      </w:r>
    </w:p>
  </w:footnote>
  <w:footnote w:id="12">
    <w:p w14:paraId="63301775" w14:textId="4AED5EB8" w:rsidR="008A2710" w:rsidRPr="0041498C" w:rsidRDefault="008A2710" w:rsidP="00A8011D">
      <w:pPr>
        <w:pStyle w:val="FootnoteText"/>
        <w:spacing w:after="0" w:line="240" w:lineRule="auto"/>
        <w:rPr>
          <w:lang w:val="en-US"/>
        </w:rPr>
      </w:pPr>
      <w:r>
        <w:rPr>
          <w:rStyle w:val="FootnoteReference"/>
        </w:rPr>
        <w:footnoteRef/>
      </w:r>
      <w:r>
        <w:t xml:space="preserve"> </w:t>
      </w:r>
      <w:r>
        <w:rPr>
          <w:lang w:val="en-US"/>
        </w:rPr>
        <w:t xml:space="preserve">Intersex Human Rights Australia, op. cit., </w:t>
      </w:r>
      <w:r w:rsidRPr="0041498C">
        <w:rPr>
          <w:lang w:val="en-US"/>
        </w:rPr>
        <w:t xml:space="preserve">section 4, </w:t>
      </w:r>
      <w:r w:rsidRPr="0041498C">
        <w:rPr>
          <w:i/>
          <w:lang w:val="en-US"/>
        </w:rPr>
        <w:t>Human rights and the principles we apply in this submission</w:t>
      </w:r>
      <w:r w:rsidRPr="0041498C">
        <w:rPr>
          <w:lang w:val="en-US"/>
        </w:rPr>
        <w:t>, pp. 5-18</w:t>
      </w:r>
    </w:p>
  </w:footnote>
  <w:footnote w:id="13">
    <w:p w14:paraId="4C347FCA" w14:textId="32BBE0C7" w:rsidR="008A2710" w:rsidRPr="00A8011D" w:rsidRDefault="008A2710" w:rsidP="007F2042">
      <w:pPr>
        <w:pStyle w:val="FootnoteText"/>
        <w:spacing w:after="0" w:line="240" w:lineRule="auto"/>
        <w:rPr>
          <w:lang w:val="en-US"/>
        </w:rPr>
      </w:pPr>
      <w:r>
        <w:rPr>
          <w:rStyle w:val="FootnoteReference"/>
        </w:rPr>
        <w:footnoteRef/>
      </w:r>
      <w:r>
        <w:t xml:space="preserve"> Disabled People’s Organisations Australia, ‘Forced sterilisation of people with disability and people with intersex variations’, Factsheet for List of Issues for Australia under CRPD, August 2017.</w:t>
      </w:r>
    </w:p>
  </w:footnote>
  <w:footnote w:id="14">
    <w:p w14:paraId="7DE5A3BB" w14:textId="6DE34617" w:rsidR="008A2710" w:rsidRPr="008A2710" w:rsidRDefault="008A2710" w:rsidP="007F2042">
      <w:pPr>
        <w:pStyle w:val="FootnoteText"/>
        <w:spacing w:after="0" w:line="240" w:lineRule="auto"/>
        <w:rPr>
          <w:lang w:val="en-US"/>
        </w:rPr>
      </w:pPr>
      <w:r>
        <w:rPr>
          <w:rStyle w:val="FootnoteReference"/>
        </w:rPr>
        <w:footnoteRef/>
      </w:r>
      <w:r>
        <w:t xml:space="preserve"> </w:t>
      </w:r>
      <w:r>
        <w:rPr>
          <w:lang w:val="en-US"/>
        </w:rPr>
        <w:t>Based on the Darlington Statement, paragraph 7</w:t>
      </w:r>
      <w:r w:rsidR="007F2042">
        <w:rPr>
          <w:lang w:val="en-US"/>
        </w:rPr>
        <w:t>, Human Rights and Legal Reform, available at:</w:t>
      </w:r>
      <w:r w:rsidR="007F2042" w:rsidRPr="007F2042">
        <w:t xml:space="preserve"> </w:t>
      </w:r>
      <w:hyperlink r:id="rId4" w:history="1">
        <w:r w:rsidR="007F2042" w:rsidRPr="00180640">
          <w:rPr>
            <w:rStyle w:val="Hyperlink"/>
            <w:lang w:val="en-US"/>
          </w:rPr>
          <w:t>http://darlington.org.au/statement/</w:t>
        </w:r>
      </w:hyperlink>
      <w:r w:rsidR="007F2042">
        <w:rPr>
          <w:lang w:val="en-US"/>
        </w:rPr>
        <w:t xml:space="preserve">  </w:t>
      </w:r>
      <w:r>
        <w:rPr>
          <w:lang w:val="en-US"/>
        </w:rPr>
        <w:t xml:space="preserve"> </w:t>
      </w:r>
    </w:p>
  </w:footnote>
  <w:footnote w:id="15">
    <w:p w14:paraId="02C071C0" w14:textId="2872D898" w:rsidR="00606968" w:rsidRPr="00606968" w:rsidRDefault="00606968" w:rsidP="002A26A0">
      <w:pPr>
        <w:pStyle w:val="FootnoteText"/>
        <w:spacing w:after="0" w:line="240" w:lineRule="auto"/>
        <w:rPr>
          <w:lang w:val="en-US"/>
        </w:rPr>
      </w:pPr>
      <w:r>
        <w:rPr>
          <w:rStyle w:val="FootnoteReference"/>
        </w:rPr>
        <w:footnoteRef/>
      </w:r>
      <w:r>
        <w:t xml:space="preserve"> </w:t>
      </w:r>
      <w:r>
        <w:rPr>
          <w:lang w:val="en-US"/>
        </w:rPr>
        <w:t>Intersex Human Rights Australia, op. cit., section 5.1.3, p.24.</w:t>
      </w:r>
    </w:p>
  </w:footnote>
  <w:footnote w:id="16">
    <w:p w14:paraId="7A0AAFD0" w14:textId="780CB696" w:rsidR="00606968" w:rsidRPr="00606968" w:rsidRDefault="00606968" w:rsidP="002A26A0">
      <w:pPr>
        <w:pStyle w:val="FootnoteText"/>
        <w:spacing w:after="0" w:line="240" w:lineRule="auto"/>
        <w:rPr>
          <w:lang w:val="en-US"/>
        </w:rPr>
      </w:pPr>
      <w:r>
        <w:rPr>
          <w:rStyle w:val="FootnoteReference"/>
        </w:rPr>
        <w:footnoteRef/>
      </w:r>
      <w:r>
        <w:t xml:space="preserve"> </w:t>
      </w:r>
      <w:proofErr w:type="gramStart"/>
      <w:r>
        <w:rPr>
          <w:lang w:val="en-US"/>
        </w:rPr>
        <w:t>Ibid.,</w:t>
      </w:r>
      <w:proofErr w:type="gramEnd"/>
      <w:r>
        <w:rPr>
          <w:lang w:val="en-US"/>
        </w:rPr>
        <w:t xml:space="preserve"> section 5, Terminology, pp. 18-28.</w:t>
      </w:r>
    </w:p>
  </w:footnote>
  <w:footnote w:id="17">
    <w:p w14:paraId="686750CD" w14:textId="465439DB" w:rsidR="001C4A8D" w:rsidRPr="001C4A8D" w:rsidRDefault="001C4A8D" w:rsidP="002A26A0">
      <w:pPr>
        <w:pStyle w:val="FootnoteText"/>
        <w:spacing w:after="0" w:line="240" w:lineRule="auto"/>
        <w:rPr>
          <w:lang w:val="en-US"/>
        </w:rPr>
      </w:pPr>
      <w:r>
        <w:rPr>
          <w:rStyle w:val="FootnoteReference"/>
        </w:rPr>
        <w:footnoteRef/>
      </w:r>
      <w:r>
        <w:t xml:space="preserve"> </w:t>
      </w:r>
      <w:r>
        <w:rPr>
          <w:lang w:val="en-US"/>
        </w:rPr>
        <w:t>Ibid., p.21</w:t>
      </w:r>
    </w:p>
  </w:footnote>
  <w:footnote w:id="18">
    <w:p w14:paraId="5620C5D6" w14:textId="7176A7A6" w:rsidR="001C4A8D" w:rsidRPr="001C4A8D" w:rsidRDefault="001C4A8D" w:rsidP="002A26A0">
      <w:pPr>
        <w:pStyle w:val="FootnoteText"/>
        <w:spacing w:after="0" w:line="240" w:lineRule="auto"/>
        <w:rPr>
          <w:lang w:val="en-US"/>
        </w:rPr>
      </w:pPr>
      <w:r>
        <w:rPr>
          <w:rStyle w:val="FootnoteReference"/>
        </w:rPr>
        <w:footnoteRef/>
      </w:r>
      <w:r>
        <w:t xml:space="preserve"> </w:t>
      </w:r>
      <w:r w:rsidRPr="001C4A8D">
        <w:t xml:space="preserve">Rosemary Kayess and Phillip French, ‘Out of Darkness into Light? Introducing the Convention on the Rights of Persons with Disabilities’ (2008) 8(1) </w:t>
      </w:r>
      <w:r w:rsidRPr="001C4A8D">
        <w:rPr>
          <w:i/>
        </w:rPr>
        <w:t>Human Rights Law Review</w:t>
      </w:r>
      <w:r w:rsidRPr="001C4A8D">
        <w:t xml:space="preserve"> 1, p:3</w:t>
      </w:r>
    </w:p>
  </w:footnote>
  <w:footnote w:id="19">
    <w:p w14:paraId="0BE061D2" w14:textId="1DBA400D" w:rsidR="002A26A0" w:rsidRPr="002A26A0" w:rsidRDefault="002A26A0" w:rsidP="002A26A0">
      <w:pPr>
        <w:pStyle w:val="FootnoteText"/>
        <w:spacing w:after="0" w:line="240" w:lineRule="auto"/>
        <w:rPr>
          <w:lang w:val="en-US"/>
        </w:rPr>
      </w:pPr>
      <w:r>
        <w:rPr>
          <w:rStyle w:val="FootnoteReference"/>
        </w:rPr>
        <w:footnoteRef/>
      </w:r>
      <w:r>
        <w:t xml:space="preserve"> </w:t>
      </w:r>
      <w:r>
        <w:rPr>
          <w:lang w:val="en-US"/>
        </w:rPr>
        <w:t xml:space="preserve">For a fuller discussion on the social model of disability, see, Shakespeare, Tom. “The Social Model of Disability.” The Disability Studies Reader. Ed. </w:t>
      </w:r>
      <w:proofErr w:type="spellStart"/>
      <w:r>
        <w:rPr>
          <w:lang w:val="en-US"/>
        </w:rPr>
        <w:t>Lennard</w:t>
      </w:r>
      <w:proofErr w:type="spellEnd"/>
      <w:r>
        <w:rPr>
          <w:lang w:val="en-US"/>
        </w:rPr>
        <w:t xml:space="preserve"> J. Davis. New York: Routledge, 2010. 266-73. Print. (Pre-print copy).  Available: </w:t>
      </w:r>
      <w:hyperlink r:id="rId5" w:history="1">
        <w:r w:rsidRPr="00180640">
          <w:rPr>
            <w:rStyle w:val="Hyperlink"/>
            <w:lang w:val="en-US"/>
          </w:rPr>
          <w:t>http://thedigitalcommons.org/docs/shakespeare_social-model-of-disability.pdf</w:t>
        </w:r>
      </w:hyperlink>
      <w:r>
        <w:rPr>
          <w:lang w:val="en-US"/>
        </w:rPr>
        <w:t xml:space="preserve"> </w:t>
      </w:r>
    </w:p>
  </w:footnote>
  <w:footnote w:id="20">
    <w:p w14:paraId="46A199E7" w14:textId="0E11C280" w:rsidR="002A26A0" w:rsidRPr="002A26A0" w:rsidRDefault="002A26A0" w:rsidP="002A26A0">
      <w:pPr>
        <w:pStyle w:val="FootnoteText"/>
        <w:spacing w:after="0" w:line="240" w:lineRule="auto"/>
        <w:rPr>
          <w:lang w:val="en-US"/>
        </w:rPr>
      </w:pPr>
      <w:r>
        <w:rPr>
          <w:rStyle w:val="FootnoteReference"/>
        </w:rPr>
        <w:footnoteRef/>
      </w:r>
      <w:r>
        <w:t xml:space="preserve"> </w:t>
      </w:r>
      <w:r>
        <w:rPr>
          <w:lang w:val="en-US"/>
        </w:rPr>
        <w:t>Convention on the Rights of Persons with Disabilities, Preamble (e) and article 1.</w:t>
      </w:r>
    </w:p>
  </w:footnote>
  <w:footnote w:id="21">
    <w:p w14:paraId="62AC8DD2" w14:textId="7D09FF04" w:rsidR="002A26A0" w:rsidRPr="002A26A0" w:rsidRDefault="002A26A0" w:rsidP="002A26A0">
      <w:pPr>
        <w:pStyle w:val="FootnoteText"/>
        <w:spacing w:after="0" w:line="240" w:lineRule="auto"/>
        <w:rPr>
          <w:lang w:val="en-US"/>
        </w:rPr>
      </w:pPr>
      <w:r>
        <w:rPr>
          <w:rStyle w:val="FootnoteReference"/>
        </w:rPr>
        <w:footnoteRef/>
      </w:r>
      <w:r>
        <w:t xml:space="preserve"> </w:t>
      </w:r>
      <w:proofErr w:type="gramStart"/>
      <w:r>
        <w:rPr>
          <w:lang w:val="en-US"/>
        </w:rPr>
        <w:t>Ibid.,</w:t>
      </w:r>
      <w:proofErr w:type="gramEnd"/>
      <w:r>
        <w:rPr>
          <w:lang w:val="en-US"/>
        </w:rPr>
        <w:t xml:space="preserve"> article 3(d).</w:t>
      </w:r>
    </w:p>
  </w:footnote>
  <w:footnote w:id="22">
    <w:p w14:paraId="2B76E3EB" w14:textId="6688C42A" w:rsidR="002A26A0" w:rsidRPr="002A26A0" w:rsidRDefault="002A26A0" w:rsidP="002A26A0">
      <w:pPr>
        <w:pStyle w:val="FootnoteText"/>
        <w:spacing w:after="0" w:line="240" w:lineRule="auto"/>
        <w:rPr>
          <w:lang w:val="en-US"/>
        </w:rPr>
      </w:pPr>
      <w:r>
        <w:rPr>
          <w:rStyle w:val="FootnoteReference"/>
        </w:rPr>
        <w:footnoteRef/>
      </w:r>
      <w:r>
        <w:t xml:space="preserve"> Kayess, R., &amp; Sands, T., ‘Human Rights and People with Disability’, Conference Paper, 1</w:t>
      </w:r>
      <w:r w:rsidRPr="002A26A0">
        <w:rPr>
          <w:vertAlign w:val="superscript"/>
        </w:rPr>
        <w:t>st</w:t>
      </w:r>
      <w:r>
        <w:t xml:space="preserve"> Annual Disability Legal and Regulatory Conference, 27 and 28 October 2016.</w:t>
      </w:r>
    </w:p>
  </w:footnote>
  <w:footnote w:id="23">
    <w:p w14:paraId="5962620B" w14:textId="77777777" w:rsidR="008A2710" w:rsidRPr="009F4449" w:rsidRDefault="008A2710" w:rsidP="002A26A0">
      <w:pPr>
        <w:pStyle w:val="FootnoteText"/>
        <w:spacing w:after="0" w:line="240" w:lineRule="auto"/>
        <w:rPr>
          <w:lang w:val="en-US"/>
        </w:rPr>
      </w:pPr>
      <w:r w:rsidRPr="00A96249">
        <w:rPr>
          <w:rStyle w:val="FootnoteReference"/>
          <w:rFonts w:asciiTheme="minorHAnsi" w:hAnsiTheme="minorHAnsi"/>
        </w:rPr>
        <w:footnoteRef/>
      </w:r>
      <w:r w:rsidRPr="00A96249">
        <w:rPr>
          <w:rFonts w:asciiTheme="minorHAnsi" w:hAnsiTheme="minorHAnsi"/>
        </w:rPr>
        <w:t xml:space="preserve"> </w:t>
      </w:r>
      <w:proofErr w:type="spellStart"/>
      <w:r w:rsidRPr="00A96249">
        <w:rPr>
          <w:rFonts w:asciiTheme="minorHAnsi" w:hAnsiTheme="minorHAnsi"/>
          <w:lang w:val="en-US"/>
        </w:rPr>
        <w:t>Fredman</w:t>
      </w:r>
      <w:proofErr w:type="spellEnd"/>
      <w:r w:rsidRPr="00A96249">
        <w:rPr>
          <w:rFonts w:asciiTheme="minorHAnsi" w:hAnsiTheme="minorHAnsi"/>
          <w:lang w:val="en-US"/>
        </w:rPr>
        <w:t xml:space="preserve">, S. (2011) </w:t>
      </w:r>
      <w:r w:rsidRPr="00A96249">
        <w:rPr>
          <w:rFonts w:asciiTheme="minorHAnsi" w:hAnsiTheme="minorHAnsi"/>
          <w:i/>
          <w:lang w:val="en-US"/>
        </w:rPr>
        <w:t>Discrimination law</w:t>
      </w:r>
      <w:r w:rsidRPr="00A96249">
        <w:rPr>
          <w:rFonts w:asciiTheme="minorHAnsi" w:hAnsiTheme="minorHAnsi"/>
          <w:lang w:val="en-US"/>
        </w:rPr>
        <w:t xml:space="preserve"> 2</w:t>
      </w:r>
      <w:r w:rsidRPr="00A96249">
        <w:rPr>
          <w:rFonts w:asciiTheme="minorHAnsi" w:hAnsiTheme="minorHAnsi"/>
          <w:vertAlign w:val="superscript"/>
          <w:lang w:val="en-US"/>
        </w:rPr>
        <w:t>nd</w:t>
      </w:r>
      <w:r w:rsidRPr="00A96249">
        <w:rPr>
          <w:rFonts w:asciiTheme="minorHAnsi" w:hAnsiTheme="minorHAnsi"/>
          <w:lang w:val="en-US"/>
        </w:rPr>
        <w:t xml:space="preserve"> edition Oxford University Press, Oxford p:30</w:t>
      </w:r>
    </w:p>
  </w:footnote>
  <w:footnote w:id="24">
    <w:p w14:paraId="7EF37E4A" w14:textId="0136A7A0" w:rsidR="002A26A0" w:rsidRPr="002A26A0" w:rsidRDefault="002A26A0" w:rsidP="002A26A0">
      <w:pPr>
        <w:pStyle w:val="FootnoteText"/>
        <w:spacing w:after="0" w:line="240" w:lineRule="auto"/>
        <w:rPr>
          <w:lang w:val="en-US"/>
        </w:rPr>
      </w:pPr>
      <w:r>
        <w:rPr>
          <w:rStyle w:val="FootnoteReference"/>
        </w:rPr>
        <w:footnoteRef/>
      </w:r>
      <w:r>
        <w:t xml:space="preserve"> Kayess, R., &amp; Sands, T., ibid.</w:t>
      </w:r>
    </w:p>
  </w:footnote>
  <w:footnote w:id="25">
    <w:p w14:paraId="336EC403" w14:textId="466713F6" w:rsidR="00251677" w:rsidRPr="00251677" w:rsidRDefault="00251677" w:rsidP="00FD6455">
      <w:pPr>
        <w:pStyle w:val="FootnoteText"/>
        <w:spacing w:after="0" w:line="240" w:lineRule="auto"/>
        <w:rPr>
          <w:lang w:val="en-US"/>
        </w:rPr>
      </w:pPr>
      <w:r>
        <w:rPr>
          <w:rStyle w:val="FootnoteReference"/>
        </w:rPr>
        <w:footnoteRef/>
      </w:r>
      <w:r>
        <w:t xml:space="preserve"> </w:t>
      </w:r>
      <w:r>
        <w:rPr>
          <w:lang w:val="en-US"/>
        </w:rPr>
        <w:t>Intersex Human Rights Australia, op. cit., section 11.3, pp. 80-81.</w:t>
      </w:r>
    </w:p>
  </w:footnote>
  <w:footnote w:id="26">
    <w:p w14:paraId="7DDF803A" w14:textId="64339F39" w:rsidR="002E66CB" w:rsidRPr="002E66CB" w:rsidRDefault="002E66CB" w:rsidP="00FD6455">
      <w:pPr>
        <w:pStyle w:val="FootnoteText"/>
        <w:spacing w:after="0" w:line="240" w:lineRule="auto"/>
        <w:rPr>
          <w:lang w:val="en-US"/>
        </w:rPr>
      </w:pPr>
      <w:r>
        <w:rPr>
          <w:rStyle w:val="FootnoteReference"/>
        </w:rPr>
        <w:footnoteRef/>
      </w:r>
      <w:r>
        <w:t xml:space="preserve"> </w:t>
      </w:r>
      <w:r>
        <w:rPr>
          <w:lang w:val="en-US"/>
        </w:rPr>
        <w:t>Australian Human Rights Commission, op. cit., p. 17</w:t>
      </w:r>
    </w:p>
  </w:footnote>
  <w:footnote w:id="27">
    <w:p w14:paraId="2E691FA1" w14:textId="3ACDDCA0" w:rsidR="002E66CB" w:rsidRPr="002E66CB" w:rsidRDefault="002E66CB" w:rsidP="00FD6455">
      <w:pPr>
        <w:pStyle w:val="FootnoteText"/>
        <w:spacing w:after="0" w:line="240" w:lineRule="auto"/>
        <w:rPr>
          <w:lang w:val="en-US"/>
        </w:rPr>
      </w:pPr>
      <w:r>
        <w:rPr>
          <w:rStyle w:val="FootnoteReference"/>
        </w:rPr>
        <w:footnoteRef/>
      </w:r>
      <w:r>
        <w:t xml:space="preserve"> </w:t>
      </w:r>
      <w:r>
        <w:rPr>
          <w:lang w:val="en-US"/>
        </w:rPr>
        <w:t xml:space="preserve">Committee on the Rights of Persons with Disabilities, </w:t>
      </w:r>
      <w:r w:rsidR="00654FD0" w:rsidRPr="00654FD0">
        <w:rPr>
          <w:i/>
          <w:lang w:val="en-US"/>
        </w:rPr>
        <w:t>General Comment No. 1 (2014) – Article 12: Equal Recognition before the law</w:t>
      </w:r>
      <w:r w:rsidR="00654FD0">
        <w:rPr>
          <w:lang w:val="en-US"/>
        </w:rPr>
        <w:t>, 11</w:t>
      </w:r>
      <w:r w:rsidR="00654FD0" w:rsidRPr="00654FD0">
        <w:rPr>
          <w:vertAlign w:val="superscript"/>
          <w:lang w:val="en-US"/>
        </w:rPr>
        <w:t>th</w:t>
      </w:r>
      <w:r w:rsidR="00654FD0">
        <w:rPr>
          <w:lang w:val="en-US"/>
        </w:rPr>
        <w:t xml:space="preserve"> </w:t>
      </w:r>
      <w:proofErr w:type="spellStart"/>
      <w:r w:rsidR="00654FD0">
        <w:rPr>
          <w:lang w:val="en-US"/>
        </w:rPr>
        <w:t>sess</w:t>
      </w:r>
      <w:proofErr w:type="spellEnd"/>
      <w:r w:rsidR="00654FD0">
        <w:rPr>
          <w:lang w:val="en-US"/>
        </w:rPr>
        <w:t>, 31 March-11 April 2014, UN Doc CRPD/C/GC/1, para 8.</w:t>
      </w:r>
    </w:p>
  </w:footnote>
  <w:footnote w:id="28">
    <w:p w14:paraId="2B6B9514" w14:textId="796211C5" w:rsidR="00654FD0" w:rsidRPr="00654FD0" w:rsidRDefault="00654FD0" w:rsidP="00FD6455">
      <w:pPr>
        <w:pStyle w:val="FootnoteText"/>
        <w:spacing w:after="0" w:line="240" w:lineRule="auto"/>
        <w:rPr>
          <w:lang w:val="en-US"/>
        </w:rPr>
      </w:pPr>
      <w:r>
        <w:rPr>
          <w:rStyle w:val="FootnoteReference"/>
        </w:rPr>
        <w:footnoteRef/>
      </w:r>
      <w:r>
        <w:t xml:space="preserve"> </w:t>
      </w:r>
      <w:r>
        <w:rPr>
          <w:lang w:val="en-US"/>
        </w:rPr>
        <w:t>Ibid.</w:t>
      </w:r>
    </w:p>
  </w:footnote>
  <w:footnote w:id="29">
    <w:p w14:paraId="2E84EEB1" w14:textId="175FE6A3" w:rsidR="00654FD0" w:rsidRPr="00654FD0" w:rsidRDefault="00654FD0" w:rsidP="00FD6455">
      <w:pPr>
        <w:pStyle w:val="FootnoteText"/>
        <w:spacing w:after="0" w:line="240" w:lineRule="auto"/>
        <w:rPr>
          <w:lang w:val="en-US"/>
        </w:rPr>
      </w:pPr>
      <w:r>
        <w:rPr>
          <w:rStyle w:val="FootnoteReference"/>
        </w:rPr>
        <w:footnoteRef/>
      </w:r>
      <w:r>
        <w:t xml:space="preserve"> </w:t>
      </w:r>
      <w:r>
        <w:rPr>
          <w:lang w:val="en-US"/>
        </w:rPr>
        <w:t>Ibid, para 15.</w:t>
      </w:r>
    </w:p>
  </w:footnote>
  <w:footnote w:id="30">
    <w:p w14:paraId="601C4AC1" w14:textId="22C0C03F" w:rsidR="0067484E" w:rsidRPr="0067484E" w:rsidRDefault="0067484E" w:rsidP="00985120">
      <w:pPr>
        <w:pStyle w:val="FootnoteText"/>
        <w:spacing w:after="0" w:line="240" w:lineRule="auto"/>
        <w:rPr>
          <w:lang w:val="en-US"/>
        </w:rPr>
      </w:pPr>
      <w:r>
        <w:rPr>
          <w:rStyle w:val="FootnoteReference"/>
        </w:rPr>
        <w:footnoteRef/>
      </w:r>
      <w:r>
        <w:t xml:space="preserve"> </w:t>
      </w:r>
      <w:r>
        <w:rPr>
          <w:lang w:val="en-US"/>
        </w:rPr>
        <w:t>Ibid, para 22.</w:t>
      </w:r>
    </w:p>
  </w:footnote>
  <w:footnote w:id="31">
    <w:p w14:paraId="56882D06" w14:textId="42930A06" w:rsidR="0067484E" w:rsidRPr="0067484E" w:rsidRDefault="0067484E" w:rsidP="00985120">
      <w:pPr>
        <w:pStyle w:val="FootnoteText"/>
        <w:spacing w:after="0" w:line="240" w:lineRule="auto"/>
        <w:rPr>
          <w:lang w:val="en-US"/>
        </w:rPr>
      </w:pPr>
      <w:r>
        <w:rPr>
          <w:rStyle w:val="FootnoteReference"/>
        </w:rPr>
        <w:footnoteRef/>
      </w:r>
      <w:r>
        <w:t xml:space="preserve"> </w:t>
      </w:r>
      <w:r>
        <w:rPr>
          <w:lang w:val="en-US"/>
        </w:rPr>
        <w:t>Ibid, para 17.</w:t>
      </w:r>
    </w:p>
  </w:footnote>
  <w:footnote w:id="32">
    <w:p w14:paraId="5BDE27B7" w14:textId="3F2E4E01" w:rsidR="0067484E" w:rsidRPr="0067484E" w:rsidRDefault="0067484E" w:rsidP="00985120">
      <w:pPr>
        <w:pStyle w:val="FootnoteText"/>
        <w:spacing w:after="0" w:line="240" w:lineRule="auto"/>
        <w:rPr>
          <w:lang w:val="en-US"/>
        </w:rPr>
      </w:pPr>
      <w:r>
        <w:rPr>
          <w:rStyle w:val="FootnoteReference"/>
        </w:rPr>
        <w:footnoteRef/>
      </w:r>
      <w:r>
        <w:t xml:space="preserve"> </w:t>
      </w:r>
      <w:r>
        <w:rPr>
          <w:lang w:val="en-US"/>
        </w:rPr>
        <w:t>Ibid, para 21.</w:t>
      </w:r>
    </w:p>
  </w:footnote>
  <w:footnote w:id="33">
    <w:p w14:paraId="5F6A9C7B" w14:textId="66CCBCB7" w:rsidR="0067484E" w:rsidRPr="0067484E" w:rsidRDefault="0067484E" w:rsidP="00985120">
      <w:pPr>
        <w:pStyle w:val="FootnoteText"/>
        <w:spacing w:after="0" w:line="240" w:lineRule="auto"/>
        <w:rPr>
          <w:lang w:val="en-US"/>
        </w:rPr>
      </w:pPr>
      <w:r>
        <w:rPr>
          <w:rStyle w:val="FootnoteReference"/>
        </w:rPr>
        <w:footnoteRef/>
      </w:r>
      <w:r>
        <w:t xml:space="preserve"> Convention on the Rights of Persons with Disabilities, article 7(2).</w:t>
      </w:r>
    </w:p>
  </w:footnote>
  <w:footnote w:id="34">
    <w:p w14:paraId="0621A248" w14:textId="5EE9B4B4" w:rsidR="00F17991" w:rsidRPr="00F17991" w:rsidRDefault="00F17991" w:rsidP="00985120">
      <w:pPr>
        <w:pStyle w:val="FootnoteText"/>
        <w:spacing w:after="0" w:line="240" w:lineRule="auto"/>
        <w:rPr>
          <w:lang w:val="en-US"/>
        </w:rPr>
      </w:pPr>
      <w:r>
        <w:rPr>
          <w:rStyle w:val="FootnoteReference"/>
        </w:rPr>
        <w:footnoteRef/>
      </w:r>
      <w:r>
        <w:t xml:space="preserve"> </w:t>
      </w:r>
      <w:r w:rsidR="00985120">
        <w:rPr>
          <w:lang w:val="en-US"/>
        </w:rPr>
        <w:t>Ibid, article 3(h</w:t>
      </w:r>
      <w:r>
        <w:rPr>
          <w:lang w:val="en-US"/>
        </w:rPr>
        <w:t>).</w:t>
      </w:r>
    </w:p>
  </w:footnote>
  <w:footnote w:id="35">
    <w:p w14:paraId="25BB5E65" w14:textId="44BA5403" w:rsidR="00985120" w:rsidRPr="00985120" w:rsidRDefault="00985120" w:rsidP="00985120">
      <w:pPr>
        <w:pStyle w:val="FootnoteText"/>
        <w:spacing w:after="0" w:line="240" w:lineRule="auto"/>
        <w:rPr>
          <w:lang w:val="en-US"/>
        </w:rPr>
      </w:pPr>
      <w:r>
        <w:rPr>
          <w:rStyle w:val="FootnoteReference"/>
        </w:rPr>
        <w:footnoteRef/>
      </w:r>
      <w:r>
        <w:t xml:space="preserve"> </w:t>
      </w:r>
      <w:r>
        <w:rPr>
          <w:lang w:val="en-US"/>
        </w:rPr>
        <w:t>Ibid, article 7(3).</w:t>
      </w:r>
    </w:p>
  </w:footnote>
  <w:footnote w:id="36">
    <w:p w14:paraId="64E697BC" w14:textId="09FC7D5C" w:rsidR="00985120" w:rsidRPr="00985120" w:rsidRDefault="00985120" w:rsidP="00985120">
      <w:pPr>
        <w:pStyle w:val="FootnoteText"/>
        <w:spacing w:after="0" w:line="240" w:lineRule="auto"/>
        <w:rPr>
          <w:lang w:val="en-US"/>
        </w:rPr>
      </w:pPr>
      <w:r>
        <w:rPr>
          <w:rStyle w:val="FootnoteReference"/>
        </w:rPr>
        <w:footnoteRef/>
      </w:r>
      <w:r>
        <w:t xml:space="preserve"> </w:t>
      </w:r>
      <w:r>
        <w:rPr>
          <w:lang w:val="en-US"/>
        </w:rPr>
        <w:t>Committee on the Rights of Persons with Disabilities, op. cit., para 36.</w:t>
      </w:r>
    </w:p>
  </w:footnote>
  <w:footnote w:id="37">
    <w:p w14:paraId="3827094B" w14:textId="0801DEEA" w:rsidR="00985120" w:rsidRPr="00985120" w:rsidRDefault="00985120" w:rsidP="007B2CC6">
      <w:pPr>
        <w:pStyle w:val="FootnoteText"/>
        <w:spacing w:after="0" w:line="240" w:lineRule="auto"/>
        <w:rPr>
          <w:lang w:val="en-US"/>
        </w:rPr>
      </w:pPr>
      <w:r>
        <w:rPr>
          <w:rStyle w:val="FootnoteReference"/>
        </w:rPr>
        <w:footnoteRef/>
      </w:r>
      <w:r>
        <w:t xml:space="preserve"> </w:t>
      </w:r>
      <w:r w:rsidRPr="00985120">
        <w:rPr>
          <w:lang w:val="en-US"/>
        </w:rPr>
        <w:t>Convention on the Rights of Persons with Disabilities: Declarations and Reservations (Australia), opened for signature 30 March 2007, 999 UNTS 3 (entered into force 3 May 2008).</w:t>
      </w:r>
    </w:p>
  </w:footnote>
  <w:footnote w:id="38">
    <w:p w14:paraId="71F0F3EF" w14:textId="60F8C534" w:rsidR="00985120" w:rsidRPr="00985120" w:rsidRDefault="00985120" w:rsidP="00FD6455">
      <w:pPr>
        <w:pStyle w:val="FootnoteText"/>
        <w:spacing w:after="0" w:line="240" w:lineRule="auto"/>
        <w:rPr>
          <w:lang w:val="en-US"/>
        </w:rPr>
      </w:pPr>
      <w:r>
        <w:rPr>
          <w:rStyle w:val="FootnoteReference"/>
        </w:rPr>
        <w:footnoteRef/>
      </w:r>
      <w:r>
        <w:t xml:space="preserve"> </w:t>
      </w:r>
      <w:r w:rsidRPr="00985120">
        <w:rPr>
          <w:lang w:val="en-US"/>
        </w:rPr>
        <w:t xml:space="preserve">Committee on the Rights of Persons with Disabilities, </w:t>
      </w:r>
      <w:r w:rsidRPr="00985120">
        <w:rPr>
          <w:i/>
          <w:iCs/>
          <w:lang w:val="en-US"/>
        </w:rPr>
        <w:t>Concluding Observations on the Initial Report of Australi</w:t>
      </w:r>
      <w:r w:rsidRPr="00985120">
        <w:rPr>
          <w:lang w:val="en-US"/>
        </w:rPr>
        <w:t xml:space="preserve">a, 10th Session (4 October 2013) [8]-[9] &amp; [24]–[25].  </w:t>
      </w:r>
    </w:p>
  </w:footnote>
  <w:footnote w:id="39">
    <w:p w14:paraId="501DB2BD" w14:textId="4C89D524" w:rsidR="00A52841" w:rsidRPr="00A52841" w:rsidRDefault="00A52841" w:rsidP="00FD6455">
      <w:pPr>
        <w:pStyle w:val="FootnoteText"/>
        <w:spacing w:after="0" w:line="240" w:lineRule="auto"/>
        <w:jc w:val="both"/>
        <w:rPr>
          <w:lang w:val="en-US"/>
        </w:rPr>
      </w:pPr>
      <w:r>
        <w:rPr>
          <w:rStyle w:val="FootnoteReference"/>
        </w:rPr>
        <w:footnoteRef/>
      </w:r>
      <w:r>
        <w:t xml:space="preserve"> </w:t>
      </w:r>
      <w:r>
        <w:rPr>
          <w:lang w:val="en-US"/>
        </w:rPr>
        <w:t xml:space="preserve">Committee on the Rights of Persons with Disabilities, </w:t>
      </w:r>
      <w:r>
        <w:rPr>
          <w:i/>
          <w:lang w:val="en-US"/>
        </w:rPr>
        <w:t xml:space="preserve">List of issues prior to the submission of the combined second and third periodic reports of Australia, </w:t>
      </w:r>
      <w:r>
        <w:rPr>
          <w:lang w:val="en-US"/>
        </w:rPr>
        <w:t>18</w:t>
      </w:r>
      <w:r w:rsidRPr="00A52841">
        <w:rPr>
          <w:vertAlign w:val="superscript"/>
          <w:lang w:val="en-US"/>
        </w:rPr>
        <w:t>th</w:t>
      </w:r>
      <w:r>
        <w:rPr>
          <w:lang w:val="en-US"/>
        </w:rPr>
        <w:t xml:space="preserve"> session, 14-31 August 2017, UN Doc CRPD/C/AUS/QPR/2-3, A(1).</w:t>
      </w:r>
    </w:p>
  </w:footnote>
  <w:footnote w:id="40">
    <w:p w14:paraId="788F3AD6" w14:textId="074F0873" w:rsidR="00A52841" w:rsidRPr="00A52841" w:rsidRDefault="00A52841" w:rsidP="00FD6455">
      <w:pPr>
        <w:pStyle w:val="FootnoteText"/>
        <w:spacing w:after="0" w:line="240" w:lineRule="auto"/>
        <w:rPr>
          <w:lang w:val="en-US"/>
        </w:rPr>
      </w:pPr>
      <w:r>
        <w:rPr>
          <w:rStyle w:val="FootnoteReference"/>
        </w:rPr>
        <w:footnoteRef/>
      </w:r>
      <w:r>
        <w:t xml:space="preserve"> </w:t>
      </w:r>
      <w:r>
        <w:rPr>
          <w:i/>
          <w:lang w:val="en-US"/>
        </w:rPr>
        <w:t xml:space="preserve">Australia’s Combined Second and Third Periodic Report under the Convention on the Rights of Persons with Disabilities, </w:t>
      </w:r>
      <w:r>
        <w:rPr>
          <w:lang w:val="en-US"/>
        </w:rPr>
        <w:t xml:space="preserve">1 September 2017, </w:t>
      </w:r>
      <w:r w:rsidR="007B2CC6">
        <w:rPr>
          <w:lang w:val="en-US"/>
        </w:rPr>
        <w:t xml:space="preserve">para 16, available: </w:t>
      </w:r>
      <w:hyperlink r:id="rId6" w:history="1">
        <w:r w:rsidR="007B2CC6">
          <w:rPr>
            <w:rStyle w:val="Hyperlink"/>
            <w:rFonts w:eastAsia="Times New Roman"/>
          </w:rPr>
          <w:t>https://www.ag.gov.au/Consultations/Documents/Convention-on-the-rights-of-persons-with-disabilities/Australias-draft-combined-second-and-third-periodic-report.pdf</w:t>
        </w:r>
      </w:hyperlink>
    </w:p>
  </w:footnote>
  <w:footnote w:id="41">
    <w:p w14:paraId="72AD1A81" w14:textId="38519E5E" w:rsidR="007B2CC6" w:rsidRPr="007B2CC6" w:rsidRDefault="007B2CC6" w:rsidP="00FD6455">
      <w:pPr>
        <w:pStyle w:val="FootnoteText"/>
        <w:spacing w:after="0" w:line="240" w:lineRule="auto"/>
        <w:rPr>
          <w:lang w:val="en-US"/>
        </w:rPr>
      </w:pPr>
      <w:r>
        <w:rPr>
          <w:rStyle w:val="FootnoteReference"/>
        </w:rPr>
        <w:footnoteRef/>
      </w:r>
      <w:r>
        <w:t xml:space="preserve"> </w:t>
      </w:r>
      <w:r w:rsidRPr="007B2CC6">
        <w:t xml:space="preserve">Australian Law Reform Commission, </w:t>
      </w:r>
      <w:r w:rsidRPr="007B2CC6">
        <w:rPr>
          <w:i/>
          <w:iCs/>
        </w:rPr>
        <w:t>Equality, Capacity and Disability in Commonwealth Laws</w:t>
      </w:r>
      <w:r w:rsidRPr="007B2CC6">
        <w:t>, ALRC Report 124 (2014</w:t>
      </w:r>
      <w:r w:rsidR="00C1535F">
        <w:t>)</w:t>
      </w:r>
      <w:r w:rsidRPr="007B2CC6">
        <w:t xml:space="preserve">, </w:t>
      </w:r>
      <w:hyperlink r:id="rId7" w:history="1">
        <w:r w:rsidRPr="007B2CC6">
          <w:rPr>
            <w:rStyle w:val="Hyperlink"/>
            <w:lang w:val="en-US"/>
          </w:rPr>
          <w:t>https://www.alrc.gov.au/news-media/equality-capacity-and-disability-alrc-report</w:t>
        </w:r>
      </w:hyperlink>
    </w:p>
  </w:footnote>
  <w:footnote w:id="42">
    <w:p w14:paraId="159AA457" w14:textId="7F0F5EDE" w:rsidR="00C1535F" w:rsidRPr="00C1535F" w:rsidRDefault="00C1535F" w:rsidP="00FD6455">
      <w:pPr>
        <w:pStyle w:val="FootnoteText"/>
        <w:spacing w:after="0" w:line="240" w:lineRule="auto"/>
        <w:rPr>
          <w:lang w:val="en-US"/>
        </w:rPr>
      </w:pPr>
      <w:r>
        <w:rPr>
          <w:rStyle w:val="FootnoteReference"/>
        </w:rPr>
        <w:footnoteRef/>
      </w:r>
      <w:r>
        <w:t xml:space="preserve"> </w:t>
      </w:r>
      <w:r>
        <w:rPr>
          <w:lang w:val="en-US"/>
        </w:rPr>
        <w:t>Ibid, para 148.</w:t>
      </w:r>
    </w:p>
  </w:footnote>
  <w:footnote w:id="43">
    <w:p w14:paraId="0325FC7E" w14:textId="4237175B" w:rsidR="00C1535F" w:rsidRPr="00C1535F" w:rsidRDefault="00C1535F" w:rsidP="00FD6455">
      <w:pPr>
        <w:pStyle w:val="FootnoteText"/>
        <w:spacing w:after="0" w:line="240" w:lineRule="auto"/>
      </w:pPr>
      <w:r w:rsidRPr="00C1535F">
        <w:rPr>
          <w:rStyle w:val="FootnoteReference"/>
        </w:rPr>
        <w:footnoteRef/>
      </w:r>
      <w:r w:rsidRPr="00C1535F">
        <w:t xml:space="preserve"> Intersex Human Rights Australia, section 8.2.2, pp. 52-54.</w:t>
      </w:r>
    </w:p>
  </w:footnote>
  <w:footnote w:id="44">
    <w:p w14:paraId="6AE26F0A" w14:textId="16864113" w:rsidR="00C1535F" w:rsidRPr="00C1535F" w:rsidRDefault="00C1535F" w:rsidP="00C1535F">
      <w:pPr>
        <w:pStyle w:val="FootnoteText"/>
        <w:spacing w:after="0" w:line="240" w:lineRule="auto"/>
      </w:pPr>
      <w:r w:rsidRPr="00C1535F">
        <w:rPr>
          <w:rStyle w:val="FootnoteReference"/>
        </w:rPr>
        <w:footnoteRef/>
      </w:r>
      <w:r w:rsidRPr="00C1535F">
        <w:t xml:space="preserve"> People with Disability Australia, ‘Senate Standing Committee on Community Affairs: Inquiry into the involuntary or coerced sterilisation of people with disabilities in Australia’, Submission (March 2013); Women with Disabilities Australia, ‘Dehumanised: The Forced Sterilisation of Women and Girls with Disabilities in Australia’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644" w:hanging="360"/>
      </w:pPr>
      <w:rPr>
        <w:rFonts w:ascii="Symbol" w:hAnsi="Symbol" w:cs="Symbol"/>
        <w:b w:val="0"/>
        <w:color w:val="000000"/>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cs="Wingdings"/>
      </w:rPr>
    </w:lvl>
    <w:lvl w:ilvl="3">
      <w:start w:val="1"/>
      <w:numFmt w:val="bullet"/>
      <w:lvlText w:val=""/>
      <w:lvlJc w:val="left"/>
      <w:pPr>
        <w:tabs>
          <w:tab w:val="num" w:pos="0"/>
        </w:tabs>
        <w:ind w:left="2804" w:hanging="360"/>
      </w:pPr>
      <w:rPr>
        <w:rFonts w:ascii="Symbol" w:hAnsi="Symbol" w:cs="Symbol"/>
        <w:b w:val="0"/>
        <w:color w:val="000000"/>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cs="Wingdings"/>
      </w:rPr>
    </w:lvl>
    <w:lvl w:ilvl="6">
      <w:start w:val="1"/>
      <w:numFmt w:val="bullet"/>
      <w:lvlText w:val=""/>
      <w:lvlJc w:val="left"/>
      <w:pPr>
        <w:tabs>
          <w:tab w:val="num" w:pos="0"/>
        </w:tabs>
        <w:ind w:left="4964" w:hanging="360"/>
      </w:pPr>
      <w:rPr>
        <w:rFonts w:ascii="Symbol" w:hAnsi="Symbol" w:cs="Symbol"/>
        <w:b w:val="0"/>
        <w:color w:val="000000"/>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cs="Wingdings"/>
      </w:rPr>
    </w:lvl>
  </w:abstractNum>
  <w:abstractNum w:abstractNumId="1">
    <w:nsid w:val="00000004"/>
    <w:multiLevelType w:val="multilevel"/>
    <w:tmpl w:val="00000004"/>
    <w:name w:val="WWNum3"/>
    <w:lvl w:ilvl="0">
      <w:start w:val="1"/>
      <w:numFmt w:val="bullet"/>
      <w:lvlText w:val="•"/>
      <w:lvlJc w:val="left"/>
      <w:pPr>
        <w:tabs>
          <w:tab w:val="num" w:pos="0"/>
        </w:tabs>
        <w:ind w:left="453" w:hanging="260"/>
      </w:pPr>
      <w:rPr>
        <w:rFonts w:ascii="Verdana" w:hAnsi="Verdana"/>
        <w:color w:val="00659E"/>
        <w:sz w:val="24"/>
        <w:szCs w:val="24"/>
      </w:rPr>
    </w:lvl>
    <w:lvl w:ilvl="1">
      <w:start w:val="1"/>
      <w:numFmt w:val="bullet"/>
      <w:lvlText w:val=""/>
      <w:lvlJc w:val="left"/>
      <w:pPr>
        <w:tabs>
          <w:tab w:val="num" w:pos="0"/>
        </w:tabs>
        <w:ind w:left="1598" w:hanging="260"/>
      </w:pPr>
      <w:rPr>
        <w:rFonts w:ascii="Symbol" w:hAnsi="Symbol"/>
      </w:rPr>
    </w:lvl>
    <w:lvl w:ilvl="2">
      <w:start w:val="1"/>
      <w:numFmt w:val="bullet"/>
      <w:lvlText w:val=""/>
      <w:lvlJc w:val="left"/>
      <w:pPr>
        <w:tabs>
          <w:tab w:val="num" w:pos="0"/>
        </w:tabs>
        <w:ind w:left="2743" w:hanging="260"/>
      </w:pPr>
      <w:rPr>
        <w:rFonts w:ascii="Symbol" w:hAnsi="Symbol"/>
      </w:rPr>
    </w:lvl>
    <w:lvl w:ilvl="3">
      <w:start w:val="1"/>
      <w:numFmt w:val="bullet"/>
      <w:lvlText w:val=""/>
      <w:lvlJc w:val="left"/>
      <w:pPr>
        <w:tabs>
          <w:tab w:val="num" w:pos="0"/>
        </w:tabs>
        <w:ind w:left="3889" w:hanging="260"/>
      </w:pPr>
      <w:rPr>
        <w:rFonts w:ascii="Symbol" w:hAnsi="Symbol"/>
      </w:rPr>
    </w:lvl>
    <w:lvl w:ilvl="4">
      <w:start w:val="1"/>
      <w:numFmt w:val="bullet"/>
      <w:lvlText w:val=""/>
      <w:lvlJc w:val="left"/>
      <w:pPr>
        <w:tabs>
          <w:tab w:val="num" w:pos="0"/>
        </w:tabs>
        <w:ind w:left="5034" w:hanging="260"/>
      </w:pPr>
      <w:rPr>
        <w:rFonts w:ascii="Symbol" w:hAnsi="Symbol"/>
      </w:rPr>
    </w:lvl>
    <w:lvl w:ilvl="5">
      <w:start w:val="1"/>
      <w:numFmt w:val="bullet"/>
      <w:lvlText w:val=""/>
      <w:lvlJc w:val="left"/>
      <w:pPr>
        <w:tabs>
          <w:tab w:val="num" w:pos="0"/>
        </w:tabs>
        <w:ind w:left="6179" w:hanging="260"/>
      </w:pPr>
      <w:rPr>
        <w:rFonts w:ascii="Symbol" w:hAnsi="Symbol"/>
      </w:rPr>
    </w:lvl>
    <w:lvl w:ilvl="6">
      <w:start w:val="1"/>
      <w:numFmt w:val="bullet"/>
      <w:lvlText w:val=""/>
      <w:lvlJc w:val="left"/>
      <w:pPr>
        <w:tabs>
          <w:tab w:val="num" w:pos="0"/>
        </w:tabs>
        <w:ind w:left="7324" w:hanging="260"/>
      </w:pPr>
      <w:rPr>
        <w:rFonts w:ascii="Symbol" w:hAnsi="Symbol"/>
      </w:rPr>
    </w:lvl>
    <w:lvl w:ilvl="7">
      <w:start w:val="1"/>
      <w:numFmt w:val="bullet"/>
      <w:lvlText w:val=""/>
      <w:lvlJc w:val="left"/>
      <w:pPr>
        <w:tabs>
          <w:tab w:val="num" w:pos="0"/>
        </w:tabs>
        <w:ind w:left="8469" w:hanging="260"/>
      </w:pPr>
      <w:rPr>
        <w:rFonts w:ascii="Symbol" w:hAnsi="Symbol"/>
      </w:rPr>
    </w:lvl>
    <w:lvl w:ilvl="8">
      <w:start w:val="1"/>
      <w:numFmt w:val="bullet"/>
      <w:lvlText w:val=""/>
      <w:lvlJc w:val="left"/>
      <w:pPr>
        <w:tabs>
          <w:tab w:val="num" w:pos="0"/>
        </w:tabs>
        <w:ind w:left="9615" w:hanging="260"/>
      </w:pPr>
      <w:rPr>
        <w:rFonts w:ascii="Symbol" w:hAnsi="Symbol"/>
      </w:rPr>
    </w:lvl>
  </w:abstractNum>
  <w:abstractNum w:abstractNumId="2">
    <w:nsid w:val="058F7B76"/>
    <w:multiLevelType w:val="hybridMultilevel"/>
    <w:tmpl w:val="98266DFC"/>
    <w:lvl w:ilvl="0" w:tplc="6706C45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8D296F"/>
    <w:multiLevelType w:val="multilevel"/>
    <w:tmpl w:val="90A825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98726A2"/>
    <w:multiLevelType w:val="hybridMultilevel"/>
    <w:tmpl w:val="D16A4596"/>
    <w:lvl w:ilvl="0" w:tplc="4914103A">
      <w:start w:val="3"/>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C33D83"/>
    <w:multiLevelType w:val="hybridMultilevel"/>
    <w:tmpl w:val="365A7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A337A2"/>
    <w:multiLevelType w:val="hybridMultilevel"/>
    <w:tmpl w:val="23525CB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
    <w:nsid w:val="14D311B6"/>
    <w:multiLevelType w:val="hybridMultilevel"/>
    <w:tmpl w:val="37007B20"/>
    <w:lvl w:ilvl="0" w:tplc="46A0CB70">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DE1596"/>
    <w:multiLevelType w:val="hybridMultilevel"/>
    <w:tmpl w:val="9C781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451C8A"/>
    <w:multiLevelType w:val="hybridMultilevel"/>
    <w:tmpl w:val="02420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423115"/>
    <w:multiLevelType w:val="hybridMultilevel"/>
    <w:tmpl w:val="3A120C90"/>
    <w:lvl w:ilvl="0" w:tplc="26F257EA">
      <w:start w:val="3"/>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6E5A4D"/>
    <w:multiLevelType w:val="hybridMultilevel"/>
    <w:tmpl w:val="4D702E60"/>
    <w:lvl w:ilvl="0" w:tplc="AAD06528">
      <w:start w:val="1"/>
      <w:numFmt w:val="lowerRoman"/>
      <w:lvlText w:val="%1)"/>
      <w:lvlJc w:val="left"/>
      <w:pPr>
        <w:ind w:left="1571" w:hanging="720"/>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nsid w:val="23454F32"/>
    <w:multiLevelType w:val="hybridMultilevel"/>
    <w:tmpl w:val="C77C75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E1B720C"/>
    <w:multiLevelType w:val="hybridMultilevel"/>
    <w:tmpl w:val="F85221B0"/>
    <w:lvl w:ilvl="0" w:tplc="492C8D86">
      <w:numFmt w:val="bullet"/>
      <w:lvlText w:val="-"/>
      <w:lvlJc w:val="left"/>
      <w:pPr>
        <w:ind w:left="927" w:hanging="360"/>
      </w:pPr>
      <w:rPr>
        <w:rFonts w:ascii="Calibri" w:eastAsia="Calibri" w:hAnsi="Calibri" w:cs="Calibr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4">
    <w:nsid w:val="32B05058"/>
    <w:multiLevelType w:val="hybridMultilevel"/>
    <w:tmpl w:val="84C266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62C767F"/>
    <w:multiLevelType w:val="multilevel"/>
    <w:tmpl w:val="C0145842"/>
    <w:lvl w:ilvl="0">
      <w:start w:val="1"/>
      <w:numFmt w:val="decimal"/>
      <w:pStyle w:val="Heading1"/>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93F77D5"/>
    <w:multiLevelType w:val="hybridMultilevel"/>
    <w:tmpl w:val="E230D534"/>
    <w:lvl w:ilvl="0" w:tplc="0C09000F">
      <w:start w:val="1"/>
      <w:numFmt w:val="decimal"/>
      <w:lvlText w:val="%1."/>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E5C0657"/>
    <w:multiLevelType w:val="hybridMultilevel"/>
    <w:tmpl w:val="2C58A2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F5B55DB"/>
    <w:multiLevelType w:val="hybridMultilevel"/>
    <w:tmpl w:val="3FE821A2"/>
    <w:lvl w:ilvl="0" w:tplc="DD5E20D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66C64EE"/>
    <w:multiLevelType w:val="hybridMultilevel"/>
    <w:tmpl w:val="2D60322C"/>
    <w:lvl w:ilvl="0" w:tplc="70585E40">
      <w:start w:val="3"/>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37C0861"/>
    <w:multiLevelType w:val="hybridMultilevel"/>
    <w:tmpl w:val="8F506E68"/>
    <w:lvl w:ilvl="0" w:tplc="46A0CB70">
      <w:start w:val="1"/>
      <w:numFmt w:val="bullet"/>
      <w:lvlText w:val="•"/>
      <w:lvlJc w:val="left"/>
      <w:pPr>
        <w:ind w:left="1287" w:hanging="360"/>
      </w:pPr>
      <w:rPr>
        <w:rFonts w:ascii="Arial" w:hAnsi="Arial" w:hint="default"/>
      </w:rPr>
    </w:lvl>
    <w:lvl w:ilvl="1" w:tplc="1A68881E">
      <w:numFmt w:val="bullet"/>
      <w:lvlText w:val="-"/>
      <w:lvlJc w:val="left"/>
      <w:pPr>
        <w:ind w:left="2007" w:hanging="360"/>
      </w:pPr>
      <w:rPr>
        <w:rFonts w:ascii="Calibri" w:eastAsia="Calibri" w:hAnsi="Calibri" w:cs="Calibri"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nsid w:val="54A22137"/>
    <w:multiLevelType w:val="hybridMultilevel"/>
    <w:tmpl w:val="09183A54"/>
    <w:lvl w:ilvl="0" w:tplc="2B06E864">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5FF4E10"/>
    <w:multiLevelType w:val="hybridMultilevel"/>
    <w:tmpl w:val="40FC5E8E"/>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23">
    <w:nsid w:val="574A09B7"/>
    <w:multiLevelType w:val="hybridMultilevel"/>
    <w:tmpl w:val="C958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5853D0"/>
    <w:multiLevelType w:val="hybridMultilevel"/>
    <w:tmpl w:val="4454ADCA"/>
    <w:lvl w:ilvl="0" w:tplc="AAD06528">
      <w:start w:val="1"/>
      <w:numFmt w:val="lowerRoman"/>
      <w:lvlText w:val="%1)"/>
      <w:lvlJc w:val="left"/>
      <w:pPr>
        <w:ind w:left="1571" w:hanging="720"/>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63126EEE"/>
    <w:multiLevelType w:val="hybridMultilevel"/>
    <w:tmpl w:val="F0A0E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77E171E"/>
    <w:multiLevelType w:val="hybridMultilevel"/>
    <w:tmpl w:val="4454ADCA"/>
    <w:lvl w:ilvl="0" w:tplc="AAD06528">
      <w:start w:val="1"/>
      <w:numFmt w:val="lowerRoman"/>
      <w:lvlText w:val="%1)"/>
      <w:lvlJc w:val="left"/>
      <w:pPr>
        <w:ind w:left="1571" w:hanging="720"/>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67C3719F"/>
    <w:multiLevelType w:val="hybridMultilevel"/>
    <w:tmpl w:val="8056D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89E434A"/>
    <w:multiLevelType w:val="hybridMultilevel"/>
    <w:tmpl w:val="6D7CCB8A"/>
    <w:lvl w:ilvl="0" w:tplc="46A0CB70">
      <w:start w:val="1"/>
      <w:numFmt w:val="bullet"/>
      <w:lvlText w:val="•"/>
      <w:lvlJc w:val="left"/>
      <w:pPr>
        <w:ind w:left="1287" w:hanging="360"/>
      </w:pPr>
      <w:rPr>
        <w:rFonts w:ascii="Arial" w:hAnsi="Aria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nsid w:val="69151745"/>
    <w:multiLevelType w:val="multilevel"/>
    <w:tmpl w:val="E31A02C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93025A3"/>
    <w:multiLevelType w:val="hybridMultilevel"/>
    <w:tmpl w:val="84C266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A8D7E57"/>
    <w:multiLevelType w:val="hybridMultilevel"/>
    <w:tmpl w:val="C20E0396"/>
    <w:lvl w:ilvl="0" w:tplc="505654B2">
      <w:start w:val="3"/>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ED10AA7"/>
    <w:multiLevelType w:val="hybridMultilevel"/>
    <w:tmpl w:val="50900468"/>
    <w:lvl w:ilvl="0" w:tplc="0DEC6006">
      <w:numFmt w:val="bullet"/>
      <w:lvlText w:val="-"/>
      <w:lvlJc w:val="left"/>
      <w:pPr>
        <w:ind w:left="927" w:hanging="360"/>
      </w:pPr>
      <w:rPr>
        <w:rFonts w:ascii="Calibri" w:eastAsia="Calibri" w:hAnsi="Calibri" w:cs="Calibr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3">
    <w:nsid w:val="71BE5E56"/>
    <w:multiLevelType w:val="hybridMultilevel"/>
    <w:tmpl w:val="84C266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33D3213"/>
    <w:multiLevelType w:val="hybridMultilevel"/>
    <w:tmpl w:val="41608D1A"/>
    <w:lvl w:ilvl="0" w:tplc="B9103466">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795E4F37"/>
    <w:multiLevelType w:val="hybridMultilevel"/>
    <w:tmpl w:val="4454ADCA"/>
    <w:lvl w:ilvl="0" w:tplc="AAD06528">
      <w:start w:val="1"/>
      <w:numFmt w:val="lowerRoman"/>
      <w:lvlText w:val="%1)"/>
      <w:lvlJc w:val="left"/>
      <w:pPr>
        <w:ind w:left="1571" w:hanging="720"/>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6">
    <w:nsid w:val="7D3F2E1B"/>
    <w:multiLevelType w:val="hybridMultilevel"/>
    <w:tmpl w:val="84C266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DA901CB"/>
    <w:multiLevelType w:val="hybridMultilevel"/>
    <w:tmpl w:val="D674DD88"/>
    <w:lvl w:ilvl="0" w:tplc="4ABC688A">
      <w:start w:val="1"/>
      <w:numFmt w:val="bullet"/>
      <w:lvlText w:val=""/>
      <w:lvlJc w:val="left"/>
      <w:pPr>
        <w:tabs>
          <w:tab w:val="num" w:pos="340"/>
        </w:tabs>
        <w:ind w:left="340" w:hanging="340"/>
      </w:pPr>
      <w:rPr>
        <w:rFonts w:ascii="Wingdings" w:hAnsi="Wingdings" w:hint="default"/>
      </w:rPr>
    </w:lvl>
    <w:lvl w:ilvl="1" w:tplc="04090003">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38">
    <w:nsid w:val="7F744DE7"/>
    <w:multiLevelType w:val="hybridMultilevel"/>
    <w:tmpl w:val="DA70B8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2"/>
  </w:num>
  <w:num w:numId="3">
    <w:abstractNumId w:val="14"/>
  </w:num>
  <w:num w:numId="4">
    <w:abstractNumId w:val="33"/>
  </w:num>
  <w:num w:numId="5">
    <w:abstractNumId w:val="21"/>
  </w:num>
  <w:num w:numId="6">
    <w:abstractNumId w:val="34"/>
  </w:num>
  <w:num w:numId="7">
    <w:abstractNumId w:val="30"/>
  </w:num>
  <w:num w:numId="8">
    <w:abstractNumId w:val="36"/>
  </w:num>
  <w:num w:numId="9">
    <w:abstractNumId w:val="6"/>
  </w:num>
  <w:num w:numId="10">
    <w:abstractNumId w:val="23"/>
  </w:num>
  <w:num w:numId="11">
    <w:abstractNumId w:val="5"/>
  </w:num>
  <w:num w:numId="12">
    <w:abstractNumId w:val="8"/>
  </w:num>
  <w:num w:numId="13">
    <w:abstractNumId w:val="38"/>
  </w:num>
  <w:num w:numId="14">
    <w:abstractNumId w:val="4"/>
  </w:num>
  <w:num w:numId="15">
    <w:abstractNumId w:val="17"/>
  </w:num>
  <w:num w:numId="16">
    <w:abstractNumId w:val="1"/>
  </w:num>
  <w:num w:numId="17">
    <w:abstractNumId w:val="0"/>
  </w:num>
  <w:num w:numId="18">
    <w:abstractNumId w:val="37"/>
  </w:num>
  <w:num w:numId="19">
    <w:abstractNumId w:val="15"/>
    <w:lvlOverride w:ilvl="0">
      <w:startOverride w:val="2"/>
    </w:lvlOverride>
    <w:lvlOverride w:ilvl="1">
      <w:startOverride w:val="4"/>
    </w:lvlOverride>
  </w:num>
  <w:num w:numId="20">
    <w:abstractNumId w:val="19"/>
  </w:num>
  <w:num w:numId="21">
    <w:abstractNumId w:val="22"/>
  </w:num>
  <w:num w:numId="22">
    <w:abstractNumId w:val="3"/>
  </w:num>
  <w:num w:numId="23">
    <w:abstractNumId w:val="25"/>
  </w:num>
  <w:num w:numId="24">
    <w:abstractNumId w:val="31"/>
  </w:num>
  <w:num w:numId="25">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6"/>
  </w:num>
  <w:num w:numId="28">
    <w:abstractNumId w:val="27"/>
  </w:num>
  <w:num w:numId="29">
    <w:abstractNumId w:val="15"/>
    <w:lvlOverride w:ilvl="0">
      <w:startOverride w:val="2"/>
    </w:lvlOverride>
    <w:lvlOverride w:ilvl="1">
      <w:startOverride w:val="8"/>
    </w:lvlOverride>
  </w:num>
  <w:num w:numId="30">
    <w:abstractNumId w:val="9"/>
  </w:num>
  <w:num w:numId="31">
    <w:abstractNumId w:val="15"/>
    <w:lvlOverride w:ilvl="0">
      <w:startOverride w:val="3"/>
    </w:lvlOverride>
    <w:lvlOverride w:ilvl="1">
      <w:startOverride w:val="1"/>
    </w:lvlOverride>
    <w:lvlOverride w:ilvl="2">
      <w:startOverride w:val="13"/>
    </w:lvlOverride>
  </w:num>
  <w:num w:numId="32">
    <w:abstractNumId w:val="2"/>
  </w:num>
  <w:num w:numId="33">
    <w:abstractNumId w:val="15"/>
    <w:lvlOverride w:ilvl="0">
      <w:startOverride w:val="3"/>
    </w:lvlOverride>
    <w:lvlOverride w:ilvl="1">
      <w:startOverride w:val="1"/>
    </w:lvlOverride>
    <w:lvlOverride w:ilvl="2">
      <w:startOverride w:val="13"/>
    </w:lvlOverride>
  </w:num>
  <w:num w:numId="34">
    <w:abstractNumId w:val="26"/>
  </w:num>
  <w:num w:numId="35">
    <w:abstractNumId w:val="24"/>
  </w:num>
  <w:num w:numId="36">
    <w:abstractNumId w:val="11"/>
  </w:num>
  <w:num w:numId="37">
    <w:abstractNumId w:val="35"/>
  </w:num>
  <w:num w:numId="38">
    <w:abstractNumId w:val="15"/>
    <w:lvlOverride w:ilvl="0">
      <w:startOverride w:val="4"/>
    </w:lvlOverride>
    <w:lvlOverride w:ilvl="1">
      <w:startOverride w:val="12"/>
    </w:lvlOverride>
  </w:num>
  <w:num w:numId="39">
    <w:abstractNumId w:val="18"/>
  </w:num>
  <w:num w:numId="40">
    <w:abstractNumId w:val="10"/>
  </w:num>
  <w:num w:numId="41">
    <w:abstractNumId w:val="28"/>
  </w:num>
  <w:num w:numId="42">
    <w:abstractNumId w:val="32"/>
  </w:num>
  <w:num w:numId="43">
    <w:abstractNumId w:val="20"/>
  </w:num>
  <w:num w:numId="44">
    <w:abstractNumId w:val="13"/>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9F"/>
    <w:rsid w:val="00001C9C"/>
    <w:rsid w:val="00003D2A"/>
    <w:rsid w:val="00004DE2"/>
    <w:rsid w:val="00006FA0"/>
    <w:rsid w:val="00007B29"/>
    <w:rsid w:val="0001000D"/>
    <w:rsid w:val="000145B0"/>
    <w:rsid w:val="0001660C"/>
    <w:rsid w:val="00016778"/>
    <w:rsid w:val="000172E3"/>
    <w:rsid w:val="0002124C"/>
    <w:rsid w:val="00021622"/>
    <w:rsid w:val="000221A9"/>
    <w:rsid w:val="0002396A"/>
    <w:rsid w:val="000314D5"/>
    <w:rsid w:val="00031B67"/>
    <w:rsid w:val="00033656"/>
    <w:rsid w:val="00034A13"/>
    <w:rsid w:val="000406A5"/>
    <w:rsid w:val="00042928"/>
    <w:rsid w:val="00042B65"/>
    <w:rsid w:val="000479A5"/>
    <w:rsid w:val="0007183E"/>
    <w:rsid w:val="00072711"/>
    <w:rsid w:val="0007374D"/>
    <w:rsid w:val="00074AF4"/>
    <w:rsid w:val="00075D58"/>
    <w:rsid w:val="00077064"/>
    <w:rsid w:val="0008247B"/>
    <w:rsid w:val="0008307F"/>
    <w:rsid w:val="00085049"/>
    <w:rsid w:val="00086427"/>
    <w:rsid w:val="000874A0"/>
    <w:rsid w:val="00096D86"/>
    <w:rsid w:val="000973E7"/>
    <w:rsid w:val="000A08D4"/>
    <w:rsid w:val="000A1B68"/>
    <w:rsid w:val="000A6C4D"/>
    <w:rsid w:val="000B18A2"/>
    <w:rsid w:val="000B3B5F"/>
    <w:rsid w:val="000B4FB4"/>
    <w:rsid w:val="000B7A49"/>
    <w:rsid w:val="000C20EF"/>
    <w:rsid w:val="000C4B73"/>
    <w:rsid w:val="000C6CC8"/>
    <w:rsid w:val="000C6D8A"/>
    <w:rsid w:val="000D02F9"/>
    <w:rsid w:val="000D0DC6"/>
    <w:rsid w:val="000D1904"/>
    <w:rsid w:val="000D212B"/>
    <w:rsid w:val="000D2F29"/>
    <w:rsid w:val="000D432E"/>
    <w:rsid w:val="000E33D0"/>
    <w:rsid w:val="000E3ECE"/>
    <w:rsid w:val="000F709C"/>
    <w:rsid w:val="00101687"/>
    <w:rsid w:val="00103427"/>
    <w:rsid w:val="00103BCD"/>
    <w:rsid w:val="0010595C"/>
    <w:rsid w:val="00106D47"/>
    <w:rsid w:val="00113CAF"/>
    <w:rsid w:val="00114425"/>
    <w:rsid w:val="00114D6E"/>
    <w:rsid w:val="00120629"/>
    <w:rsid w:val="00126525"/>
    <w:rsid w:val="00127147"/>
    <w:rsid w:val="001303BD"/>
    <w:rsid w:val="00130E83"/>
    <w:rsid w:val="00132D43"/>
    <w:rsid w:val="00134DAC"/>
    <w:rsid w:val="00140B3B"/>
    <w:rsid w:val="00140B59"/>
    <w:rsid w:val="00141B1A"/>
    <w:rsid w:val="0014650E"/>
    <w:rsid w:val="001471C5"/>
    <w:rsid w:val="0014777A"/>
    <w:rsid w:val="00161019"/>
    <w:rsid w:val="001618B1"/>
    <w:rsid w:val="00172F3D"/>
    <w:rsid w:val="00172FAE"/>
    <w:rsid w:val="0017386E"/>
    <w:rsid w:val="00175977"/>
    <w:rsid w:val="001776A5"/>
    <w:rsid w:val="0018493E"/>
    <w:rsid w:val="00184B28"/>
    <w:rsid w:val="001961D0"/>
    <w:rsid w:val="001A0A78"/>
    <w:rsid w:val="001B1328"/>
    <w:rsid w:val="001B3268"/>
    <w:rsid w:val="001B3D2B"/>
    <w:rsid w:val="001B4E36"/>
    <w:rsid w:val="001C06A9"/>
    <w:rsid w:val="001C4A8D"/>
    <w:rsid w:val="001C7971"/>
    <w:rsid w:val="001E59E7"/>
    <w:rsid w:val="001E7B6B"/>
    <w:rsid w:val="001F12ED"/>
    <w:rsid w:val="001F1836"/>
    <w:rsid w:val="001F3E46"/>
    <w:rsid w:val="001F69B0"/>
    <w:rsid w:val="00200AB1"/>
    <w:rsid w:val="0020430A"/>
    <w:rsid w:val="00204529"/>
    <w:rsid w:val="0020615A"/>
    <w:rsid w:val="00215F4A"/>
    <w:rsid w:val="00226846"/>
    <w:rsid w:val="002351FB"/>
    <w:rsid w:val="00236795"/>
    <w:rsid w:val="00236EBA"/>
    <w:rsid w:val="00247702"/>
    <w:rsid w:val="00251677"/>
    <w:rsid w:val="00253558"/>
    <w:rsid w:val="002558D2"/>
    <w:rsid w:val="00261C10"/>
    <w:rsid w:val="00262225"/>
    <w:rsid w:val="0027287E"/>
    <w:rsid w:val="002745AB"/>
    <w:rsid w:val="00274BF8"/>
    <w:rsid w:val="002916B9"/>
    <w:rsid w:val="00291C5D"/>
    <w:rsid w:val="00295280"/>
    <w:rsid w:val="00296047"/>
    <w:rsid w:val="002970BC"/>
    <w:rsid w:val="002A26A0"/>
    <w:rsid w:val="002A5A36"/>
    <w:rsid w:val="002A5C23"/>
    <w:rsid w:val="002A63E9"/>
    <w:rsid w:val="002C7383"/>
    <w:rsid w:val="002D02D9"/>
    <w:rsid w:val="002D1364"/>
    <w:rsid w:val="002D2D68"/>
    <w:rsid w:val="002D2E2E"/>
    <w:rsid w:val="002D3616"/>
    <w:rsid w:val="002D6D7D"/>
    <w:rsid w:val="002E66CB"/>
    <w:rsid w:val="002F229A"/>
    <w:rsid w:val="002F2AA4"/>
    <w:rsid w:val="002F2E17"/>
    <w:rsid w:val="002F4497"/>
    <w:rsid w:val="002F724C"/>
    <w:rsid w:val="00302C47"/>
    <w:rsid w:val="00304A84"/>
    <w:rsid w:val="0031358E"/>
    <w:rsid w:val="00322E18"/>
    <w:rsid w:val="00324269"/>
    <w:rsid w:val="003323C4"/>
    <w:rsid w:val="00336B98"/>
    <w:rsid w:val="003401B4"/>
    <w:rsid w:val="00340B70"/>
    <w:rsid w:val="00341A16"/>
    <w:rsid w:val="00350A0F"/>
    <w:rsid w:val="003556CA"/>
    <w:rsid w:val="00357956"/>
    <w:rsid w:val="00357D0B"/>
    <w:rsid w:val="0036535D"/>
    <w:rsid w:val="0036765E"/>
    <w:rsid w:val="00367817"/>
    <w:rsid w:val="00370155"/>
    <w:rsid w:val="0038266E"/>
    <w:rsid w:val="003828F2"/>
    <w:rsid w:val="00387F43"/>
    <w:rsid w:val="00393C0C"/>
    <w:rsid w:val="00394836"/>
    <w:rsid w:val="003A52C6"/>
    <w:rsid w:val="003A659D"/>
    <w:rsid w:val="003B53CD"/>
    <w:rsid w:val="003B544D"/>
    <w:rsid w:val="003B6ED0"/>
    <w:rsid w:val="003C1679"/>
    <w:rsid w:val="003D0B24"/>
    <w:rsid w:val="003D0F8B"/>
    <w:rsid w:val="003D37F1"/>
    <w:rsid w:val="003D6EA4"/>
    <w:rsid w:val="003D7FC1"/>
    <w:rsid w:val="003E1B04"/>
    <w:rsid w:val="003E3B99"/>
    <w:rsid w:val="003E4DFB"/>
    <w:rsid w:val="003E57DA"/>
    <w:rsid w:val="003E6D10"/>
    <w:rsid w:val="004007B0"/>
    <w:rsid w:val="00401B41"/>
    <w:rsid w:val="00405F37"/>
    <w:rsid w:val="004105BE"/>
    <w:rsid w:val="004114F9"/>
    <w:rsid w:val="004118AB"/>
    <w:rsid w:val="00413606"/>
    <w:rsid w:val="0041498C"/>
    <w:rsid w:val="00415978"/>
    <w:rsid w:val="00421285"/>
    <w:rsid w:val="004235FE"/>
    <w:rsid w:val="0042523B"/>
    <w:rsid w:val="00426153"/>
    <w:rsid w:val="004333C8"/>
    <w:rsid w:val="004356A9"/>
    <w:rsid w:val="0043577A"/>
    <w:rsid w:val="00435EBB"/>
    <w:rsid w:val="00440153"/>
    <w:rsid w:val="00442943"/>
    <w:rsid w:val="004459DF"/>
    <w:rsid w:val="00446178"/>
    <w:rsid w:val="004461D5"/>
    <w:rsid w:val="004463F3"/>
    <w:rsid w:val="00452B76"/>
    <w:rsid w:val="004578F3"/>
    <w:rsid w:val="00464CDE"/>
    <w:rsid w:val="00480ADE"/>
    <w:rsid w:val="0048585C"/>
    <w:rsid w:val="00485DDA"/>
    <w:rsid w:val="004868F9"/>
    <w:rsid w:val="004919E6"/>
    <w:rsid w:val="00492B75"/>
    <w:rsid w:val="0049545B"/>
    <w:rsid w:val="00496D0E"/>
    <w:rsid w:val="00497228"/>
    <w:rsid w:val="00497822"/>
    <w:rsid w:val="004A6363"/>
    <w:rsid w:val="004A713B"/>
    <w:rsid w:val="004B30E3"/>
    <w:rsid w:val="004B3E39"/>
    <w:rsid w:val="004D6139"/>
    <w:rsid w:val="004F0D6A"/>
    <w:rsid w:val="004F4E1D"/>
    <w:rsid w:val="0050047C"/>
    <w:rsid w:val="00500C28"/>
    <w:rsid w:val="005131F6"/>
    <w:rsid w:val="00514229"/>
    <w:rsid w:val="005209EA"/>
    <w:rsid w:val="00525C27"/>
    <w:rsid w:val="0052619C"/>
    <w:rsid w:val="005327CC"/>
    <w:rsid w:val="00532F9B"/>
    <w:rsid w:val="00533B01"/>
    <w:rsid w:val="0053582A"/>
    <w:rsid w:val="005434D4"/>
    <w:rsid w:val="005441D8"/>
    <w:rsid w:val="00545D64"/>
    <w:rsid w:val="005466D3"/>
    <w:rsid w:val="005533BC"/>
    <w:rsid w:val="0055396E"/>
    <w:rsid w:val="0055496B"/>
    <w:rsid w:val="00555CF3"/>
    <w:rsid w:val="005562FF"/>
    <w:rsid w:val="00556932"/>
    <w:rsid w:val="005677EF"/>
    <w:rsid w:val="005707F4"/>
    <w:rsid w:val="00573E02"/>
    <w:rsid w:val="00574648"/>
    <w:rsid w:val="005747AA"/>
    <w:rsid w:val="00575C1D"/>
    <w:rsid w:val="00581439"/>
    <w:rsid w:val="005930BA"/>
    <w:rsid w:val="00595B28"/>
    <w:rsid w:val="005971F6"/>
    <w:rsid w:val="005975E4"/>
    <w:rsid w:val="00597A43"/>
    <w:rsid w:val="005A2E44"/>
    <w:rsid w:val="005A58AC"/>
    <w:rsid w:val="005B12F3"/>
    <w:rsid w:val="005B48E5"/>
    <w:rsid w:val="005B52EE"/>
    <w:rsid w:val="005D20AB"/>
    <w:rsid w:val="005D4B0E"/>
    <w:rsid w:val="005E66F4"/>
    <w:rsid w:val="005F0EF3"/>
    <w:rsid w:val="005F2F95"/>
    <w:rsid w:val="005F3697"/>
    <w:rsid w:val="005F42CF"/>
    <w:rsid w:val="005F4A07"/>
    <w:rsid w:val="005F6E2B"/>
    <w:rsid w:val="005F7079"/>
    <w:rsid w:val="00600352"/>
    <w:rsid w:val="00602930"/>
    <w:rsid w:val="00606968"/>
    <w:rsid w:val="00606EE1"/>
    <w:rsid w:val="0060737C"/>
    <w:rsid w:val="0061133B"/>
    <w:rsid w:val="00614D93"/>
    <w:rsid w:val="00616C09"/>
    <w:rsid w:val="00616EF8"/>
    <w:rsid w:val="00622212"/>
    <w:rsid w:val="00623241"/>
    <w:rsid w:val="006245C4"/>
    <w:rsid w:val="006245EE"/>
    <w:rsid w:val="006249DA"/>
    <w:rsid w:val="0062618D"/>
    <w:rsid w:val="00626293"/>
    <w:rsid w:val="006274EF"/>
    <w:rsid w:val="006352A0"/>
    <w:rsid w:val="00636D0B"/>
    <w:rsid w:val="00642B31"/>
    <w:rsid w:val="00645807"/>
    <w:rsid w:val="00651F57"/>
    <w:rsid w:val="006522A5"/>
    <w:rsid w:val="00654372"/>
    <w:rsid w:val="0065481E"/>
    <w:rsid w:val="0065486C"/>
    <w:rsid w:val="006549E7"/>
    <w:rsid w:val="00654FD0"/>
    <w:rsid w:val="006555CE"/>
    <w:rsid w:val="00657663"/>
    <w:rsid w:val="0066138D"/>
    <w:rsid w:val="0066573B"/>
    <w:rsid w:val="0067181A"/>
    <w:rsid w:val="0067484E"/>
    <w:rsid w:val="00681B59"/>
    <w:rsid w:val="00694A2B"/>
    <w:rsid w:val="006A0E12"/>
    <w:rsid w:val="006A59FB"/>
    <w:rsid w:val="006B2405"/>
    <w:rsid w:val="006B45FF"/>
    <w:rsid w:val="006B5958"/>
    <w:rsid w:val="006B7E9A"/>
    <w:rsid w:val="006B7F90"/>
    <w:rsid w:val="006C1D09"/>
    <w:rsid w:val="006C2064"/>
    <w:rsid w:val="006C3C4C"/>
    <w:rsid w:val="006C47BF"/>
    <w:rsid w:val="006E2EAB"/>
    <w:rsid w:val="006E4424"/>
    <w:rsid w:val="006E454D"/>
    <w:rsid w:val="006E5581"/>
    <w:rsid w:val="006E672E"/>
    <w:rsid w:val="006F66E8"/>
    <w:rsid w:val="0070075C"/>
    <w:rsid w:val="007040FC"/>
    <w:rsid w:val="00710493"/>
    <w:rsid w:val="0071173F"/>
    <w:rsid w:val="00711F55"/>
    <w:rsid w:val="00712237"/>
    <w:rsid w:val="00714385"/>
    <w:rsid w:val="00714A58"/>
    <w:rsid w:val="00716CDD"/>
    <w:rsid w:val="007223A8"/>
    <w:rsid w:val="00722ADE"/>
    <w:rsid w:val="0072456F"/>
    <w:rsid w:val="00732DE3"/>
    <w:rsid w:val="00733078"/>
    <w:rsid w:val="007443AC"/>
    <w:rsid w:val="00744786"/>
    <w:rsid w:val="00745766"/>
    <w:rsid w:val="00746965"/>
    <w:rsid w:val="00747510"/>
    <w:rsid w:val="0074771B"/>
    <w:rsid w:val="007479ED"/>
    <w:rsid w:val="00752A63"/>
    <w:rsid w:val="00755367"/>
    <w:rsid w:val="00755E61"/>
    <w:rsid w:val="00756075"/>
    <w:rsid w:val="007563C0"/>
    <w:rsid w:val="007703C1"/>
    <w:rsid w:val="0077432F"/>
    <w:rsid w:val="00776541"/>
    <w:rsid w:val="00777F15"/>
    <w:rsid w:val="00781C6F"/>
    <w:rsid w:val="00782677"/>
    <w:rsid w:val="00784E25"/>
    <w:rsid w:val="00785933"/>
    <w:rsid w:val="0078694D"/>
    <w:rsid w:val="00791F3A"/>
    <w:rsid w:val="0079699A"/>
    <w:rsid w:val="007A0B93"/>
    <w:rsid w:val="007A0DBA"/>
    <w:rsid w:val="007A417A"/>
    <w:rsid w:val="007A518D"/>
    <w:rsid w:val="007A58A2"/>
    <w:rsid w:val="007A6092"/>
    <w:rsid w:val="007A68A8"/>
    <w:rsid w:val="007B23E0"/>
    <w:rsid w:val="007B2CC6"/>
    <w:rsid w:val="007B517C"/>
    <w:rsid w:val="007B6049"/>
    <w:rsid w:val="007C0964"/>
    <w:rsid w:val="007C2B0B"/>
    <w:rsid w:val="007C302D"/>
    <w:rsid w:val="007C3EC1"/>
    <w:rsid w:val="007C4355"/>
    <w:rsid w:val="007D1C8F"/>
    <w:rsid w:val="007D5568"/>
    <w:rsid w:val="007E1A5F"/>
    <w:rsid w:val="007E2F3E"/>
    <w:rsid w:val="007F0C27"/>
    <w:rsid w:val="007F2042"/>
    <w:rsid w:val="007F42EE"/>
    <w:rsid w:val="00801162"/>
    <w:rsid w:val="00811B2D"/>
    <w:rsid w:val="00813634"/>
    <w:rsid w:val="008156F0"/>
    <w:rsid w:val="00820868"/>
    <w:rsid w:val="0082124B"/>
    <w:rsid w:val="00826157"/>
    <w:rsid w:val="00830CB9"/>
    <w:rsid w:val="00831416"/>
    <w:rsid w:val="008329D3"/>
    <w:rsid w:val="008339BD"/>
    <w:rsid w:val="00837EE4"/>
    <w:rsid w:val="0084069F"/>
    <w:rsid w:val="00850045"/>
    <w:rsid w:val="0085123B"/>
    <w:rsid w:val="0086289D"/>
    <w:rsid w:val="00863BAF"/>
    <w:rsid w:val="00867654"/>
    <w:rsid w:val="008730FA"/>
    <w:rsid w:val="008760A6"/>
    <w:rsid w:val="0088252F"/>
    <w:rsid w:val="00885138"/>
    <w:rsid w:val="0088686E"/>
    <w:rsid w:val="008905A8"/>
    <w:rsid w:val="008906F8"/>
    <w:rsid w:val="00895A3A"/>
    <w:rsid w:val="00896A8C"/>
    <w:rsid w:val="008979E1"/>
    <w:rsid w:val="008A2710"/>
    <w:rsid w:val="008A311A"/>
    <w:rsid w:val="008A492C"/>
    <w:rsid w:val="008B036D"/>
    <w:rsid w:val="008B201A"/>
    <w:rsid w:val="008B299D"/>
    <w:rsid w:val="008B44AB"/>
    <w:rsid w:val="008B4A19"/>
    <w:rsid w:val="008B7755"/>
    <w:rsid w:val="008C1F6E"/>
    <w:rsid w:val="008C3601"/>
    <w:rsid w:val="008C3970"/>
    <w:rsid w:val="008C6838"/>
    <w:rsid w:val="008D09B4"/>
    <w:rsid w:val="008D1AB7"/>
    <w:rsid w:val="008D28D4"/>
    <w:rsid w:val="008D70C7"/>
    <w:rsid w:val="008E039D"/>
    <w:rsid w:val="008E181C"/>
    <w:rsid w:val="008E3F92"/>
    <w:rsid w:val="008E74D9"/>
    <w:rsid w:val="008F463D"/>
    <w:rsid w:val="008F6000"/>
    <w:rsid w:val="008F708C"/>
    <w:rsid w:val="00903839"/>
    <w:rsid w:val="0090695B"/>
    <w:rsid w:val="009112C7"/>
    <w:rsid w:val="00912B28"/>
    <w:rsid w:val="00916ABF"/>
    <w:rsid w:val="00920A03"/>
    <w:rsid w:val="00920BCF"/>
    <w:rsid w:val="009251C7"/>
    <w:rsid w:val="00935892"/>
    <w:rsid w:val="009358B7"/>
    <w:rsid w:val="00953578"/>
    <w:rsid w:val="00960B6C"/>
    <w:rsid w:val="00962D10"/>
    <w:rsid w:val="009636CE"/>
    <w:rsid w:val="00972243"/>
    <w:rsid w:val="00973781"/>
    <w:rsid w:val="00976F11"/>
    <w:rsid w:val="00977D2C"/>
    <w:rsid w:val="0098308A"/>
    <w:rsid w:val="00985120"/>
    <w:rsid w:val="00985C98"/>
    <w:rsid w:val="009878D5"/>
    <w:rsid w:val="00987D92"/>
    <w:rsid w:val="00987F94"/>
    <w:rsid w:val="00992856"/>
    <w:rsid w:val="009928A5"/>
    <w:rsid w:val="00997C4C"/>
    <w:rsid w:val="009A1DE3"/>
    <w:rsid w:val="009A1E96"/>
    <w:rsid w:val="009A3B6F"/>
    <w:rsid w:val="009A43CF"/>
    <w:rsid w:val="009A4D5F"/>
    <w:rsid w:val="009A6CB1"/>
    <w:rsid w:val="009B5EE8"/>
    <w:rsid w:val="009B62F8"/>
    <w:rsid w:val="009C38D2"/>
    <w:rsid w:val="009C434C"/>
    <w:rsid w:val="009C5022"/>
    <w:rsid w:val="009C6144"/>
    <w:rsid w:val="009C63D3"/>
    <w:rsid w:val="009D07BA"/>
    <w:rsid w:val="009D39F9"/>
    <w:rsid w:val="009E5FD3"/>
    <w:rsid w:val="009F05FA"/>
    <w:rsid w:val="009F301F"/>
    <w:rsid w:val="00A1016F"/>
    <w:rsid w:val="00A1081E"/>
    <w:rsid w:val="00A13655"/>
    <w:rsid w:val="00A22123"/>
    <w:rsid w:val="00A248C1"/>
    <w:rsid w:val="00A2761A"/>
    <w:rsid w:val="00A31110"/>
    <w:rsid w:val="00A3120E"/>
    <w:rsid w:val="00A41682"/>
    <w:rsid w:val="00A4236A"/>
    <w:rsid w:val="00A44BB3"/>
    <w:rsid w:val="00A46F80"/>
    <w:rsid w:val="00A52841"/>
    <w:rsid w:val="00A53F75"/>
    <w:rsid w:val="00A55BCE"/>
    <w:rsid w:val="00A6080E"/>
    <w:rsid w:val="00A613A2"/>
    <w:rsid w:val="00A65C92"/>
    <w:rsid w:val="00A70C81"/>
    <w:rsid w:val="00A7275A"/>
    <w:rsid w:val="00A8011D"/>
    <w:rsid w:val="00A80A43"/>
    <w:rsid w:val="00A83DEB"/>
    <w:rsid w:val="00A84AE8"/>
    <w:rsid w:val="00A850E8"/>
    <w:rsid w:val="00A9645C"/>
    <w:rsid w:val="00A97D4F"/>
    <w:rsid w:val="00AA04C7"/>
    <w:rsid w:val="00AB4729"/>
    <w:rsid w:val="00AB62E3"/>
    <w:rsid w:val="00AC3711"/>
    <w:rsid w:val="00AC718A"/>
    <w:rsid w:val="00AD553C"/>
    <w:rsid w:val="00AE0DD0"/>
    <w:rsid w:val="00AE443D"/>
    <w:rsid w:val="00AE5C29"/>
    <w:rsid w:val="00AE60C5"/>
    <w:rsid w:val="00AF6184"/>
    <w:rsid w:val="00AF685C"/>
    <w:rsid w:val="00B025A2"/>
    <w:rsid w:val="00B10CEA"/>
    <w:rsid w:val="00B1113B"/>
    <w:rsid w:val="00B1378E"/>
    <w:rsid w:val="00B23901"/>
    <w:rsid w:val="00B24949"/>
    <w:rsid w:val="00B3001E"/>
    <w:rsid w:val="00B300F0"/>
    <w:rsid w:val="00B3607F"/>
    <w:rsid w:val="00B410F6"/>
    <w:rsid w:val="00B42A3B"/>
    <w:rsid w:val="00B44958"/>
    <w:rsid w:val="00B4539E"/>
    <w:rsid w:val="00B51091"/>
    <w:rsid w:val="00B6344B"/>
    <w:rsid w:val="00B63647"/>
    <w:rsid w:val="00B667F9"/>
    <w:rsid w:val="00B70BDF"/>
    <w:rsid w:val="00B71E66"/>
    <w:rsid w:val="00B73F0E"/>
    <w:rsid w:val="00B76B3A"/>
    <w:rsid w:val="00B772AC"/>
    <w:rsid w:val="00B81B31"/>
    <w:rsid w:val="00B823E3"/>
    <w:rsid w:val="00B875E6"/>
    <w:rsid w:val="00B90176"/>
    <w:rsid w:val="00B95686"/>
    <w:rsid w:val="00B959BB"/>
    <w:rsid w:val="00B95CA0"/>
    <w:rsid w:val="00B96649"/>
    <w:rsid w:val="00B97693"/>
    <w:rsid w:val="00BA133C"/>
    <w:rsid w:val="00BA7CC8"/>
    <w:rsid w:val="00BB1BF5"/>
    <w:rsid w:val="00BB3B61"/>
    <w:rsid w:val="00BB46A9"/>
    <w:rsid w:val="00BB5574"/>
    <w:rsid w:val="00BB6E66"/>
    <w:rsid w:val="00BC13E3"/>
    <w:rsid w:val="00BC2BC6"/>
    <w:rsid w:val="00BD54B9"/>
    <w:rsid w:val="00BD681E"/>
    <w:rsid w:val="00BD76F5"/>
    <w:rsid w:val="00BE361C"/>
    <w:rsid w:val="00BE3FBD"/>
    <w:rsid w:val="00BF1875"/>
    <w:rsid w:val="00BF2908"/>
    <w:rsid w:val="00BF3985"/>
    <w:rsid w:val="00BF4DD6"/>
    <w:rsid w:val="00BF5B13"/>
    <w:rsid w:val="00C03D19"/>
    <w:rsid w:val="00C064B8"/>
    <w:rsid w:val="00C0676B"/>
    <w:rsid w:val="00C07E4F"/>
    <w:rsid w:val="00C11001"/>
    <w:rsid w:val="00C11203"/>
    <w:rsid w:val="00C114AD"/>
    <w:rsid w:val="00C1322E"/>
    <w:rsid w:val="00C1535F"/>
    <w:rsid w:val="00C209C4"/>
    <w:rsid w:val="00C20E06"/>
    <w:rsid w:val="00C219C8"/>
    <w:rsid w:val="00C2272B"/>
    <w:rsid w:val="00C22E82"/>
    <w:rsid w:val="00C255E6"/>
    <w:rsid w:val="00C27C7B"/>
    <w:rsid w:val="00C31F7A"/>
    <w:rsid w:val="00C35DC2"/>
    <w:rsid w:val="00C403D3"/>
    <w:rsid w:val="00C40D0E"/>
    <w:rsid w:val="00C4399F"/>
    <w:rsid w:val="00C444A3"/>
    <w:rsid w:val="00C44CC2"/>
    <w:rsid w:val="00C44CFB"/>
    <w:rsid w:val="00C45400"/>
    <w:rsid w:val="00C50A9C"/>
    <w:rsid w:val="00C61206"/>
    <w:rsid w:val="00C61EF4"/>
    <w:rsid w:val="00C63643"/>
    <w:rsid w:val="00C6495F"/>
    <w:rsid w:val="00C649D1"/>
    <w:rsid w:val="00C71107"/>
    <w:rsid w:val="00C72901"/>
    <w:rsid w:val="00C72C08"/>
    <w:rsid w:val="00C74A91"/>
    <w:rsid w:val="00C777FF"/>
    <w:rsid w:val="00C7792D"/>
    <w:rsid w:val="00C81599"/>
    <w:rsid w:val="00C902E8"/>
    <w:rsid w:val="00C90797"/>
    <w:rsid w:val="00C90F0C"/>
    <w:rsid w:val="00C967DF"/>
    <w:rsid w:val="00CA21A2"/>
    <w:rsid w:val="00CA240C"/>
    <w:rsid w:val="00CA46AD"/>
    <w:rsid w:val="00CA5830"/>
    <w:rsid w:val="00CB509D"/>
    <w:rsid w:val="00CB70DD"/>
    <w:rsid w:val="00CC11B9"/>
    <w:rsid w:val="00CC3DB6"/>
    <w:rsid w:val="00CC7413"/>
    <w:rsid w:val="00CC75CC"/>
    <w:rsid w:val="00CD04D1"/>
    <w:rsid w:val="00CD206E"/>
    <w:rsid w:val="00CD5836"/>
    <w:rsid w:val="00CE4182"/>
    <w:rsid w:val="00CE7C64"/>
    <w:rsid w:val="00CF1A4D"/>
    <w:rsid w:val="00CF2781"/>
    <w:rsid w:val="00CF2B65"/>
    <w:rsid w:val="00CF3781"/>
    <w:rsid w:val="00CF53E9"/>
    <w:rsid w:val="00CF62D6"/>
    <w:rsid w:val="00D00536"/>
    <w:rsid w:val="00D0502A"/>
    <w:rsid w:val="00D0533A"/>
    <w:rsid w:val="00D07459"/>
    <w:rsid w:val="00D13DDC"/>
    <w:rsid w:val="00D13EAD"/>
    <w:rsid w:val="00D175A4"/>
    <w:rsid w:val="00D22726"/>
    <w:rsid w:val="00D22947"/>
    <w:rsid w:val="00D23C6C"/>
    <w:rsid w:val="00D258EE"/>
    <w:rsid w:val="00D25936"/>
    <w:rsid w:val="00D25CA1"/>
    <w:rsid w:val="00D274EE"/>
    <w:rsid w:val="00D31C6E"/>
    <w:rsid w:val="00D32B3A"/>
    <w:rsid w:val="00D34EF0"/>
    <w:rsid w:val="00D44735"/>
    <w:rsid w:val="00D460B5"/>
    <w:rsid w:val="00D46E7D"/>
    <w:rsid w:val="00D5068B"/>
    <w:rsid w:val="00D60A11"/>
    <w:rsid w:val="00D63B67"/>
    <w:rsid w:val="00D71B5F"/>
    <w:rsid w:val="00D72A49"/>
    <w:rsid w:val="00D774D8"/>
    <w:rsid w:val="00D818B0"/>
    <w:rsid w:val="00D81BB1"/>
    <w:rsid w:val="00D82D59"/>
    <w:rsid w:val="00D8483B"/>
    <w:rsid w:val="00D937F1"/>
    <w:rsid w:val="00DA2CA5"/>
    <w:rsid w:val="00DA5BDA"/>
    <w:rsid w:val="00DB202E"/>
    <w:rsid w:val="00DB7834"/>
    <w:rsid w:val="00DC037C"/>
    <w:rsid w:val="00DC4C08"/>
    <w:rsid w:val="00DC4D68"/>
    <w:rsid w:val="00DC5B5C"/>
    <w:rsid w:val="00DD1C42"/>
    <w:rsid w:val="00DD48B8"/>
    <w:rsid w:val="00DE3731"/>
    <w:rsid w:val="00DE6DF4"/>
    <w:rsid w:val="00DF0F8E"/>
    <w:rsid w:val="00DF108A"/>
    <w:rsid w:val="00DF4CDD"/>
    <w:rsid w:val="00DF64B8"/>
    <w:rsid w:val="00DF69A2"/>
    <w:rsid w:val="00E00845"/>
    <w:rsid w:val="00E02097"/>
    <w:rsid w:val="00E02DE4"/>
    <w:rsid w:val="00E04758"/>
    <w:rsid w:val="00E057A1"/>
    <w:rsid w:val="00E065DC"/>
    <w:rsid w:val="00E10508"/>
    <w:rsid w:val="00E109CF"/>
    <w:rsid w:val="00E11722"/>
    <w:rsid w:val="00E11C1E"/>
    <w:rsid w:val="00E22075"/>
    <w:rsid w:val="00E24313"/>
    <w:rsid w:val="00E3436E"/>
    <w:rsid w:val="00E35B06"/>
    <w:rsid w:val="00E3644C"/>
    <w:rsid w:val="00E443B3"/>
    <w:rsid w:val="00E51578"/>
    <w:rsid w:val="00E521CD"/>
    <w:rsid w:val="00E53934"/>
    <w:rsid w:val="00E54524"/>
    <w:rsid w:val="00E556AE"/>
    <w:rsid w:val="00E576FC"/>
    <w:rsid w:val="00E57B9F"/>
    <w:rsid w:val="00E60CA3"/>
    <w:rsid w:val="00E61EE9"/>
    <w:rsid w:val="00E65B0F"/>
    <w:rsid w:val="00E67BDA"/>
    <w:rsid w:val="00E70094"/>
    <w:rsid w:val="00E733A9"/>
    <w:rsid w:val="00E73E8F"/>
    <w:rsid w:val="00E75B1F"/>
    <w:rsid w:val="00E77C16"/>
    <w:rsid w:val="00E80FD9"/>
    <w:rsid w:val="00E81CAB"/>
    <w:rsid w:val="00E84637"/>
    <w:rsid w:val="00E85B05"/>
    <w:rsid w:val="00E878CB"/>
    <w:rsid w:val="00E90268"/>
    <w:rsid w:val="00E92E8D"/>
    <w:rsid w:val="00E96F0B"/>
    <w:rsid w:val="00E97EED"/>
    <w:rsid w:val="00E97F19"/>
    <w:rsid w:val="00EA0D5F"/>
    <w:rsid w:val="00EA2662"/>
    <w:rsid w:val="00EA2BB2"/>
    <w:rsid w:val="00EB120F"/>
    <w:rsid w:val="00EB128F"/>
    <w:rsid w:val="00EB1AF2"/>
    <w:rsid w:val="00EB752D"/>
    <w:rsid w:val="00EC0E00"/>
    <w:rsid w:val="00EC0E2B"/>
    <w:rsid w:val="00EC0F12"/>
    <w:rsid w:val="00EC524C"/>
    <w:rsid w:val="00EC7B3E"/>
    <w:rsid w:val="00ED6130"/>
    <w:rsid w:val="00EE24A5"/>
    <w:rsid w:val="00EE3951"/>
    <w:rsid w:val="00EE7A4B"/>
    <w:rsid w:val="00EF61FA"/>
    <w:rsid w:val="00F0042F"/>
    <w:rsid w:val="00F03F4D"/>
    <w:rsid w:val="00F11145"/>
    <w:rsid w:val="00F121B3"/>
    <w:rsid w:val="00F126EF"/>
    <w:rsid w:val="00F14502"/>
    <w:rsid w:val="00F14598"/>
    <w:rsid w:val="00F1516A"/>
    <w:rsid w:val="00F15910"/>
    <w:rsid w:val="00F17991"/>
    <w:rsid w:val="00F2290C"/>
    <w:rsid w:val="00F2645B"/>
    <w:rsid w:val="00F26952"/>
    <w:rsid w:val="00F27318"/>
    <w:rsid w:val="00F27361"/>
    <w:rsid w:val="00F2756F"/>
    <w:rsid w:val="00F35DB3"/>
    <w:rsid w:val="00F37C29"/>
    <w:rsid w:val="00F40AF1"/>
    <w:rsid w:val="00F446BD"/>
    <w:rsid w:val="00F50EA1"/>
    <w:rsid w:val="00F51595"/>
    <w:rsid w:val="00F5359F"/>
    <w:rsid w:val="00F61780"/>
    <w:rsid w:val="00F62C4B"/>
    <w:rsid w:val="00F65818"/>
    <w:rsid w:val="00F6603F"/>
    <w:rsid w:val="00F71FD1"/>
    <w:rsid w:val="00F77B3C"/>
    <w:rsid w:val="00F81F71"/>
    <w:rsid w:val="00F822AD"/>
    <w:rsid w:val="00F94FA4"/>
    <w:rsid w:val="00FB26D8"/>
    <w:rsid w:val="00FB2791"/>
    <w:rsid w:val="00FB2B5A"/>
    <w:rsid w:val="00FB3E00"/>
    <w:rsid w:val="00FB551F"/>
    <w:rsid w:val="00FB6B3C"/>
    <w:rsid w:val="00FB71B1"/>
    <w:rsid w:val="00FC59CE"/>
    <w:rsid w:val="00FC75B8"/>
    <w:rsid w:val="00FD1ACD"/>
    <w:rsid w:val="00FD2BF6"/>
    <w:rsid w:val="00FD2C91"/>
    <w:rsid w:val="00FD45F0"/>
    <w:rsid w:val="00FD517A"/>
    <w:rsid w:val="00FD54D9"/>
    <w:rsid w:val="00FD6455"/>
    <w:rsid w:val="00FE3D17"/>
    <w:rsid w:val="00FE7A1E"/>
    <w:rsid w:val="00FF04E8"/>
    <w:rsid w:val="00FF43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4EC1"/>
  <w15:docId w15:val="{41EAEACA-8CE7-4C5B-8EDC-12FC091B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59F"/>
    <w:rPr>
      <w:rFonts w:ascii="Calibri" w:eastAsia="Calibri" w:hAnsi="Calibri" w:cs="Times New Roman"/>
    </w:rPr>
  </w:style>
  <w:style w:type="paragraph" w:styleId="Heading1">
    <w:name w:val="heading 1"/>
    <w:basedOn w:val="Normal"/>
    <w:next w:val="Normal"/>
    <w:link w:val="Heading1Char"/>
    <w:uiPriority w:val="9"/>
    <w:qFormat/>
    <w:rsid w:val="00F5359F"/>
    <w:pPr>
      <w:keepNext/>
      <w:keepLines/>
      <w:numPr>
        <w:numId w:val="1"/>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76F1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31C6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59F"/>
    <w:rPr>
      <w:rFonts w:asciiTheme="majorHAnsi" w:eastAsiaTheme="majorEastAsia" w:hAnsiTheme="majorHAnsi" w:cstheme="majorBidi"/>
      <w:b/>
      <w:bCs/>
      <w:color w:val="2E74B5" w:themeColor="accent1" w:themeShade="BF"/>
      <w:sz w:val="28"/>
      <w:szCs w:val="28"/>
    </w:rPr>
  </w:style>
  <w:style w:type="character" w:styleId="Hyperlink">
    <w:name w:val="Hyperlink"/>
    <w:uiPriority w:val="99"/>
    <w:unhideWhenUsed/>
    <w:rsid w:val="00F5359F"/>
    <w:rPr>
      <w:color w:val="0000FF"/>
      <w:u w:val="single"/>
    </w:rPr>
  </w:style>
  <w:style w:type="table" w:styleId="TableGrid">
    <w:name w:val="Table Grid"/>
    <w:basedOn w:val="TableNormal"/>
    <w:uiPriority w:val="59"/>
    <w:rsid w:val="00F53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next w:val="Normal"/>
    <w:uiPriority w:val="1"/>
    <w:qFormat/>
    <w:rsid w:val="00F5359F"/>
    <w:pPr>
      <w:jc w:val="both"/>
    </w:pPr>
    <w:rPr>
      <w:rFonts w:ascii="Cambria" w:eastAsiaTheme="minorEastAsia" w:hAnsi="Cambria" w:cs="Calibri"/>
      <w:bCs/>
      <w:color w:val="404040" w:themeColor="text1" w:themeTint="BF"/>
      <w:sz w:val="20"/>
      <w:szCs w:val="20"/>
      <w:lang w:val="en-US" w:eastAsia="en-AU"/>
    </w:rPr>
  </w:style>
  <w:style w:type="paragraph" w:styleId="Footer">
    <w:name w:val="footer"/>
    <w:basedOn w:val="Normal"/>
    <w:link w:val="FooterChar"/>
    <w:uiPriority w:val="99"/>
    <w:unhideWhenUsed/>
    <w:rsid w:val="00F5359F"/>
    <w:pPr>
      <w:tabs>
        <w:tab w:val="center" w:pos="4320"/>
        <w:tab w:val="right" w:pos="8640"/>
      </w:tabs>
    </w:pPr>
  </w:style>
  <w:style w:type="character" w:customStyle="1" w:styleId="FooterChar">
    <w:name w:val="Footer Char"/>
    <w:basedOn w:val="DefaultParagraphFont"/>
    <w:link w:val="Footer"/>
    <w:uiPriority w:val="99"/>
    <w:rsid w:val="00F5359F"/>
    <w:rPr>
      <w:rFonts w:ascii="Calibri" w:eastAsia="Calibri" w:hAnsi="Calibri" w:cs="Times New Roman"/>
    </w:rPr>
  </w:style>
  <w:style w:type="character" w:styleId="PageNumber">
    <w:name w:val="page number"/>
    <w:basedOn w:val="DefaultParagraphFont"/>
    <w:uiPriority w:val="99"/>
    <w:semiHidden/>
    <w:unhideWhenUsed/>
    <w:rsid w:val="00F5359F"/>
  </w:style>
  <w:style w:type="paragraph" w:styleId="TOCHeading">
    <w:name w:val="TOC Heading"/>
    <w:basedOn w:val="Heading1"/>
    <w:next w:val="Normal"/>
    <w:uiPriority w:val="39"/>
    <w:unhideWhenUsed/>
    <w:qFormat/>
    <w:rsid w:val="00F5359F"/>
    <w:pPr>
      <w:numPr>
        <w:numId w:val="0"/>
      </w:numPr>
      <w:outlineLvl w:val="9"/>
    </w:pPr>
    <w:rPr>
      <w:lang w:val="en-US" w:eastAsia="ja-JP"/>
    </w:rPr>
  </w:style>
  <w:style w:type="paragraph" w:styleId="TOC1">
    <w:name w:val="toc 1"/>
    <w:basedOn w:val="Normal"/>
    <w:next w:val="Normal"/>
    <w:autoRedefine/>
    <w:uiPriority w:val="39"/>
    <w:unhideWhenUsed/>
    <w:rsid w:val="00F5359F"/>
    <w:pPr>
      <w:spacing w:after="100"/>
    </w:pPr>
  </w:style>
  <w:style w:type="paragraph" w:styleId="ListParagraph">
    <w:name w:val="List Paragraph"/>
    <w:basedOn w:val="Normal"/>
    <w:link w:val="ListParagraphChar"/>
    <w:uiPriority w:val="34"/>
    <w:qFormat/>
    <w:rsid w:val="00F5359F"/>
    <w:pPr>
      <w:ind w:left="720"/>
      <w:contextualSpacing/>
    </w:pPr>
  </w:style>
  <w:style w:type="paragraph" w:customStyle="1" w:styleId="BodyA">
    <w:name w:val="Body A"/>
    <w:rsid w:val="00F5359F"/>
    <w:pPr>
      <w:pBdr>
        <w:top w:val="nil"/>
        <w:left w:val="nil"/>
        <w:bottom w:val="nil"/>
        <w:right w:val="nil"/>
        <w:between w:val="nil"/>
        <w:bar w:val="nil"/>
      </w:pBdr>
    </w:pPr>
    <w:rPr>
      <w:rFonts w:ascii="Calibri" w:eastAsia="Calibri" w:hAnsi="Calibri" w:cs="Calibri"/>
      <w:color w:val="000000"/>
      <w:u w:color="000000"/>
      <w:bdr w:val="nil"/>
      <w:lang w:val="en-US" w:eastAsia="en-AU"/>
    </w:rPr>
  </w:style>
  <w:style w:type="character" w:customStyle="1" w:styleId="NoneA">
    <w:name w:val="None A"/>
    <w:rsid w:val="00F5359F"/>
  </w:style>
  <w:style w:type="paragraph" w:styleId="FootnoteText">
    <w:name w:val="footnote text"/>
    <w:aliases w:val="FN,fn,Footnote Text Char1,Footnote Text Char Char,Footnote Text Char1 Char Char,Footnote Text Char Char Char Char,Footnote Text Char Char1,Footnote Text Char1 Char,Footnote Text Char Char Char,Footnote Text Char Char Char Char Char Char"/>
    <w:basedOn w:val="Normal"/>
    <w:link w:val="FootnoteTextChar"/>
    <w:uiPriority w:val="99"/>
    <w:unhideWhenUsed/>
    <w:qFormat/>
    <w:rsid w:val="00F5359F"/>
    <w:rPr>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rsid w:val="00F5359F"/>
    <w:rPr>
      <w:rFonts w:ascii="Calibri" w:eastAsia="Calibri" w:hAnsi="Calibri" w:cs="Times New Roman"/>
      <w:sz w:val="20"/>
      <w:szCs w:val="20"/>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
    <w:basedOn w:val="DefaultParagraphFont"/>
    <w:link w:val="4GCharCharChar"/>
    <w:uiPriority w:val="99"/>
    <w:unhideWhenUsed/>
    <w:rsid w:val="00F5359F"/>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F5359F"/>
    <w:pPr>
      <w:spacing w:line="240" w:lineRule="exact"/>
      <w:jc w:val="both"/>
    </w:pPr>
    <w:rPr>
      <w:rFonts w:asciiTheme="minorHAnsi" w:eastAsiaTheme="minorHAnsi" w:hAnsiTheme="minorHAnsi" w:cstheme="minorBidi"/>
      <w:vertAlign w:val="superscript"/>
    </w:rPr>
  </w:style>
  <w:style w:type="character" w:customStyle="1" w:styleId="Hyperlink2">
    <w:name w:val="Hyperlink.2"/>
    <w:basedOn w:val="NoneA"/>
    <w:rsid w:val="00F5359F"/>
    <w:rPr>
      <w:rFonts w:ascii="Arial" w:eastAsia="Arial" w:hAnsi="Arial" w:cs="Arial"/>
      <w:color w:val="0000FF"/>
      <w:sz w:val="16"/>
      <w:szCs w:val="16"/>
      <w:u w:val="single" w:color="0000FF"/>
    </w:rPr>
  </w:style>
  <w:style w:type="paragraph" w:customStyle="1" w:styleId="Body">
    <w:name w:val="Body"/>
    <w:rsid w:val="00F5359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AU"/>
    </w:rPr>
  </w:style>
  <w:style w:type="character" w:styleId="CommentReference">
    <w:name w:val="annotation reference"/>
    <w:basedOn w:val="DefaultParagraphFont"/>
    <w:uiPriority w:val="99"/>
    <w:semiHidden/>
    <w:unhideWhenUsed/>
    <w:rsid w:val="00F5359F"/>
    <w:rPr>
      <w:sz w:val="16"/>
      <w:szCs w:val="16"/>
    </w:rPr>
  </w:style>
  <w:style w:type="paragraph" w:styleId="CommentText">
    <w:name w:val="annotation text"/>
    <w:basedOn w:val="Normal"/>
    <w:link w:val="CommentTextChar"/>
    <w:uiPriority w:val="99"/>
    <w:semiHidden/>
    <w:unhideWhenUsed/>
    <w:rsid w:val="00F5359F"/>
    <w:rPr>
      <w:sz w:val="20"/>
      <w:szCs w:val="20"/>
    </w:rPr>
  </w:style>
  <w:style w:type="character" w:customStyle="1" w:styleId="CommentTextChar">
    <w:name w:val="Comment Text Char"/>
    <w:basedOn w:val="DefaultParagraphFont"/>
    <w:link w:val="CommentText"/>
    <w:uiPriority w:val="99"/>
    <w:semiHidden/>
    <w:rsid w:val="00F5359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53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59F"/>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F5359F"/>
    <w:rPr>
      <w:b/>
      <w:bCs/>
    </w:rPr>
  </w:style>
  <w:style w:type="character" w:customStyle="1" w:styleId="CommentSubjectChar">
    <w:name w:val="Comment Subject Char"/>
    <w:basedOn w:val="CommentTextChar"/>
    <w:link w:val="CommentSubject"/>
    <w:uiPriority w:val="99"/>
    <w:semiHidden/>
    <w:rsid w:val="00F5359F"/>
    <w:rPr>
      <w:rFonts w:ascii="Calibri" w:eastAsia="Calibri" w:hAnsi="Calibri" w:cs="Times New Roman"/>
      <w:b/>
      <w:bCs/>
      <w:sz w:val="20"/>
      <w:szCs w:val="20"/>
    </w:rPr>
  </w:style>
  <w:style w:type="character" w:customStyle="1" w:styleId="Heading2Char">
    <w:name w:val="Heading 2 Char"/>
    <w:basedOn w:val="DefaultParagraphFont"/>
    <w:link w:val="Heading2"/>
    <w:uiPriority w:val="9"/>
    <w:rsid w:val="00976F11"/>
    <w:rPr>
      <w:rFonts w:asciiTheme="majorHAnsi" w:eastAsiaTheme="majorEastAsia" w:hAnsiTheme="majorHAnsi" w:cstheme="majorBidi"/>
      <w:b/>
      <w:bCs/>
      <w:color w:val="5B9BD5" w:themeColor="accent1"/>
      <w:sz w:val="26"/>
      <w:szCs w:val="26"/>
    </w:rPr>
  </w:style>
  <w:style w:type="character" w:customStyle="1" w:styleId="ListParagraphChar">
    <w:name w:val="List Paragraph Char"/>
    <w:link w:val="ListParagraph"/>
    <w:uiPriority w:val="34"/>
    <w:rsid w:val="00976F11"/>
    <w:rPr>
      <w:rFonts w:ascii="Calibri" w:eastAsia="Calibri" w:hAnsi="Calibri" w:cs="Times New Roman"/>
    </w:rPr>
  </w:style>
  <w:style w:type="character" w:styleId="BookTitle">
    <w:name w:val="Book Title"/>
    <w:basedOn w:val="DefaultParagraphFont"/>
    <w:uiPriority w:val="33"/>
    <w:qFormat/>
    <w:rsid w:val="008E181C"/>
  </w:style>
  <w:style w:type="paragraph" w:styleId="TOC2">
    <w:name w:val="toc 2"/>
    <w:basedOn w:val="Normal"/>
    <w:next w:val="Normal"/>
    <w:autoRedefine/>
    <w:uiPriority w:val="39"/>
    <w:unhideWhenUsed/>
    <w:rsid w:val="002F2AA4"/>
    <w:pPr>
      <w:spacing w:after="100"/>
      <w:ind w:left="220"/>
    </w:pPr>
  </w:style>
  <w:style w:type="character" w:customStyle="1" w:styleId="Heading3Char">
    <w:name w:val="Heading 3 Char"/>
    <w:basedOn w:val="DefaultParagraphFont"/>
    <w:link w:val="Heading3"/>
    <w:uiPriority w:val="9"/>
    <w:semiHidden/>
    <w:rsid w:val="00D31C6E"/>
    <w:rPr>
      <w:rFonts w:asciiTheme="majorHAnsi" w:eastAsiaTheme="majorEastAsia" w:hAnsiTheme="majorHAnsi" w:cstheme="majorBidi"/>
      <w:b/>
      <w:bCs/>
      <w:color w:val="5B9BD5" w:themeColor="accent1"/>
    </w:rPr>
  </w:style>
  <w:style w:type="character" w:styleId="FollowedHyperlink">
    <w:name w:val="FollowedHyperlink"/>
    <w:basedOn w:val="DefaultParagraphFont"/>
    <w:uiPriority w:val="99"/>
    <w:semiHidden/>
    <w:unhideWhenUsed/>
    <w:rsid w:val="0001660C"/>
    <w:rPr>
      <w:color w:val="954F72" w:themeColor="followedHyperlink"/>
      <w:u w:val="single"/>
    </w:rPr>
  </w:style>
  <w:style w:type="paragraph" w:styleId="EndnoteText">
    <w:name w:val="endnote text"/>
    <w:basedOn w:val="Normal"/>
    <w:link w:val="EndnoteTextChar"/>
    <w:uiPriority w:val="99"/>
    <w:semiHidden/>
    <w:unhideWhenUsed/>
    <w:rsid w:val="001271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7147"/>
    <w:rPr>
      <w:rFonts w:ascii="Calibri" w:eastAsia="Calibri" w:hAnsi="Calibri" w:cs="Times New Roman"/>
      <w:sz w:val="20"/>
      <w:szCs w:val="20"/>
    </w:rPr>
  </w:style>
  <w:style w:type="character" w:styleId="EndnoteReference">
    <w:name w:val="endnote reference"/>
    <w:basedOn w:val="DefaultParagraphFont"/>
    <w:uiPriority w:val="99"/>
    <w:unhideWhenUsed/>
    <w:rsid w:val="001271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44949">
      <w:bodyDiv w:val="1"/>
      <w:marLeft w:val="0"/>
      <w:marRight w:val="0"/>
      <w:marTop w:val="0"/>
      <w:marBottom w:val="0"/>
      <w:divBdr>
        <w:top w:val="none" w:sz="0" w:space="0" w:color="auto"/>
        <w:left w:val="none" w:sz="0" w:space="0" w:color="auto"/>
        <w:bottom w:val="none" w:sz="0" w:space="0" w:color="auto"/>
        <w:right w:val="none" w:sz="0" w:space="0" w:color="auto"/>
      </w:divBdr>
    </w:div>
    <w:div w:id="403380507">
      <w:bodyDiv w:val="1"/>
      <w:marLeft w:val="0"/>
      <w:marRight w:val="0"/>
      <w:marTop w:val="0"/>
      <w:marBottom w:val="0"/>
      <w:divBdr>
        <w:top w:val="none" w:sz="0" w:space="0" w:color="auto"/>
        <w:left w:val="none" w:sz="0" w:space="0" w:color="auto"/>
        <w:bottom w:val="none" w:sz="0" w:space="0" w:color="auto"/>
        <w:right w:val="none" w:sz="0" w:space="0" w:color="auto"/>
      </w:divBdr>
      <w:divsChild>
        <w:div w:id="1117523963">
          <w:marLeft w:val="0"/>
          <w:marRight w:val="0"/>
          <w:marTop w:val="0"/>
          <w:marBottom w:val="0"/>
          <w:divBdr>
            <w:top w:val="none" w:sz="0" w:space="0" w:color="auto"/>
            <w:left w:val="none" w:sz="0" w:space="0" w:color="auto"/>
            <w:bottom w:val="none" w:sz="0" w:space="0" w:color="auto"/>
            <w:right w:val="none" w:sz="0" w:space="0" w:color="auto"/>
          </w:divBdr>
          <w:divsChild>
            <w:div w:id="1307318369">
              <w:marLeft w:val="0"/>
              <w:marRight w:val="0"/>
              <w:marTop w:val="0"/>
              <w:marBottom w:val="0"/>
              <w:divBdr>
                <w:top w:val="none" w:sz="0" w:space="0" w:color="auto"/>
                <w:left w:val="none" w:sz="0" w:space="0" w:color="auto"/>
                <w:bottom w:val="none" w:sz="0" w:space="0" w:color="auto"/>
                <w:right w:val="none" w:sz="0" w:space="0" w:color="auto"/>
              </w:divBdr>
              <w:divsChild>
                <w:div w:id="363596656">
                  <w:marLeft w:val="0"/>
                  <w:marRight w:val="0"/>
                  <w:marTop w:val="0"/>
                  <w:marBottom w:val="0"/>
                  <w:divBdr>
                    <w:top w:val="none" w:sz="0" w:space="0" w:color="auto"/>
                    <w:left w:val="none" w:sz="0" w:space="0" w:color="auto"/>
                    <w:bottom w:val="none" w:sz="0" w:space="0" w:color="auto"/>
                    <w:right w:val="none" w:sz="0" w:space="0" w:color="auto"/>
                  </w:divBdr>
                  <w:divsChild>
                    <w:div w:id="14893905">
                      <w:marLeft w:val="0"/>
                      <w:marRight w:val="0"/>
                      <w:marTop w:val="0"/>
                      <w:marBottom w:val="0"/>
                      <w:divBdr>
                        <w:top w:val="none" w:sz="0" w:space="0" w:color="auto"/>
                        <w:left w:val="none" w:sz="0" w:space="0" w:color="auto"/>
                        <w:bottom w:val="none" w:sz="0" w:space="0" w:color="auto"/>
                        <w:right w:val="none" w:sz="0" w:space="0" w:color="auto"/>
                      </w:divBdr>
                      <w:divsChild>
                        <w:div w:id="270477748">
                          <w:marLeft w:val="0"/>
                          <w:marRight w:val="0"/>
                          <w:marTop w:val="0"/>
                          <w:marBottom w:val="0"/>
                          <w:divBdr>
                            <w:top w:val="none" w:sz="0" w:space="0" w:color="auto"/>
                            <w:left w:val="none" w:sz="0" w:space="0" w:color="auto"/>
                            <w:bottom w:val="none" w:sz="0" w:space="0" w:color="auto"/>
                            <w:right w:val="none" w:sz="0" w:space="0" w:color="auto"/>
                          </w:divBdr>
                          <w:divsChild>
                            <w:div w:id="162211529">
                              <w:marLeft w:val="0"/>
                              <w:marRight w:val="0"/>
                              <w:marTop w:val="0"/>
                              <w:marBottom w:val="0"/>
                              <w:divBdr>
                                <w:top w:val="none" w:sz="0" w:space="0" w:color="auto"/>
                                <w:left w:val="none" w:sz="0" w:space="0" w:color="auto"/>
                                <w:bottom w:val="none" w:sz="0" w:space="0" w:color="auto"/>
                                <w:right w:val="none" w:sz="0" w:space="0" w:color="auto"/>
                              </w:divBdr>
                              <w:divsChild>
                                <w:div w:id="307444770">
                                  <w:marLeft w:val="0"/>
                                  <w:marRight w:val="0"/>
                                  <w:marTop w:val="0"/>
                                  <w:marBottom w:val="0"/>
                                  <w:divBdr>
                                    <w:top w:val="none" w:sz="0" w:space="0" w:color="auto"/>
                                    <w:left w:val="none" w:sz="0" w:space="0" w:color="auto"/>
                                    <w:bottom w:val="none" w:sz="0" w:space="0" w:color="auto"/>
                                    <w:right w:val="none" w:sz="0" w:space="0" w:color="auto"/>
                                  </w:divBdr>
                                  <w:divsChild>
                                    <w:div w:id="6768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770301">
      <w:bodyDiv w:val="1"/>
      <w:marLeft w:val="0"/>
      <w:marRight w:val="0"/>
      <w:marTop w:val="0"/>
      <w:marBottom w:val="0"/>
      <w:divBdr>
        <w:top w:val="none" w:sz="0" w:space="0" w:color="auto"/>
        <w:left w:val="none" w:sz="0" w:space="0" w:color="auto"/>
        <w:bottom w:val="none" w:sz="0" w:space="0" w:color="auto"/>
        <w:right w:val="none" w:sz="0" w:space="0" w:color="auto"/>
      </w:divBdr>
    </w:div>
    <w:div w:id="643972481">
      <w:bodyDiv w:val="1"/>
      <w:marLeft w:val="0"/>
      <w:marRight w:val="0"/>
      <w:marTop w:val="0"/>
      <w:marBottom w:val="0"/>
      <w:divBdr>
        <w:top w:val="none" w:sz="0" w:space="0" w:color="auto"/>
        <w:left w:val="none" w:sz="0" w:space="0" w:color="auto"/>
        <w:bottom w:val="none" w:sz="0" w:space="0" w:color="auto"/>
        <w:right w:val="none" w:sz="0" w:space="0" w:color="auto"/>
      </w:divBdr>
    </w:div>
    <w:div w:id="822507372">
      <w:bodyDiv w:val="1"/>
      <w:marLeft w:val="0"/>
      <w:marRight w:val="0"/>
      <w:marTop w:val="0"/>
      <w:marBottom w:val="0"/>
      <w:divBdr>
        <w:top w:val="none" w:sz="0" w:space="0" w:color="auto"/>
        <w:left w:val="none" w:sz="0" w:space="0" w:color="auto"/>
        <w:bottom w:val="none" w:sz="0" w:space="0" w:color="auto"/>
        <w:right w:val="none" w:sz="0" w:space="0" w:color="auto"/>
      </w:divBdr>
    </w:div>
    <w:div w:id="884828132">
      <w:bodyDiv w:val="1"/>
      <w:marLeft w:val="0"/>
      <w:marRight w:val="0"/>
      <w:marTop w:val="0"/>
      <w:marBottom w:val="0"/>
      <w:divBdr>
        <w:top w:val="none" w:sz="0" w:space="0" w:color="auto"/>
        <w:left w:val="none" w:sz="0" w:space="0" w:color="auto"/>
        <w:bottom w:val="none" w:sz="0" w:space="0" w:color="auto"/>
        <w:right w:val="none" w:sz="0" w:space="0" w:color="auto"/>
      </w:divBdr>
      <w:divsChild>
        <w:div w:id="1905682174">
          <w:marLeft w:val="0"/>
          <w:marRight w:val="0"/>
          <w:marTop w:val="0"/>
          <w:marBottom w:val="0"/>
          <w:divBdr>
            <w:top w:val="none" w:sz="0" w:space="0" w:color="auto"/>
            <w:left w:val="none" w:sz="0" w:space="0" w:color="auto"/>
            <w:bottom w:val="none" w:sz="0" w:space="0" w:color="auto"/>
            <w:right w:val="none" w:sz="0" w:space="0" w:color="auto"/>
          </w:divBdr>
          <w:divsChild>
            <w:div w:id="702366004">
              <w:marLeft w:val="0"/>
              <w:marRight w:val="0"/>
              <w:marTop w:val="0"/>
              <w:marBottom w:val="0"/>
              <w:divBdr>
                <w:top w:val="none" w:sz="0" w:space="0" w:color="auto"/>
                <w:left w:val="none" w:sz="0" w:space="0" w:color="auto"/>
                <w:bottom w:val="none" w:sz="0" w:space="0" w:color="auto"/>
                <w:right w:val="none" w:sz="0" w:space="0" w:color="auto"/>
              </w:divBdr>
              <w:divsChild>
                <w:div w:id="1847355544">
                  <w:marLeft w:val="0"/>
                  <w:marRight w:val="0"/>
                  <w:marTop w:val="0"/>
                  <w:marBottom w:val="0"/>
                  <w:divBdr>
                    <w:top w:val="none" w:sz="0" w:space="0" w:color="auto"/>
                    <w:left w:val="none" w:sz="0" w:space="0" w:color="auto"/>
                    <w:bottom w:val="none" w:sz="0" w:space="0" w:color="auto"/>
                    <w:right w:val="none" w:sz="0" w:space="0" w:color="auto"/>
                  </w:divBdr>
                  <w:divsChild>
                    <w:div w:id="669523259">
                      <w:marLeft w:val="0"/>
                      <w:marRight w:val="0"/>
                      <w:marTop w:val="0"/>
                      <w:marBottom w:val="0"/>
                      <w:divBdr>
                        <w:top w:val="none" w:sz="0" w:space="0" w:color="auto"/>
                        <w:left w:val="none" w:sz="0" w:space="0" w:color="auto"/>
                        <w:bottom w:val="none" w:sz="0" w:space="0" w:color="auto"/>
                        <w:right w:val="none" w:sz="0" w:space="0" w:color="auto"/>
                      </w:divBdr>
                      <w:divsChild>
                        <w:div w:id="2057462268">
                          <w:marLeft w:val="0"/>
                          <w:marRight w:val="0"/>
                          <w:marTop w:val="0"/>
                          <w:marBottom w:val="0"/>
                          <w:divBdr>
                            <w:top w:val="none" w:sz="0" w:space="0" w:color="auto"/>
                            <w:left w:val="none" w:sz="0" w:space="0" w:color="auto"/>
                            <w:bottom w:val="none" w:sz="0" w:space="0" w:color="auto"/>
                            <w:right w:val="none" w:sz="0" w:space="0" w:color="auto"/>
                          </w:divBdr>
                          <w:divsChild>
                            <w:div w:id="719550886">
                              <w:marLeft w:val="0"/>
                              <w:marRight w:val="0"/>
                              <w:marTop w:val="0"/>
                              <w:marBottom w:val="0"/>
                              <w:divBdr>
                                <w:top w:val="none" w:sz="0" w:space="0" w:color="auto"/>
                                <w:left w:val="none" w:sz="0" w:space="0" w:color="auto"/>
                                <w:bottom w:val="none" w:sz="0" w:space="0" w:color="auto"/>
                                <w:right w:val="none" w:sz="0" w:space="0" w:color="auto"/>
                              </w:divBdr>
                              <w:divsChild>
                                <w:div w:id="484905736">
                                  <w:marLeft w:val="0"/>
                                  <w:marRight w:val="0"/>
                                  <w:marTop w:val="0"/>
                                  <w:marBottom w:val="0"/>
                                  <w:divBdr>
                                    <w:top w:val="none" w:sz="0" w:space="0" w:color="auto"/>
                                    <w:left w:val="none" w:sz="0" w:space="0" w:color="auto"/>
                                    <w:bottom w:val="none" w:sz="0" w:space="0" w:color="auto"/>
                                    <w:right w:val="none" w:sz="0" w:space="0" w:color="auto"/>
                                  </w:divBdr>
                                  <w:divsChild>
                                    <w:div w:id="1155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54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pwd.org.au" TargetMode="External"/><Relationship Id="rId18" Type="http://schemas.openxmlformats.org/officeDocument/2006/relationships/image" Target="media/image5.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pdn.org.au/"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wda.org.a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thereses@pwd.org.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ereses@pwd.org.au" TargetMode="External"/><Relationship Id="rId14" Type="http://schemas.openxmlformats.org/officeDocument/2006/relationships/hyperlink" Target="http://neda.org.a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da.org.au/issues/sterilise/sterilise2011/sterilwma2011/" TargetMode="External"/><Relationship Id="rId7" Type="http://schemas.openxmlformats.org/officeDocument/2006/relationships/hyperlink" Target="https://www.alrc.gov.au/news-media/equality-capacity-and-disability-alrc-report" TargetMode="External"/><Relationship Id="rId2" Type="http://schemas.openxmlformats.org/officeDocument/2006/relationships/hyperlink" Target="http://www.wwda.org.au/FIGOGuidelines2011.pdf" TargetMode="External"/><Relationship Id="rId1" Type="http://schemas.openxmlformats.org/officeDocument/2006/relationships/hyperlink" Target="https://oii.org.au/31467/submission-crpd-2017/" TargetMode="External"/><Relationship Id="rId6" Type="http://schemas.openxmlformats.org/officeDocument/2006/relationships/hyperlink" Target="https://www.ag.gov.au/Consultations/Documents/Convention-on-the-rights-of-persons-with-disabilities/Australias-draft-combined-second-and-third-periodic-report.pdf" TargetMode="External"/><Relationship Id="rId5" Type="http://schemas.openxmlformats.org/officeDocument/2006/relationships/hyperlink" Target="http://thedigitalcommons.org/docs/shakespeare_social-model-of-disability.pdf" TargetMode="External"/><Relationship Id="rId4" Type="http://schemas.openxmlformats.org/officeDocument/2006/relationships/hyperlink" Target="http://darlington.org.au/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16D4B-0FE6-4D22-AAC6-43685B699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3895</Words>
  <Characters>22206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Lea</dc:creator>
  <cp:lastModifiedBy>Therese Sands</cp:lastModifiedBy>
  <cp:revision>6</cp:revision>
  <cp:lastPrinted>2018-10-01T11:40:00Z</cp:lastPrinted>
  <dcterms:created xsi:type="dcterms:W3CDTF">2018-10-01T11:23:00Z</dcterms:created>
  <dcterms:modified xsi:type="dcterms:W3CDTF">2018-10-01T11:41:00Z</dcterms:modified>
</cp:coreProperties>
</file>