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0EEA" w14:textId="77777777" w:rsidR="0029479C" w:rsidRDefault="0029479C"/>
    <w:p w14:paraId="4E3F0830"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632A09D4" w14:textId="77777777" w:rsidR="0089656C"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8"/>
          <w:szCs w:val="28"/>
          <w:lang w:val="en-AU"/>
        </w:rPr>
      </w:pPr>
      <w:r w:rsidRPr="000107BF">
        <w:rPr>
          <w:rFonts w:ascii="Calibri" w:hAnsi="Calibri"/>
          <w:b/>
          <w:color w:val="2E74B5" w:themeColor="accent1" w:themeShade="BF"/>
          <w:sz w:val="28"/>
          <w:szCs w:val="28"/>
          <w:lang w:val="en-AU"/>
        </w:rPr>
        <w:t>I</w:t>
      </w:r>
      <w:r w:rsidR="00482EE4">
        <w:rPr>
          <w:rFonts w:ascii="Calibri" w:hAnsi="Calibri"/>
          <w:b/>
          <w:color w:val="2E74B5" w:themeColor="accent1" w:themeShade="BF"/>
          <w:sz w:val="28"/>
          <w:szCs w:val="28"/>
          <w:lang w:val="en-AU"/>
        </w:rPr>
        <w:t>SSUE</w:t>
      </w:r>
      <w:r w:rsidRPr="000107BF">
        <w:rPr>
          <w:rFonts w:ascii="Calibri" w:hAnsi="Calibri"/>
          <w:b/>
          <w:color w:val="2E74B5" w:themeColor="accent1" w:themeShade="BF"/>
          <w:sz w:val="28"/>
          <w:szCs w:val="28"/>
          <w:lang w:val="en-AU"/>
        </w:rPr>
        <w:t xml:space="preserve">: </w:t>
      </w:r>
      <w:r>
        <w:rPr>
          <w:rFonts w:ascii="Calibri" w:hAnsi="Calibri"/>
          <w:b/>
          <w:color w:val="2E74B5" w:themeColor="accent1" w:themeShade="BF"/>
          <w:sz w:val="28"/>
          <w:szCs w:val="28"/>
          <w:lang w:val="en-AU"/>
        </w:rPr>
        <w:t xml:space="preserve"> </w:t>
      </w:r>
      <w:r w:rsidR="00147882" w:rsidRPr="00482EE4">
        <w:rPr>
          <w:rFonts w:ascii="Calibri" w:hAnsi="Calibri"/>
          <w:b/>
          <w:color w:val="2E74B5" w:themeColor="accent1" w:themeShade="BF"/>
          <w:sz w:val="28"/>
          <w:szCs w:val="28"/>
          <w:lang w:val="en-AU"/>
        </w:rPr>
        <w:t>Forced Treatment and Restrictive Practices</w:t>
      </w:r>
      <w:r>
        <w:rPr>
          <w:rFonts w:ascii="Calibri" w:hAnsi="Calibri"/>
          <w:color w:val="2E74B5" w:themeColor="accent1" w:themeShade="BF"/>
          <w:sz w:val="28"/>
          <w:szCs w:val="28"/>
          <w:lang w:val="en-AU"/>
        </w:rPr>
        <w:t xml:space="preserve"> </w:t>
      </w:r>
    </w:p>
    <w:p w14:paraId="5EC7F589" w14:textId="77777777" w:rsidR="00482EE4" w:rsidRDefault="00482EE4"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38237BB6" w14:textId="77777777" w:rsidR="000107BF" w:rsidRPr="00482EE4" w:rsidRDefault="003C5713"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482EE4">
        <w:rPr>
          <w:rFonts w:ascii="Calibri" w:hAnsi="Calibri"/>
          <w:color w:val="2E74B5" w:themeColor="accent1" w:themeShade="BF"/>
          <w:sz w:val="20"/>
          <w:szCs w:val="20"/>
          <w:lang w:val="en-AU"/>
        </w:rPr>
        <w:t xml:space="preserve">(See Article </w:t>
      </w:r>
      <w:r w:rsidR="00147882" w:rsidRPr="00482EE4">
        <w:rPr>
          <w:rFonts w:ascii="Calibri" w:hAnsi="Calibri"/>
          <w:color w:val="2E74B5" w:themeColor="accent1" w:themeShade="BF"/>
          <w:sz w:val="20"/>
          <w:szCs w:val="20"/>
          <w:lang w:val="en-AU"/>
        </w:rPr>
        <w:t>15</w:t>
      </w:r>
      <w:r w:rsidR="000107BF" w:rsidRPr="00482EE4">
        <w:rPr>
          <w:rFonts w:ascii="Calibri" w:hAnsi="Calibri"/>
          <w:color w:val="2E74B5" w:themeColor="accent1" w:themeShade="BF"/>
          <w:sz w:val="20"/>
          <w:szCs w:val="20"/>
          <w:lang w:val="en-AU"/>
        </w:rPr>
        <w:t xml:space="preserve"> on page 1</w:t>
      </w:r>
      <w:r w:rsidR="00147882" w:rsidRPr="00482EE4">
        <w:rPr>
          <w:rFonts w:ascii="Calibri" w:hAnsi="Calibri"/>
          <w:color w:val="2E74B5" w:themeColor="accent1" w:themeShade="BF"/>
          <w:sz w:val="20"/>
          <w:szCs w:val="20"/>
          <w:lang w:val="en-AU"/>
        </w:rPr>
        <w:t>2</w:t>
      </w:r>
      <w:r w:rsidR="000107BF" w:rsidRPr="00482EE4">
        <w:rPr>
          <w:rFonts w:ascii="Calibri" w:hAnsi="Calibri"/>
          <w:color w:val="2E74B5" w:themeColor="accent1" w:themeShade="BF"/>
          <w:sz w:val="20"/>
          <w:szCs w:val="20"/>
          <w:lang w:val="en-AU"/>
        </w:rPr>
        <w:t xml:space="preserve"> of DPO Australia Submission to the CRPD) </w:t>
      </w:r>
    </w:p>
    <w:p w14:paraId="444DC105"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5A5874D0" w14:textId="77777777" w:rsidR="003A168A" w:rsidRPr="00E414A6" w:rsidRDefault="003A168A"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75F2B6BA" w14:textId="77777777" w:rsidR="000107BF" w:rsidRPr="003A168A"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3A168A">
        <w:rPr>
          <w:rFonts w:ascii="Calibri" w:hAnsi="Calibri"/>
          <w:b/>
          <w:color w:val="2E74B5" w:themeColor="accent1" w:themeShade="BF"/>
          <w:sz w:val="28"/>
          <w:szCs w:val="28"/>
          <w:lang w:val="en-AU"/>
        </w:rPr>
        <w:t>Background</w:t>
      </w:r>
    </w:p>
    <w:p w14:paraId="7B58FC92" w14:textId="423B9157" w:rsidR="003A168A" w:rsidRPr="00482EE4" w:rsidRDefault="00165B9F"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482EE4">
        <w:rPr>
          <w:rFonts w:asciiTheme="minorHAnsi" w:eastAsia="Times New Roman" w:hAnsiTheme="minorHAnsi" w:cs="Arial"/>
          <w:color w:val="000000"/>
          <w:sz w:val="22"/>
          <w:szCs w:val="22"/>
        </w:rPr>
        <w:t>Across Australia, mental health l</w:t>
      </w:r>
      <w:r w:rsidR="00147882" w:rsidRPr="00482EE4">
        <w:rPr>
          <w:rFonts w:asciiTheme="minorHAnsi" w:eastAsia="Times New Roman" w:hAnsiTheme="minorHAnsi" w:cs="Arial"/>
          <w:color w:val="000000"/>
          <w:sz w:val="22"/>
          <w:szCs w:val="22"/>
        </w:rPr>
        <w:t xml:space="preserve">aws, policy and practice </w:t>
      </w:r>
      <w:r w:rsidRPr="00482EE4">
        <w:rPr>
          <w:rFonts w:asciiTheme="minorHAnsi" w:eastAsia="Times New Roman" w:hAnsiTheme="minorHAnsi" w:cs="Arial"/>
          <w:color w:val="000000"/>
          <w:sz w:val="22"/>
          <w:szCs w:val="22"/>
        </w:rPr>
        <w:t xml:space="preserve">authorise the forced </w:t>
      </w:r>
      <w:r w:rsidR="00147882" w:rsidRPr="00482EE4">
        <w:rPr>
          <w:rFonts w:asciiTheme="minorHAnsi" w:eastAsia="Times New Roman" w:hAnsiTheme="minorHAnsi" w:cs="Arial"/>
          <w:color w:val="000000"/>
          <w:sz w:val="22"/>
          <w:szCs w:val="22"/>
        </w:rPr>
        <w:t xml:space="preserve">treatment of people with </w:t>
      </w:r>
      <w:r w:rsidRPr="00482EE4">
        <w:rPr>
          <w:rFonts w:asciiTheme="minorHAnsi" w:eastAsia="Times New Roman" w:hAnsiTheme="minorHAnsi" w:cs="Arial"/>
          <w:color w:val="000000"/>
          <w:sz w:val="22"/>
          <w:szCs w:val="22"/>
        </w:rPr>
        <w:t xml:space="preserve">psychosocial </w:t>
      </w:r>
      <w:r w:rsidR="00147882" w:rsidRPr="00482EE4">
        <w:rPr>
          <w:rFonts w:asciiTheme="minorHAnsi" w:eastAsia="Times New Roman" w:hAnsiTheme="minorHAnsi" w:cs="Arial"/>
          <w:color w:val="000000"/>
          <w:sz w:val="22"/>
          <w:szCs w:val="22"/>
        </w:rPr>
        <w:t>disability</w:t>
      </w:r>
      <w:r w:rsidRPr="00482EE4">
        <w:rPr>
          <w:rFonts w:asciiTheme="minorHAnsi" w:eastAsia="Times New Roman" w:hAnsiTheme="minorHAnsi" w:cs="Arial"/>
          <w:color w:val="000000"/>
          <w:sz w:val="22"/>
          <w:szCs w:val="22"/>
        </w:rPr>
        <w:t xml:space="preserve">, limiting </w:t>
      </w:r>
      <w:r w:rsidR="00147882" w:rsidRPr="00482EE4">
        <w:rPr>
          <w:rFonts w:asciiTheme="minorHAnsi" w:eastAsia="Times New Roman" w:hAnsiTheme="minorHAnsi" w:cs="Arial"/>
          <w:color w:val="000000"/>
          <w:sz w:val="22"/>
          <w:szCs w:val="22"/>
        </w:rPr>
        <w:t>individual rights to liberty and security and equal recognition before the law. Laws have failed to prevent, and in some cases actively condone unacceptable practices, including invasive and irreversible treatments, such as the authorisation of psychosurgery, electroconvulsive therapy</w:t>
      </w:r>
      <w:r w:rsidR="003A168A" w:rsidRPr="00482EE4">
        <w:rPr>
          <w:rStyle w:val="EndnoteReference"/>
          <w:rFonts w:asciiTheme="minorHAnsi" w:eastAsia="Times New Roman" w:hAnsiTheme="minorHAnsi" w:cs="Arial"/>
          <w:color w:val="000000"/>
          <w:sz w:val="22"/>
          <w:szCs w:val="22"/>
        </w:rPr>
        <w:endnoteReference w:id="1"/>
      </w:r>
      <w:r w:rsidR="003A168A" w:rsidRPr="00482EE4">
        <w:rPr>
          <w:rFonts w:asciiTheme="minorHAnsi" w:eastAsia="Times New Roman" w:hAnsiTheme="minorHAnsi" w:cs="Arial"/>
          <w:color w:val="000000"/>
          <w:sz w:val="22"/>
          <w:szCs w:val="22"/>
        </w:rPr>
        <w:t xml:space="preserve"> and forced sterilisation, chemical, mechanical and physical restraint and seclusion.</w:t>
      </w:r>
      <w:r w:rsidR="003A168A" w:rsidRPr="00482EE4">
        <w:rPr>
          <w:rFonts w:asciiTheme="minorHAnsi" w:eastAsia="Times New Roman" w:hAnsiTheme="minorHAnsi" w:cs="Arial"/>
          <w:color w:val="000000"/>
          <w:sz w:val="22"/>
          <w:szCs w:val="22"/>
          <w:vertAlign w:val="superscript"/>
        </w:rPr>
        <w:endnoteReference w:id="2"/>
      </w:r>
      <w:r w:rsidR="003A168A" w:rsidRPr="00482EE4">
        <w:rPr>
          <w:rFonts w:asciiTheme="minorHAnsi" w:eastAsia="Times New Roman" w:hAnsiTheme="minorHAnsi" w:cs="Arial"/>
          <w:color w:val="000000"/>
          <w:sz w:val="22"/>
          <w:szCs w:val="22"/>
        </w:rPr>
        <w:t xml:space="preserve">  </w:t>
      </w:r>
    </w:p>
    <w:p w14:paraId="1FDE68BF" w14:textId="77777777"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p>
    <w:p w14:paraId="32653D08" w14:textId="02438F1A"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482EE4">
        <w:rPr>
          <w:rFonts w:asciiTheme="minorHAnsi" w:eastAsia="Times New Roman" w:hAnsiTheme="minorHAnsi" w:cs="Arial"/>
          <w:color w:val="000000"/>
          <w:sz w:val="22"/>
          <w:szCs w:val="22"/>
        </w:rPr>
        <w:t xml:space="preserve">Australia’s Interpretative Declaration in respect of Article 17 of the CRPD effectively means that Australia believes that forced treatment complies with international law. </w:t>
      </w:r>
      <w:r w:rsidRPr="00482EE4">
        <w:rPr>
          <w:rFonts w:ascii="Calibri" w:eastAsia="Times New Roman" w:hAnsi="Calibri"/>
          <w:color w:val="000000"/>
          <w:kern w:val="28"/>
          <w:sz w:val="22"/>
          <w:szCs w:val="22"/>
          <w:bdr w:val="none" w:sz="0" w:space="0" w:color="auto"/>
          <w:lang w:eastAsia="en-AU"/>
        </w:rPr>
        <w:t xml:space="preserve">Instead of addressing mental health laws as an inherent breach of human rights, States and Territories have focused on reviewing and amending mental health legislation in an effort to increase compliance with human rights. </w:t>
      </w:r>
    </w:p>
    <w:p w14:paraId="70E326FB" w14:textId="77777777" w:rsidR="003A168A" w:rsidRPr="00482EE4" w:rsidRDefault="003A168A" w:rsidP="003A1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x-none" w:eastAsia="en-AU"/>
        </w:rPr>
      </w:pPr>
    </w:p>
    <w:p w14:paraId="555B6B89" w14:textId="77011942" w:rsidR="003A168A" w:rsidRPr="00482EE4" w:rsidRDefault="003A168A" w:rsidP="003A1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482EE4">
        <w:rPr>
          <w:rFonts w:ascii="Calibri" w:eastAsia="Times New Roman" w:hAnsi="Calibri"/>
          <w:color w:val="000000"/>
          <w:kern w:val="28"/>
          <w:sz w:val="22"/>
          <w:szCs w:val="22"/>
          <w:bdr w:val="none" w:sz="0" w:space="0" w:color="auto"/>
          <w:lang w:val="en-AU" w:eastAsia="en-AU"/>
        </w:rPr>
        <w:t xml:space="preserve">However, the UN Special Rapporteur </w:t>
      </w:r>
      <w:r w:rsidR="00701FEC">
        <w:rPr>
          <w:rFonts w:ascii="Calibri" w:eastAsia="Times New Roman" w:hAnsi="Calibri"/>
          <w:color w:val="000000"/>
          <w:kern w:val="28"/>
          <w:sz w:val="22"/>
          <w:szCs w:val="22"/>
          <w:bdr w:val="none" w:sz="0" w:space="0" w:color="auto"/>
          <w:lang w:val="en-AU" w:eastAsia="en-AU"/>
        </w:rPr>
        <w:t xml:space="preserve">on Torture </w:t>
      </w:r>
      <w:r w:rsidRPr="00482EE4">
        <w:rPr>
          <w:rFonts w:ascii="Calibri" w:eastAsia="Times New Roman" w:hAnsi="Calibri"/>
          <w:color w:val="000000"/>
          <w:kern w:val="28"/>
          <w:sz w:val="22"/>
          <w:szCs w:val="22"/>
          <w:bdr w:val="none" w:sz="0" w:space="0" w:color="auto"/>
          <w:lang w:val="en-AU" w:eastAsia="en-AU"/>
        </w:rPr>
        <w:t>has stated that compulsory treatment of people with disability is “often wrongfully justified by theories of incapacity and therapeutic necessity”, which is inconsistent with the CRPD, but “legitimised under national laws” and enjoying “wide public support as being in the alleged ‘best interest’ of the person concerned.”</w:t>
      </w:r>
      <w:r w:rsidRPr="00482EE4">
        <w:rPr>
          <w:rFonts w:ascii="Calibri" w:eastAsia="Times New Roman" w:hAnsi="Calibri"/>
          <w:color w:val="000000"/>
          <w:kern w:val="28"/>
          <w:sz w:val="22"/>
          <w:szCs w:val="22"/>
          <w:bdr w:val="none" w:sz="0" w:space="0" w:color="auto"/>
          <w:vertAlign w:val="superscript"/>
          <w:lang w:val="en-AU" w:eastAsia="en-AU"/>
        </w:rPr>
        <w:endnoteReference w:id="3"/>
      </w:r>
      <w:r w:rsidRPr="00482EE4">
        <w:rPr>
          <w:rFonts w:ascii="Calibri" w:eastAsia="Times New Roman" w:hAnsi="Calibri"/>
          <w:color w:val="000000"/>
          <w:kern w:val="28"/>
          <w:sz w:val="22"/>
          <w:szCs w:val="22"/>
          <w:bdr w:val="none" w:sz="0" w:space="0" w:color="auto"/>
          <w:lang w:val="en-AU" w:eastAsia="en-AU"/>
        </w:rPr>
        <w:t xml:space="preserve">  </w:t>
      </w:r>
    </w:p>
    <w:p w14:paraId="2F394674" w14:textId="77777777"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p>
    <w:p w14:paraId="4350A842" w14:textId="77777777"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482EE4">
        <w:rPr>
          <w:rFonts w:asciiTheme="minorHAnsi" w:eastAsia="Times New Roman" w:hAnsiTheme="minorHAnsi" w:cs="Arial"/>
          <w:color w:val="000000"/>
          <w:sz w:val="22"/>
          <w:szCs w:val="22"/>
        </w:rPr>
        <w:t>The Committee on the Rights of Persons with Disabilities recommended to Australia to withdraw its Interpretive Declaration and to repeal laws that authorise forced treatment.</w:t>
      </w:r>
      <w:r w:rsidRPr="00482EE4">
        <w:rPr>
          <w:rFonts w:asciiTheme="minorHAnsi" w:eastAsia="Times New Roman" w:hAnsiTheme="minorHAnsi" w:cs="Arial"/>
          <w:color w:val="000000"/>
          <w:sz w:val="22"/>
          <w:szCs w:val="22"/>
          <w:vertAlign w:val="superscript"/>
        </w:rPr>
        <w:endnoteReference w:id="4"/>
      </w:r>
    </w:p>
    <w:p w14:paraId="0853B6D5" w14:textId="77777777"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p>
    <w:p w14:paraId="0E99CE77" w14:textId="414BC332"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482EE4">
        <w:rPr>
          <w:rFonts w:asciiTheme="minorHAnsi" w:eastAsia="Times New Roman" w:hAnsiTheme="minorHAnsi" w:cs="Arial"/>
          <w:color w:val="000000"/>
          <w:sz w:val="22"/>
          <w:szCs w:val="22"/>
        </w:rPr>
        <w:t>Children and adults with disability are also routinely subjected to unregulated and under regulated behaviour modification or restrictive practices such as chemical, mechanical and physical restraint and seclusion including in mental health facilities, schools, hospitals, aged care, disability facilities and prisons.</w:t>
      </w:r>
      <w:r w:rsidRPr="00482EE4">
        <w:rPr>
          <w:rFonts w:asciiTheme="minorHAnsi" w:eastAsia="Times New Roman" w:hAnsiTheme="minorHAnsi" w:cs="Arial"/>
          <w:color w:val="000000"/>
          <w:sz w:val="22"/>
          <w:szCs w:val="22"/>
          <w:vertAlign w:val="superscript"/>
        </w:rPr>
        <w:endnoteReference w:id="5"/>
      </w:r>
      <w:r w:rsidRPr="00482EE4">
        <w:rPr>
          <w:rFonts w:asciiTheme="minorHAnsi" w:eastAsia="Times New Roman" w:hAnsiTheme="minorHAnsi" w:cs="Arial"/>
          <w:color w:val="000000"/>
          <w:sz w:val="22"/>
          <w:szCs w:val="22"/>
        </w:rPr>
        <w:t xml:space="preserve">  This includes a high number </w:t>
      </w:r>
      <w:r w:rsidR="00612513">
        <w:rPr>
          <w:rFonts w:asciiTheme="minorHAnsi" w:eastAsia="Times New Roman" w:hAnsiTheme="minorHAnsi" w:cs="Arial"/>
          <w:color w:val="000000"/>
          <w:sz w:val="22"/>
          <w:szCs w:val="22"/>
        </w:rPr>
        <w:t xml:space="preserve">of </w:t>
      </w:r>
      <w:r w:rsidRPr="00482EE4">
        <w:rPr>
          <w:rFonts w:asciiTheme="minorHAnsi" w:hAnsiTheme="minorHAnsi"/>
          <w:color w:val="000000" w:themeColor="text1"/>
          <w:sz w:val="22"/>
          <w:szCs w:val="22"/>
        </w:rPr>
        <w:t>people with disability</w:t>
      </w:r>
      <w:proofErr w:type="gramStart"/>
      <w:r w:rsidRPr="00482EE4">
        <w:rPr>
          <w:rFonts w:asciiTheme="minorHAnsi" w:hAnsiTheme="minorHAnsi"/>
          <w:color w:val="000000" w:themeColor="text1"/>
          <w:sz w:val="22"/>
          <w:szCs w:val="22"/>
        </w:rPr>
        <w:t>,</w:t>
      </w:r>
      <w:proofErr w:type="gramEnd"/>
      <w:r w:rsidRPr="00482EE4">
        <w:rPr>
          <w:rStyle w:val="EndnoteReference"/>
          <w:rFonts w:asciiTheme="minorHAnsi" w:hAnsiTheme="minorHAnsi"/>
          <w:color w:val="000000" w:themeColor="text1"/>
          <w:sz w:val="22"/>
          <w:szCs w:val="22"/>
        </w:rPr>
        <w:endnoteReference w:id="6"/>
      </w:r>
      <w:r w:rsidRPr="00482EE4">
        <w:rPr>
          <w:rStyle w:val="EndnoteReference"/>
          <w:rFonts w:asciiTheme="minorHAnsi" w:hAnsiTheme="minorHAnsi"/>
          <w:color w:val="000000" w:themeColor="text1"/>
          <w:sz w:val="22"/>
          <w:szCs w:val="22"/>
        </w:rPr>
        <w:t xml:space="preserve"> </w:t>
      </w:r>
      <w:r w:rsidRPr="00482EE4">
        <w:rPr>
          <w:rFonts w:asciiTheme="minorHAnsi" w:hAnsiTheme="minorHAnsi"/>
          <w:color w:val="000000" w:themeColor="text1"/>
          <w:sz w:val="22"/>
          <w:szCs w:val="22"/>
        </w:rPr>
        <w:t>including children with disability, administered psychotropic medication, psychotropic polypharmacy,</w:t>
      </w:r>
      <w:r w:rsidRPr="00482EE4">
        <w:rPr>
          <w:rStyle w:val="EndnoteReference"/>
          <w:rFonts w:asciiTheme="minorHAnsi" w:hAnsiTheme="minorHAnsi"/>
          <w:color w:val="000000" w:themeColor="text1"/>
          <w:sz w:val="22"/>
          <w:szCs w:val="22"/>
        </w:rPr>
        <w:endnoteReference w:id="7"/>
      </w:r>
      <w:r w:rsidRPr="00482EE4">
        <w:rPr>
          <w:rFonts w:asciiTheme="minorHAnsi" w:hAnsiTheme="minorHAnsi"/>
          <w:color w:val="000000" w:themeColor="text1"/>
          <w:sz w:val="22"/>
          <w:szCs w:val="22"/>
        </w:rPr>
        <w:t xml:space="preserve"> physical restraint and seclusion under the guise of ‘behaviour management’ policies and practice.</w:t>
      </w:r>
      <w:r w:rsidRPr="00482EE4">
        <w:rPr>
          <w:rStyle w:val="EndnoteReference"/>
          <w:rFonts w:asciiTheme="minorHAnsi" w:hAnsiTheme="minorHAnsi"/>
          <w:color w:val="000000" w:themeColor="text1"/>
          <w:sz w:val="22"/>
          <w:szCs w:val="22"/>
        </w:rPr>
        <w:endnoteReference w:id="8"/>
      </w:r>
    </w:p>
    <w:p w14:paraId="3D9270D7" w14:textId="77777777" w:rsidR="003A168A" w:rsidRPr="00482EE4" w:rsidRDefault="003A168A" w:rsidP="003A168A">
      <w:pPr>
        <w:spacing w:line="276" w:lineRule="auto"/>
        <w:jc w:val="both"/>
        <w:rPr>
          <w:rFonts w:asciiTheme="minorHAnsi" w:hAnsiTheme="minorHAnsi"/>
          <w:color w:val="000000" w:themeColor="text1"/>
          <w:sz w:val="22"/>
          <w:szCs w:val="22"/>
        </w:rPr>
      </w:pPr>
    </w:p>
    <w:p w14:paraId="35FFB821" w14:textId="5B067276" w:rsidR="003A168A" w:rsidRPr="00482EE4" w:rsidRDefault="003A168A" w:rsidP="003A168A">
      <w:pPr>
        <w:spacing w:line="276" w:lineRule="auto"/>
        <w:jc w:val="both"/>
        <w:rPr>
          <w:rFonts w:asciiTheme="minorHAnsi" w:hAnsiTheme="minorHAnsi"/>
          <w:color w:val="000000" w:themeColor="text1"/>
          <w:sz w:val="22"/>
          <w:szCs w:val="22"/>
        </w:rPr>
      </w:pPr>
      <w:r w:rsidRPr="00482EE4">
        <w:rPr>
          <w:rFonts w:asciiTheme="minorHAnsi" w:hAnsiTheme="minorHAnsi"/>
          <w:color w:val="000000" w:themeColor="text1"/>
          <w:sz w:val="22"/>
          <w:szCs w:val="22"/>
        </w:rPr>
        <w:t xml:space="preserve">The </w:t>
      </w:r>
      <w:r w:rsidRPr="00482EE4">
        <w:rPr>
          <w:rFonts w:asciiTheme="minorHAnsi" w:hAnsiTheme="minorHAnsi"/>
          <w:i/>
          <w:color w:val="000000" w:themeColor="text1"/>
          <w:sz w:val="22"/>
          <w:szCs w:val="22"/>
        </w:rPr>
        <w:t>National Framework for Reducing and Eliminating the Use of Restrictive Practices in the Disability Service Sector</w:t>
      </w:r>
      <w:r w:rsidRPr="00482EE4">
        <w:rPr>
          <w:rStyle w:val="EndnoteReference"/>
          <w:rFonts w:asciiTheme="minorHAnsi" w:hAnsiTheme="minorHAnsi"/>
          <w:i/>
          <w:color w:val="000000" w:themeColor="text1"/>
          <w:sz w:val="22"/>
          <w:szCs w:val="22"/>
        </w:rPr>
        <w:endnoteReference w:id="9"/>
      </w:r>
      <w:r w:rsidRPr="00482EE4">
        <w:rPr>
          <w:rFonts w:asciiTheme="minorHAnsi" w:hAnsiTheme="minorHAnsi"/>
          <w:i/>
          <w:color w:val="000000" w:themeColor="text1"/>
          <w:sz w:val="22"/>
          <w:szCs w:val="22"/>
        </w:rPr>
        <w:t xml:space="preserve"> </w:t>
      </w:r>
      <w:r w:rsidRPr="00482EE4">
        <w:rPr>
          <w:rFonts w:asciiTheme="minorHAnsi" w:hAnsiTheme="minorHAnsi"/>
          <w:color w:val="000000" w:themeColor="text1"/>
          <w:sz w:val="22"/>
          <w:szCs w:val="22"/>
        </w:rPr>
        <w:t>only applies to disability services and not all the settings where people with disability experience restrictive practices, including schools, mental health facilities, within prisons and hospitals.</w:t>
      </w:r>
      <w:r w:rsidRPr="00482EE4">
        <w:rPr>
          <w:rStyle w:val="EndnoteReference"/>
          <w:rFonts w:asciiTheme="minorHAnsi" w:hAnsiTheme="minorHAnsi"/>
          <w:color w:val="000000" w:themeColor="text1"/>
          <w:sz w:val="22"/>
          <w:szCs w:val="22"/>
        </w:rPr>
        <w:endnoteReference w:id="10"/>
      </w:r>
      <w:r w:rsidRPr="00482EE4">
        <w:rPr>
          <w:rFonts w:asciiTheme="minorHAnsi" w:hAnsiTheme="minorHAnsi"/>
          <w:color w:val="000000" w:themeColor="text1"/>
          <w:sz w:val="22"/>
          <w:szCs w:val="22"/>
        </w:rPr>
        <w:t xml:space="preserve"> It also maintains a focus on aut</w:t>
      </w:r>
      <w:r w:rsidR="00612513">
        <w:rPr>
          <w:rFonts w:asciiTheme="minorHAnsi" w:hAnsiTheme="minorHAnsi"/>
          <w:color w:val="000000" w:themeColor="text1"/>
          <w:sz w:val="22"/>
          <w:szCs w:val="22"/>
        </w:rPr>
        <w:t>horising, rather than eliminati</w:t>
      </w:r>
      <w:r w:rsidRPr="00482EE4">
        <w:rPr>
          <w:rFonts w:asciiTheme="minorHAnsi" w:hAnsiTheme="minorHAnsi"/>
          <w:color w:val="000000" w:themeColor="text1"/>
          <w:sz w:val="22"/>
          <w:szCs w:val="22"/>
        </w:rPr>
        <w:t>n</w:t>
      </w:r>
      <w:r w:rsidR="00612513">
        <w:rPr>
          <w:rFonts w:asciiTheme="minorHAnsi" w:hAnsiTheme="minorHAnsi"/>
          <w:color w:val="000000" w:themeColor="text1"/>
          <w:sz w:val="22"/>
          <w:szCs w:val="22"/>
        </w:rPr>
        <w:t>g</w:t>
      </w:r>
      <w:bookmarkStart w:id="0" w:name="_GoBack"/>
      <w:bookmarkEnd w:id="0"/>
      <w:r w:rsidRPr="00482EE4">
        <w:rPr>
          <w:rFonts w:asciiTheme="minorHAnsi" w:hAnsiTheme="minorHAnsi"/>
          <w:color w:val="000000" w:themeColor="text1"/>
          <w:sz w:val="22"/>
          <w:szCs w:val="22"/>
        </w:rPr>
        <w:t xml:space="preserve"> restrictive practices.</w:t>
      </w:r>
      <w:r w:rsidRPr="00482EE4">
        <w:rPr>
          <w:rStyle w:val="EndnoteReference"/>
          <w:rFonts w:asciiTheme="minorHAnsi" w:hAnsiTheme="minorHAnsi"/>
          <w:color w:val="000000" w:themeColor="text1"/>
          <w:sz w:val="22"/>
          <w:szCs w:val="22"/>
        </w:rPr>
        <w:endnoteReference w:id="11"/>
      </w:r>
      <w:r w:rsidRPr="00482EE4">
        <w:rPr>
          <w:rFonts w:asciiTheme="minorHAnsi" w:hAnsiTheme="minorHAnsi"/>
          <w:color w:val="000000" w:themeColor="text1"/>
          <w:sz w:val="22"/>
          <w:szCs w:val="22"/>
        </w:rPr>
        <w:t xml:space="preserve">   </w:t>
      </w:r>
    </w:p>
    <w:p w14:paraId="2E47A387" w14:textId="77777777" w:rsidR="003A168A"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p>
    <w:p w14:paraId="0D594E35" w14:textId="77777777" w:rsidR="00147882" w:rsidRPr="00482EE4" w:rsidRDefault="003A168A" w:rsidP="003A168A">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482EE4">
        <w:rPr>
          <w:rFonts w:asciiTheme="minorHAnsi" w:eastAsia="Times New Roman" w:hAnsiTheme="minorHAnsi" w:cs="Arial"/>
          <w:color w:val="000000"/>
          <w:sz w:val="22"/>
          <w:szCs w:val="22"/>
        </w:rPr>
        <w:t>The Committee on the Rights of Persons with Disabilities recommended that Australia end such practices.</w:t>
      </w:r>
      <w:r w:rsidRPr="00482EE4">
        <w:rPr>
          <w:rFonts w:asciiTheme="minorHAnsi" w:eastAsia="Times New Roman" w:hAnsiTheme="minorHAnsi" w:cs="Arial"/>
          <w:color w:val="000000"/>
          <w:sz w:val="22"/>
          <w:szCs w:val="22"/>
          <w:vertAlign w:val="superscript"/>
        </w:rPr>
        <w:endnoteReference w:id="12"/>
      </w:r>
      <w:r w:rsidRPr="00482EE4">
        <w:rPr>
          <w:rFonts w:asciiTheme="minorHAnsi" w:eastAsia="Times New Roman" w:hAnsiTheme="minorHAnsi" w:cs="Arial"/>
          <w:color w:val="000000"/>
          <w:sz w:val="22"/>
          <w:szCs w:val="22"/>
        </w:rPr>
        <w:t xml:space="preserve"> </w:t>
      </w:r>
      <w:r w:rsidR="00147882" w:rsidRPr="00482EE4">
        <w:rPr>
          <w:rFonts w:asciiTheme="minorHAnsi" w:eastAsia="Times New Roman" w:hAnsiTheme="minorHAnsi" w:cs="Arial"/>
          <w:color w:val="000000"/>
          <w:sz w:val="22"/>
          <w:szCs w:val="22"/>
        </w:rPr>
        <w:t xml:space="preserve">  </w:t>
      </w:r>
    </w:p>
    <w:p w14:paraId="361A0AC4" w14:textId="77777777" w:rsidR="005D4ECE" w:rsidRPr="00482EE4" w:rsidRDefault="005D4ECE" w:rsidP="003A168A">
      <w:pPr>
        <w:spacing w:line="276" w:lineRule="auto"/>
        <w:jc w:val="both"/>
        <w:rPr>
          <w:rFonts w:asciiTheme="minorHAnsi" w:hAnsiTheme="minorHAnsi"/>
          <w:sz w:val="22"/>
          <w:szCs w:val="22"/>
        </w:rPr>
      </w:pPr>
    </w:p>
    <w:p w14:paraId="3649C5F0" w14:textId="77777777" w:rsidR="003A168A" w:rsidRPr="004D3B5A" w:rsidRDefault="003A168A" w:rsidP="003A1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Proposed Questions</w:t>
      </w:r>
    </w:p>
    <w:p w14:paraId="473B5883" w14:textId="77777777" w:rsidR="003A168A" w:rsidRDefault="003A168A" w:rsidP="003A168A">
      <w:pPr>
        <w:spacing w:line="276" w:lineRule="auto"/>
        <w:rPr>
          <w:rFonts w:ascii="Calibri" w:eastAsia="Times New Roman" w:hAnsi="Calibri"/>
          <w:bCs/>
          <w:sz w:val="22"/>
          <w:szCs w:val="22"/>
          <w:lang w:val="en-AU"/>
        </w:rPr>
      </w:pPr>
    </w:p>
    <w:p w14:paraId="65B7FD4C" w14:textId="77777777" w:rsidR="00E40F6B" w:rsidRPr="003A168A" w:rsidRDefault="00E40F6B"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b/>
          <w:color w:val="000000"/>
          <w:sz w:val="22"/>
          <w:szCs w:val="22"/>
          <w:bdr w:val="none" w:sz="0" w:space="0" w:color="auto"/>
          <w:lang w:val="en-AU"/>
        </w:rPr>
      </w:pPr>
      <w:r w:rsidRPr="003A168A">
        <w:rPr>
          <w:rFonts w:asciiTheme="minorHAnsi" w:eastAsia="MS Mincho" w:hAnsiTheme="minorHAnsi" w:cs="Arial"/>
          <w:b/>
          <w:color w:val="000000"/>
          <w:sz w:val="22"/>
          <w:szCs w:val="22"/>
          <w:bdr w:val="none" w:sz="0" w:space="0" w:color="auto"/>
          <w:lang w:val="en-AU"/>
        </w:rPr>
        <w:t xml:space="preserve">Please provide information on the measures taken to identify the laws, policies and practices authorising forced treatment, with a view to eliminating those laws, policies and practices.   </w:t>
      </w:r>
    </w:p>
    <w:p w14:paraId="5E7D44A5" w14:textId="77777777" w:rsidR="00E40F6B" w:rsidRPr="00482EE4" w:rsidRDefault="00E40F6B"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06BF4756" w14:textId="77777777" w:rsidR="00E40F6B" w:rsidRPr="00482EE4" w:rsidRDefault="00E40F6B"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r w:rsidRPr="00482EE4">
        <w:rPr>
          <w:rFonts w:asciiTheme="minorHAnsi" w:eastAsia="MS Mincho" w:hAnsiTheme="minorHAnsi" w:cs="Arial"/>
          <w:color w:val="000000"/>
          <w:sz w:val="22"/>
          <w:szCs w:val="22"/>
          <w:bdr w:val="none" w:sz="0" w:space="0" w:color="auto"/>
          <w:lang w:val="en-AU"/>
        </w:rPr>
        <w:lastRenderedPageBreak/>
        <w:t xml:space="preserve">Please advise the Committee on steps taken to withdraw the interpretative declaration to article 17. </w:t>
      </w:r>
    </w:p>
    <w:p w14:paraId="7320561A" w14:textId="77777777" w:rsidR="00E40F6B" w:rsidRPr="00482EE4" w:rsidRDefault="00E40F6B"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3A941590" w14:textId="77777777" w:rsidR="00180BE6" w:rsidRPr="00482EE4" w:rsidRDefault="00180BE6"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r w:rsidRPr="00482EE4">
        <w:rPr>
          <w:rFonts w:asciiTheme="minorHAnsi" w:eastAsia="MS Mincho" w:hAnsiTheme="minorHAnsi" w:cs="Arial"/>
          <w:color w:val="000000"/>
          <w:sz w:val="22"/>
          <w:szCs w:val="22"/>
          <w:bdr w:val="none" w:sz="0" w:space="0" w:color="auto"/>
          <w:lang w:val="en-AU"/>
        </w:rPr>
        <w:t xml:space="preserve">Please advise on all measures taken in law and practice to ensure that people with disability – including children with disability, are not subjected to behaviour modification or restrictive practices, including in disability services, schools, mental health facilities, </w:t>
      </w:r>
      <w:r w:rsidR="00E40F6B" w:rsidRPr="00482EE4">
        <w:rPr>
          <w:rFonts w:asciiTheme="minorHAnsi" w:eastAsia="MS Mincho" w:hAnsiTheme="minorHAnsi" w:cs="Arial"/>
          <w:color w:val="000000"/>
          <w:sz w:val="22"/>
          <w:szCs w:val="22"/>
          <w:bdr w:val="none" w:sz="0" w:space="0" w:color="auto"/>
          <w:lang w:val="en-AU"/>
        </w:rPr>
        <w:t>prisons, aged care</w:t>
      </w:r>
      <w:r w:rsidRPr="00482EE4">
        <w:rPr>
          <w:rFonts w:asciiTheme="minorHAnsi" w:eastAsia="MS Mincho" w:hAnsiTheme="minorHAnsi" w:cs="Arial"/>
          <w:color w:val="000000"/>
          <w:sz w:val="22"/>
          <w:szCs w:val="22"/>
          <w:bdr w:val="none" w:sz="0" w:space="0" w:color="auto"/>
          <w:lang w:val="en-AU"/>
        </w:rPr>
        <w:t xml:space="preserve"> and hospitals.</w:t>
      </w:r>
    </w:p>
    <w:p w14:paraId="5E0C015D" w14:textId="77777777" w:rsidR="00180BE6" w:rsidRPr="00482EE4" w:rsidRDefault="00180BE6"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0D9D34A4" w14:textId="77777777" w:rsidR="00180BE6" w:rsidRPr="00482EE4" w:rsidRDefault="00180BE6"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r w:rsidRPr="00482EE4">
        <w:rPr>
          <w:rFonts w:asciiTheme="minorHAnsi" w:eastAsia="MS Mincho" w:hAnsiTheme="minorHAnsi" w:cs="Arial"/>
          <w:color w:val="000000"/>
          <w:sz w:val="22"/>
          <w:szCs w:val="22"/>
          <w:bdr w:val="none" w:sz="0" w:space="0" w:color="auto"/>
          <w:lang w:val="en-AU"/>
        </w:rPr>
        <w:t xml:space="preserve">Please update the Committee on measures taken to establish a national independent preventative mechanism to monitor places of detention, education, work and care, where people with disability live and/or access services. </w:t>
      </w:r>
    </w:p>
    <w:p w14:paraId="62F9219C" w14:textId="77777777" w:rsidR="00180BE6" w:rsidRDefault="00180BE6"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222B0426" w14:textId="77777777" w:rsidR="003A168A" w:rsidRDefault="003A168A" w:rsidP="003A16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Theme="minorHAnsi" w:eastAsia="MS Mincho" w:hAnsiTheme="minorHAnsi" w:cs="Arial"/>
          <w:color w:val="000000"/>
          <w:sz w:val="22"/>
          <w:szCs w:val="22"/>
          <w:bdr w:val="none" w:sz="0" w:space="0" w:color="auto"/>
          <w:lang w:val="en-AU"/>
        </w:rPr>
      </w:pPr>
    </w:p>
    <w:p w14:paraId="41EDDDBF" w14:textId="5907F93B" w:rsidR="003A168A" w:rsidRPr="004D3B5A" w:rsidRDefault="003A168A" w:rsidP="003A1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Pr>
          <w:rFonts w:ascii="Calibri" w:hAnsi="Calibri"/>
          <w:b/>
          <w:color w:val="2E74B5" w:themeColor="accent1" w:themeShade="BF"/>
          <w:sz w:val="28"/>
          <w:szCs w:val="28"/>
          <w:lang w:val="en-AU"/>
        </w:rPr>
        <w:t>Endnote</w:t>
      </w:r>
      <w:r w:rsidRPr="004D3B5A">
        <w:rPr>
          <w:rFonts w:ascii="Calibri" w:hAnsi="Calibri"/>
          <w:b/>
          <w:color w:val="2E74B5" w:themeColor="accent1" w:themeShade="BF"/>
          <w:sz w:val="28"/>
          <w:szCs w:val="28"/>
          <w:lang w:val="en-AU"/>
        </w:rPr>
        <w:t>s</w:t>
      </w:r>
    </w:p>
    <w:p w14:paraId="0A8B5A0E" w14:textId="77777777" w:rsidR="00BB31C3" w:rsidRPr="00482EE4" w:rsidRDefault="00BB31C3" w:rsidP="003A16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inorHAnsi" w:hAnsiTheme="minorHAnsi"/>
          <w:b/>
          <w:sz w:val="22"/>
          <w:szCs w:val="22"/>
          <w:lang w:val="en-AU"/>
        </w:rPr>
      </w:pPr>
    </w:p>
    <w:sectPr w:rsidR="00BB31C3" w:rsidRPr="00482EE4" w:rsidSect="00482EE4">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E906" w14:textId="77777777" w:rsidR="00037875" w:rsidRDefault="00037875" w:rsidP="000107BF">
      <w:r>
        <w:separator/>
      </w:r>
    </w:p>
  </w:endnote>
  <w:endnote w:type="continuationSeparator" w:id="0">
    <w:p w14:paraId="1883DDE8" w14:textId="77777777" w:rsidR="00037875" w:rsidRDefault="00037875" w:rsidP="000107BF">
      <w:r>
        <w:continuationSeparator/>
      </w:r>
    </w:p>
  </w:endnote>
  <w:endnote w:id="1">
    <w:p w14:paraId="488247C3" w14:textId="77777777" w:rsidR="003A168A" w:rsidRPr="003A168A" w:rsidRDefault="003A168A" w:rsidP="004B58A8">
      <w:pPr>
        <w:pStyle w:val="EndnoteText"/>
        <w:rPr>
          <w:rFonts w:ascii="Calibri" w:hAnsi="Calibri"/>
          <w:sz w:val="16"/>
          <w:szCs w:val="16"/>
          <w:vertAlign w:val="superscript"/>
        </w:rPr>
      </w:pPr>
      <w:r w:rsidRPr="003A168A">
        <w:rPr>
          <w:rStyle w:val="EndnoteReference"/>
          <w:rFonts w:ascii="Calibri" w:hAnsi="Calibri"/>
          <w:sz w:val="16"/>
          <w:szCs w:val="16"/>
        </w:rPr>
        <w:endnoteRef/>
      </w:r>
      <w:r w:rsidRPr="003A168A">
        <w:rPr>
          <w:rFonts w:ascii="Calibri" w:hAnsi="Calibri"/>
          <w:sz w:val="16"/>
          <w:szCs w:val="16"/>
        </w:rPr>
        <w:t xml:space="preserve"> Data on </w:t>
      </w:r>
      <w:r w:rsidRPr="003A168A">
        <w:rPr>
          <w:rFonts w:ascii="Calibri" w:hAnsi="Calibri"/>
          <w:bCs/>
          <w:sz w:val="16"/>
          <w:szCs w:val="16"/>
        </w:rPr>
        <w:t>Electroconvulsive Therapy</w:t>
      </w:r>
      <w:r w:rsidRPr="003A168A">
        <w:rPr>
          <w:rFonts w:ascii="Calibri" w:hAnsi="Calibri"/>
          <w:sz w:val="16"/>
          <w:szCs w:val="16"/>
        </w:rPr>
        <w:t xml:space="preserve"> (</w:t>
      </w:r>
      <w:r w:rsidRPr="003A168A">
        <w:rPr>
          <w:rFonts w:ascii="Calibri" w:hAnsi="Calibri"/>
          <w:bCs/>
          <w:sz w:val="16"/>
          <w:szCs w:val="16"/>
        </w:rPr>
        <w:t>ECT</w:t>
      </w:r>
      <w:r w:rsidRPr="003A168A">
        <w:rPr>
          <w:rFonts w:ascii="Calibri" w:hAnsi="Calibri"/>
          <w:sz w:val="16"/>
          <w:szCs w:val="16"/>
        </w:rPr>
        <w:t xml:space="preserve">) performed on involuntary patients indicates that in Australia, women are three times more likely than men to be subject to the practice, across all age cohorts. See: Frohmader, C., &amp; Sands, T. (2015) </w:t>
      </w:r>
      <w:r w:rsidRPr="003A168A">
        <w:rPr>
          <w:rFonts w:ascii="Calibri" w:hAnsi="Calibri"/>
          <w:i/>
          <w:sz w:val="16"/>
          <w:szCs w:val="16"/>
        </w:rPr>
        <w:t>Australian Cross Disability Alliance (ACDA) Submission to the Senate Inquiry into Violence, abuse and neglect against people with disability in institutional and residential settings’</w:t>
      </w:r>
      <w:r w:rsidRPr="003A168A">
        <w:rPr>
          <w:rFonts w:ascii="Calibri" w:hAnsi="Calibri"/>
          <w:sz w:val="16"/>
          <w:szCs w:val="16"/>
        </w:rPr>
        <w:t xml:space="preserve">. Australian Cross Disability Alliance (ACDA); Sydney, Australia. Available at: </w:t>
      </w:r>
      <w:hyperlink r:id="rId1" w:history="1">
        <w:r w:rsidRPr="003A168A">
          <w:rPr>
            <w:rStyle w:val="Hyperlink"/>
            <w:rFonts w:ascii="Calibri" w:hAnsi="Calibri"/>
            <w:sz w:val="16"/>
            <w:szCs w:val="16"/>
          </w:rPr>
          <w:t>http://wwda.org.au/papers/subs/subs2011/</w:t>
        </w:r>
      </w:hyperlink>
    </w:p>
  </w:endnote>
  <w:endnote w:id="2">
    <w:p w14:paraId="4907F1E9" w14:textId="77777777" w:rsidR="003A168A" w:rsidRPr="003A168A" w:rsidRDefault="003A168A" w:rsidP="004B58A8">
      <w:pPr>
        <w:pStyle w:val="EndnoteText"/>
        <w:rPr>
          <w:rFonts w:ascii="Calibri" w:hAnsi="Calibri" w:cs="Arial"/>
          <w:sz w:val="16"/>
          <w:szCs w:val="16"/>
        </w:rPr>
      </w:pPr>
      <w:r w:rsidRPr="003A168A">
        <w:rPr>
          <w:rStyle w:val="EndnoteReference"/>
          <w:rFonts w:ascii="Calibri" w:hAnsi="Calibri" w:cs="Arial"/>
          <w:sz w:val="16"/>
          <w:szCs w:val="16"/>
        </w:rPr>
        <w:endnoteRef/>
      </w:r>
      <w:r w:rsidRPr="003A168A">
        <w:rPr>
          <w:rFonts w:ascii="Calibri" w:hAnsi="Calibri" w:cs="Arial"/>
          <w:sz w:val="16"/>
          <w:szCs w:val="16"/>
        </w:rPr>
        <w:t xml:space="preserve"> Bevan, N., and Sands, T., (2016) </w:t>
      </w:r>
      <w:r w:rsidRPr="003A168A">
        <w:rPr>
          <w:rFonts w:ascii="Calibri" w:hAnsi="Calibri" w:cs="Arial"/>
          <w:i/>
          <w:iCs/>
          <w:sz w:val="16"/>
          <w:szCs w:val="16"/>
        </w:rPr>
        <w:t xml:space="preserve">Australian Cross Disability Alliance (ACDA) Submission to the Senate Inquiry into Indefinite Detention of People with Cognitive and Psychiatric Impairment in Australia’, </w:t>
      </w:r>
      <w:r w:rsidRPr="003A168A">
        <w:rPr>
          <w:rFonts w:ascii="Calibri" w:hAnsi="Calibri" w:cs="Arial"/>
          <w:sz w:val="16"/>
          <w:szCs w:val="16"/>
        </w:rPr>
        <w:t xml:space="preserve">Australian Cross Disability Alliance (ACDA); Sydney, Australia, paras 21-26 and 37-44. </w:t>
      </w:r>
    </w:p>
  </w:endnote>
  <w:endnote w:id="3">
    <w:p w14:paraId="50D84AF7" w14:textId="77777777" w:rsidR="003A168A" w:rsidRPr="003A168A" w:rsidRDefault="003A168A" w:rsidP="004B58A8">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Juan E. Mendez, Special Rapporteur on torture and other cruel, inhuman or degrading treatment or punishment, 22</w:t>
      </w:r>
      <w:r w:rsidRPr="003A168A">
        <w:rPr>
          <w:rFonts w:ascii="Calibri" w:hAnsi="Calibri"/>
          <w:sz w:val="16"/>
          <w:szCs w:val="16"/>
          <w:vertAlign w:val="superscript"/>
        </w:rPr>
        <w:t>nd</w:t>
      </w:r>
      <w:r w:rsidRPr="003A168A">
        <w:rPr>
          <w:rFonts w:ascii="Calibri" w:hAnsi="Calibri"/>
          <w:sz w:val="16"/>
          <w:szCs w:val="16"/>
        </w:rPr>
        <w:t xml:space="preserve"> </w:t>
      </w:r>
      <w:proofErr w:type="spellStart"/>
      <w:r w:rsidRPr="003A168A">
        <w:rPr>
          <w:rFonts w:ascii="Calibri" w:hAnsi="Calibri"/>
          <w:sz w:val="16"/>
          <w:szCs w:val="16"/>
        </w:rPr>
        <w:t>sess</w:t>
      </w:r>
      <w:proofErr w:type="spellEnd"/>
      <w:r w:rsidRPr="003A168A">
        <w:rPr>
          <w:rFonts w:ascii="Calibri" w:hAnsi="Calibri"/>
          <w:sz w:val="16"/>
          <w:szCs w:val="16"/>
        </w:rPr>
        <w:t>, Agenda Item 3, UN Doc A/HRC/22/53 (1 February 2013) para 64.</w:t>
      </w:r>
    </w:p>
  </w:endnote>
  <w:endnote w:id="4">
    <w:p w14:paraId="14C0BEF9" w14:textId="77777777" w:rsidR="003A168A" w:rsidRPr="003A168A" w:rsidRDefault="003A168A" w:rsidP="004B58A8">
      <w:pPr>
        <w:pStyle w:val="EndnoteText"/>
        <w:rPr>
          <w:rFonts w:ascii="Calibri" w:hAnsi="Calibri" w:cs="Arial"/>
          <w:sz w:val="16"/>
          <w:szCs w:val="16"/>
        </w:rPr>
      </w:pPr>
      <w:r w:rsidRPr="003A168A">
        <w:rPr>
          <w:rStyle w:val="EndnoteReference"/>
          <w:rFonts w:ascii="Calibri" w:hAnsi="Calibri" w:cs="Arial"/>
          <w:sz w:val="16"/>
          <w:szCs w:val="16"/>
        </w:rPr>
        <w:endnoteRef/>
      </w:r>
      <w:r w:rsidRPr="003A168A">
        <w:rPr>
          <w:rFonts w:ascii="Calibri" w:hAnsi="Calibri" w:cs="Arial"/>
          <w:sz w:val="16"/>
          <w:szCs w:val="16"/>
        </w:rPr>
        <w:t xml:space="preserve"> United Nations Committee on the Rights of Persons with Disabilities, </w:t>
      </w:r>
      <w:r w:rsidRPr="003A168A">
        <w:rPr>
          <w:rFonts w:ascii="Calibri" w:hAnsi="Calibri" w:cs="Arial"/>
          <w:i/>
          <w:iCs/>
          <w:sz w:val="16"/>
          <w:szCs w:val="16"/>
        </w:rPr>
        <w:t>Concluding Observations on the Initial Report of Australi</w:t>
      </w:r>
      <w:r w:rsidRPr="003A168A">
        <w:rPr>
          <w:rFonts w:ascii="Calibri" w:hAnsi="Calibri" w:cs="Arial"/>
          <w:sz w:val="16"/>
          <w:szCs w:val="16"/>
        </w:rPr>
        <w:t xml:space="preserve">a, 10th Session (4 October 2013) [8]-[9] &amp; [33]–[34].  </w:t>
      </w:r>
    </w:p>
  </w:endnote>
  <w:endnote w:id="5">
    <w:p w14:paraId="416B16BF" w14:textId="77777777" w:rsidR="003A168A" w:rsidRPr="003A168A" w:rsidRDefault="003A168A" w:rsidP="00180BE6">
      <w:pPr>
        <w:pStyle w:val="NormalWeb"/>
        <w:spacing w:after="0" w:line="240" w:lineRule="auto"/>
        <w:rPr>
          <w:rFonts w:ascii="Calibri" w:eastAsia="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w:t>
      </w:r>
      <w:r w:rsidRPr="003A168A">
        <w:rPr>
          <w:rFonts w:ascii="Calibri" w:hAnsi="Calibri"/>
          <w:sz w:val="16"/>
          <w:szCs w:val="16"/>
          <w:lang w:val="en-US"/>
        </w:rPr>
        <w:t xml:space="preserve">See e.g., NSW Ombudsman, Inquiry into behavior management in schools – A Special Report to Parliament under s31 of the Ombudsman Act 1974, August 2017, </w:t>
      </w:r>
      <w:hyperlink r:id="rId2" w:history="1">
        <w:r w:rsidRPr="003A168A">
          <w:rPr>
            <w:rStyle w:val="Hyperlink"/>
            <w:rFonts w:ascii="Calibri" w:hAnsi="Calibri"/>
            <w:sz w:val="16"/>
            <w:szCs w:val="16"/>
            <w:lang w:val="en-US"/>
          </w:rPr>
          <w:t>https://www.ombo.nsw.gov.au/news-and-publications/publications/reports/community-and-disability-services/nsw-ombudsman-inquiry-into-behaviour-management-in-schools-august-2017</w:t>
        </w:r>
      </w:hyperlink>
      <w:r w:rsidRPr="003A168A">
        <w:rPr>
          <w:rFonts w:ascii="Calibri" w:hAnsi="Calibri"/>
          <w:sz w:val="16"/>
          <w:szCs w:val="16"/>
          <w:lang w:val="en-US"/>
        </w:rPr>
        <w:t xml:space="preserve">; Julia Holman, ‘Physical restraints in aged-care homes reported to have caused five deaths over 13-year period’, ABC News, 6 January 2017, </w:t>
      </w:r>
      <w:hyperlink r:id="rId3" w:history="1">
        <w:r w:rsidRPr="003A168A">
          <w:rPr>
            <w:rStyle w:val="Hyperlink"/>
            <w:rFonts w:ascii="Calibri" w:hAnsi="Calibri"/>
            <w:sz w:val="16"/>
            <w:szCs w:val="16"/>
            <w:lang w:val="en-US"/>
          </w:rPr>
          <w:t>http://www.abc.net.au/news/2017-01-06/physical-restraints-in-aged-care-homes-have-caused-deaths:-study/8165468</w:t>
        </w:r>
      </w:hyperlink>
      <w:r w:rsidRPr="003A168A">
        <w:rPr>
          <w:rFonts w:ascii="Calibri" w:hAnsi="Calibri"/>
          <w:sz w:val="16"/>
          <w:szCs w:val="16"/>
          <w:lang w:val="en-US"/>
        </w:rPr>
        <w:t xml:space="preserve">; </w:t>
      </w:r>
      <w:r w:rsidRPr="003A168A">
        <w:rPr>
          <w:rFonts w:ascii="Calibri" w:hAnsi="Calibri" w:cs="Arial"/>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linguistically diverse people with disability’ (November 2015), &lt;</w:t>
      </w:r>
      <w:hyperlink r:id="rId4" w:history="1">
        <w:r w:rsidRPr="003A168A">
          <w:rPr>
            <w:rStyle w:val="Hyperlink"/>
            <w:rFonts w:ascii="Calibri" w:hAnsi="Calibri" w:cs="Arial"/>
            <w:sz w:val="16"/>
            <w:szCs w:val="16"/>
          </w:rPr>
          <w:t>http://www.aph.gov.au/Parliamentary_Business/Committees/Senate/Community_Affairs/Violence_abuse_neglect/Report</w:t>
        </w:r>
      </w:hyperlink>
      <w:r w:rsidRPr="003A168A">
        <w:rPr>
          <w:rFonts w:ascii="Calibri" w:hAnsi="Calibri" w:cs="Arial"/>
          <w:sz w:val="16"/>
          <w:szCs w:val="16"/>
        </w:rPr>
        <w:t xml:space="preserve">&gt;;  National Mental Health Commission, ‘A Contributing Life, the 2013 National Report Card on Mental Health and Suicide Prevention’ (2013); </w:t>
      </w:r>
      <w:r w:rsidRPr="003A168A">
        <w:rPr>
          <w:rFonts w:ascii="Calibri" w:eastAsia="Calibri" w:hAnsi="Calibri"/>
          <w:sz w:val="16"/>
          <w:szCs w:val="16"/>
        </w:rPr>
        <w:t>Melbourne Social Equity Institute (2014) Seclusion and Restraint Project: Report, Melbourne: University of Melbourne page 67</w:t>
      </w:r>
    </w:p>
  </w:endnote>
  <w:endnote w:id="6">
    <w:p w14:paraId="44547162"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Particularly people with disability living and or receiving services in in institutional and other care settings, including schools.</w:t>
      </w:r>
    </w:p>
  </w:endnote>
  <w:endnote w:id="7">
    <w:p w14:paraId="768E87D4"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‘Polypharmacy’ is often defined as ‘five or more medications taken in a 24 hour period’. See: </w:t>
      </w:r>
      <w:hyperlink r:id="rId5" w:history="1">
        <w:r w:rsidRPr="003A168A">
          <w:rPr>
            <w:rStyle w:val="Hyperlink"/>
            <w:rFonts w:ascii="Calibri" w:hAnsi="Calibri"/>
            <w:sz w:val="16"/>
            <w:szCs w:val="16"/>
          </w:rPr>
          <w:t>https://www.doctorportal.com.au/mjainsight/2012/1/polypharmacy-and-its-risks-rise/</w:t>
        </w:r>
      </w:hyperlink>
      <w:r w:rsidRPr="003A168A">
        <w:rPr>
          <w:rFonts w:ascii="Calibri" w:hAnsi="Calibri"/>
          <w:sz w:val="16"/>
          <w:szCs w:val="16"/>
        </w:rPr>
        <w:t xml:space="preserve">   </w:t>
      </w:r>
      <w:proofErr w:type="gramStart"/>
      <w:r w:rsidRPr="003A168A">
        <w:rPr>
          <w:rFonts w:ascii="Calibri" w:hAnsi="Calibri"/>
          <w:sz w:val="16"/>
          <w:szCs w:val="16"/>
        </w:rPr>
        <w:t>For</w:t>
      </w:r>
      <w:proofErr w:type="gramEnd"/>
      <w:r w:rsidRPr="003A168A">
        <w:rPr>
          <w:rFonts w:ascii="Calibri" w:hAnsi="Calibri"/>
          <w:sz w:val="16"/>
          <w:szCs w:val="16"/>
        </w:rPr>
        <w:t xml:space="preserve"> a discussion on Psychotropic polypharmacy in people with disability, see: Victorian Department of Human Services (2010) </w:t>
      </w:r>
      <w:r w:rsidRPr="003A168A">
        <w:rPr>
          <w:rFonts w:ascii="Calibri" w:hAnsi="Calibri"/>
          <w:i/>
          <w:sz w:val="16"/>
          <w:szCs w:val="16"/>
        </w:rPr>
        <w:t>Disability, mental health and medication: Implications for practice and policy.</w:t>
      </w:r>
      <w:r w:rsidRPr="003A168A">
        <w:rPr>
          <w:rFonts w:ascii="Calibri" w:hAnsi="Calibri"/>
          <w:sz w:val="16"/>
          <w:szCs w:val="16"/>
        </w:rPr>
        <w:t xml:space="preserve"> A report prepared for the Office of the Senior Practitioner by: </w:t>
      </w:r>
      <w:proofErr w:type="spellStart"/>
      <w:r w:rsidRPr="003A168A">
        <w:rPr>
          <w:rFonts w:ascii="Calibri" w:hAnsi="Calibri"/>
          <w:sz w:val="16"/>
          <w:szCs w:val="16"/>
        </w:rPr>
        <w:t>Dr</w:t>
      </w:r>
      <w:proofErr w:type="spellEnd"/>
      <w:r w:rsidRPr="003A168A">
        <w:rPr>
          <w:rFonts w:ascii="Calibri" w:hAnsi="Calibri"/>
          <w:sz w:val="16"/>
          <w:szCs w:val="16"/>
        </w:rPr>
        <w:t xml:space="preserve"> Stuart Thomas, Kaisha </w:t>
      </w:r>
      <w:proofErr w:type="spellStart"/>
      <w:r w:rsidRPr="003A168A">
        <w:rPr>
          <w:rFonts w:ascii="Calibri" w:hAnsi="Calibri"/>
          <w:sz w:val="16"/>
          <w:szCs w:val="16"/>
        </w:rPr>
        <w:t>Corkery</w:t>
      </w:r>
      <w:proofErr w:type="spellEnd"/>
      <w:r w:rsidRPr="003A168A">
        <w:rPr>
          <w:rFonts w:ascii="Calibri" w:hAnsi="Calibri"/>
          <w:sz w:val="16"/>
          <w:szCs w:val="16"/>
        </w:rPr>
        <w:t xml:space="preserve">-Lavender, </w:t>
      </w:r>
      <w:proofErr w:type="spellStart"/>
      <w:r w:rsidRPr="003A168A">
        <w:rPr>
          <w:rFonts w:ascii="Calibri" w:hAnsi="Calibri"/>
          <w:sz w:val="16"/>
          <w:szCs w:val="16"/>
        </w:rPr>
        <w:t>Dr</w:t>
      </w:r>
      <w:proofErr w:type="spellEnd"/>
      <w:r w:rsidRPr="003A168A">
        <w:rPr>
          <w:rFonts w:ascii="Calibri" w:hAnsi="Calibri"/>
          <w:sz w:val="16"/>
          <w:szCs w:val="16"/>
        </w:rPr>
        <w:t xml:space="preserve"> Michael </w:t>
      </w:r>
      <w:proofErr w:type="spellStart"/>
      <w:r w:rsidRPr="003A168A">
        <w:rPr>
          <w:rFonts w:ascii="Calibri" w:hAnsi="Calibri"/>
          <w:sz w:val="16"/>
          <w:szCs w:val="16"/>
        </w:rPr>
        <w:t>Daffern</w:t>
      </w:r>
      <w:proofErr w:type="spellEnd"/>
      <w:r w:rsidRPr="003A168A">
        <w:rPr>
          <w:rFonts w:ascii="Calibri" w:hAnsi="Calibri"/>
          <w:sz w:val="16"/>
          <w:szCs w:val="16"/>
        </w:rPr>
        <w:t xml:space="preserve">, </w:t>
      </w:r>
      <w:proofErr w:type="spellStart"/>
      <w:r w:rsidRPr="003A168A">
        <w:rPr>
          <w:rFonts w:ascii="Calibri" w:hAnsi="Calibri"/>
          <w:sz w:val="16"/>
          <w:szCs w:val="16"/>
        </w:rPr>
        <w:t>Dr</w:t>
      </w:r>
      <w:proofErr w:type="spellEnd"/>
      <w:r w:rsidRPr="003A168A">
        <w:rPr>
          <w:rFonts w:ascii="Calibri" w:hAnsi="Calibri"/>
          <w:sz w:val="16"/>
          <w:szCs w:val="16"/>
        </w:rPr>
        <w:t xml:space="preserve"> Danny Sullivan; Centre for Forensic Behavioural Science, School of Psychology &amp; Psychiatry, </w:t>
      </w:r>
      <w:proofErr w:type="spellStart"/>
      <w:r w:rsidRPr="003A168A">
        <w:rPr>
          <w:rFonts w:ascii="Calibri" w:hAnsi="Calibri"/>
          <w:sz w:val="16"/>
          <w:szCs w:val="16"/>
        </w:rPr>
        <w:t>Monash</w:t>
      </w:r>
      <w:proofErr w:type="spellEnd"/>
      <w:r w:rsidRPr="003A168A">
        <w:rPr>
          <w:rFonts w:ascii="Calibri" w:hAnsi="Calibri"/>
          <w:sz w:val="16"/>
          <w:szCs w:val="16"/>
        </w:rPr>
        <w:t xml:space="preserve"> University, Australia. Accessed at: </w:t>
      </w:r>
      <w:hyperlink r:id="rId6" w:history="1">
        <w:r w:rsidRPr="003A168A">
          <w:rPr>
            <w:rStyle w:val="Hyperlink"/>
            <w:rFonts w:ascii="Calibri" w:hAnsi="Calibri"/>
            <w:sz w:val="16"/>
            <w:szCs w:val="16"/>
          </w:rPr>
          <w:t>http://www.dhs.vic.gov.au/__data/assets/pdf_file/0007/666763/osp_senior_disability_mental_health_medication_implications_for_practice_policy_1010.pdf</w:t>
        </w:r>
      </w:hyperlink>
      <w:r w:rsidRPr="003A168A">
        <w:rPr>
          <w:rFonts w:ascii="Calibri" w:hAnsi="Calibri"/>
          <w:sz w:val="16"/>
          <w:szCs w:val="16"/>
        </w:rPr>
        <w:t>.</w:t>
      </w:r>
    </w:p>
  </w:endnote>
  <w:endnote w:id="8">
    <w:p w14:paraId="54FDB7F1"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For </w:t>
      </w:r>
      <w:proofErr w:type="spellStart"/>
      <w:r w:rsidRPr="003A168A">
        <w:rPr>
          <w:rFonts w:ascii="Calibri" w:hAnsi="Calibri"/>
          <w:sz w:val="16"/>
          <w:szCs w:val="16"/>
        </w:rPr>
        <w:t>eg</w:t>
      </w:r>
      <w:proofErr w:type="spellEnd"/>
      <w:r w:rsidRPr="003A168A">
        <w:rPr>
          <w:rFonts w:ascii="Calibri" w:hAnsi="Calibri"/>
          <w:sz w:val="16"/>
          <w:szCs w:val="16"/>
        </w:rPr>
        <w:t xml:space="preserve">: In Victoria, chemical restraint is the most common form of restrictive intervention used by disability service providers, with ‘psychotropic’ pharmaceuticals being the most common chemical restraint. See: </w:t>
      </w:r>
      <w:hyperlink r:id="rId7" w:history="1">
        <w:r w:rsidRPr="003A168A">
          <w:rPr>
            <w:rStyle w:val="Hyperlink"/>
            <w:rFonts w:ascii="Calibri" w:hAnsi="Calibri"/>
            <w:sz w:val="16"/>
            <w:szCs w:val="16"/>
          </w:rPr>
          <w:t>http://www.publicadvocate.vic.gov.au/our-services/publications-forms/277-restrictive-interventions-in-victorias-disability-sector-issues-for-discussion-and-reform-1?path</w:t>
        </w:r>
      </w:hyperlink>
      <w:r w:rsidRPr="003A168A">
        <w:rPr>
          <w:rFonts w:ascii="Calibri" w:hAnsi="Calibri"/>
          <w:sz w:val="16"/>
          <w:szCs w:val="16"/>
        </w:rPr>
        <w:t xml:space="preserve">=    See also: See: </w:t>
      </w:r>
      <w:r w:rsidRPr="003A168A">
        <w:rPr>
          <w:rFonts w:ascii="Calibri" w:hAnsi="Calibri"/>
          <w:i/>
          <w:sz w:val="16"/>
          <w:szCs w:val="16"/>
        </w:rPr>
        <w:t>‘Open letter calls for royal commission into treatment of people with disabilities’</w:t>
      </w:r>
      <w:r w:rsidRPr="003A168A">
        <w:rPr>
          <w:rFonts w:ascii="Calibri" w:hAnsi="Calibri"/>
          <w:sz w:val="16"/>
          <w:szCs w:val="16"/>
        </w:rPr>
        <w:t xml:space="preserve">, [Online video] </w:t>
      </w:r>
      <w:proofErr w:type="spellStart"/>
      <w:r w:rsidRPr="003A168A">
        <w:rPr>
          <w:rFonts w:ascii="Calibri" w:hAnsi="Calibri"/>
          <w:sz w:val="16"/>
          <w:szCs w:val="16"/>
        </w:rPr>
        <w:t>Lateline</w:t>
      </w:r>
      <w:proofErr w:type="spellEnd"/>
      <w:r w:rsidRPr="003A168A">
        <w:rPr>
          <w:rFonts w:ascii="Calibri" w:hAnsi="Calibri"/>
          <w:sz w:val="16"/>
          <w:szCs w:val="16"/>
        </w:rPr>
        <w:t xml:space="preserve">, ABC TV, 17 May 2017, accessed at: </w:t>
      </w:r>
      <w:hyperlink r:id="rId8" w:history="1">
        <w:r w:rsidRPr="003A168A">
          <w:rPr>
            <w:rStyle w:val="Hyperlink"/>
            <w:rFonts w:ascii="Calibri" w:hAnsi="Calibri"/>
            <w:sz w:val="16"/>
            <w:szCs w:val="16"/>
          </w:rPr>
          <w:t>http://www.abc.net.au/lateline/content/2016/s4670932.htm</w:t>
        </w:r>
      </w:hyperlink>
      <w:r w:rsidRPr="003A168A">
        <w:rPr>
          <w:rFonts w:ascii="Calibri" w:hAnsi="Calibri"/>
          <w:sz w:val="16"/>
          <w:szCs w:val="16"/>
        </w:rPr>
        <w:t xml:space="preserve"> </w:t>
      </w:r>
    </w:p>
  </w:endnote>
  <w:endnote w:id="9">
    <w:p w14:paraId="24866FFE"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The </w:t>
      </w:r>
      <w:r w:rsidRPr="003A168A">
        <w:rPr>
          <w:rFonts w:ascii="Calibri" w:hAnsi="Calibri"/>
          <w:i/>
          <w:sz w:val="16"/>
          <w:szCs w:val="16"/>
        </w:rPr>
        <w:t>National Framework for Reducing and Eliminating the Use of Restrictive Practices in the Disability Service Sector</w:t>
      </w:r>
      <w:r w:rsidRPr="003A168A">
        <w:rPr>
          <w:rFonts w:ascii="Calibri" w:hAnsi="Calibri"/>
          <w:sz w:val="16"/>
          <w:szCs w:val="16"/>
        </w:rPr>
        <w:t xml:space="preserve"> was adopted by all governments in 2014. See:  </w:t>
      </w:r>
      <w:hyperlink r:id="rId9" w:history="1">
        <w:r w:rsidRPr="003A168A">
          <w:rPr>
            <w:rStyle w:val="Hyperlink"/>
            <w:rFonts w:ascii="Calibri" w:hAnsi="Calibri"/>
            <w:sz w:val="16"/>
            <w:szCs w:val="16"/>
          </w:rPr>
          <w:t>https://www.dss.gov.au/our-responsibilities/disability-and-carers/publications-articles/policy-research/national-framework-for-reducing-and-eliminating-the-use-of-restrictive-practices-in-the-disability-service-sector</w:t>
        </w:r>
      </w:hyperlink>
    </w:p>
  </w:endnote>
  <w:endnote w:id="10">
    <w:p w14:paraId="54833C23"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w:t>
      </w:r>
      <w:r w:rsidRPr="003A168A">
        <w:rPr>
          <w:rFonts w:ascii="Calibri" w:hAnsi="Calibri"/>
          <w:color w:val="000000" w:themeColor="text1"/>
          <w:sz w:val="16"/>
          <w:szCs w:val="16"/>
        </w:rPr>
        <w:t xml:space="preserve">Australian Cross Disability Alliance (ACDA), Australian Centre for Disability Law (ACDL) and Advocacy for Inclusion (2015) </w:t>
      </w:r>
      <w:r w:rsidRPr="003A168A">
        <w:rPr>
          <w:rFonts w:ascii="Calibri" w:hAnsi="Calibri"/>
          <w:i/>
          <w:color w:val="000000" w:themeColor="text1"/>
          <w:sz w:val="16"/>
          <w:szCs w:val="16"/>
        </w:rPr>
        <w:t>Australia’s Universal Periodic Review 2015: Fact Sheet on Restrictive Practices</w:t>
      </w:r>
      <w:r w:rsidRPr="003A168A">
        <w:rPr>
          <w:rFonts w:ascii="Calibri" w:hAnsi="Calibri"/>
          <w:color w:val="000000" w:themeColor="text1"/>
          <w:sz w:val="16"/>
          <w:szCs w:val="16"/>
        </w:rPr>
        <w:t>.</w:t>
      </w:r>
    </w:p>
  </w:endnote>
  <w:endnote w:id="11">
    <w:p w14:paraId="49A6F4E3" w14:textId="77777777" w:rsidR="003A168A" w:rsidRPr="003A168A" w:rsidRDefault="003A168A" w:rsidP="00180BE6">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Ibid.</w:t>
      </w:r>
    </w:p>
  </w:endnote>
  <w:endnote w:id="12">
    <w:p w14:paraId="250D9111" w14:textId="77777777" w:rsidR="003A168A" w:rsidRPr="003A168A" w:rsidRDefault="003A168A" w:rsidP="007124FD">
      <w:pPr>
        <w:pStyle w:val="EndnoteText"/>
        <w:rPr>
          <w:rFonts w:ascii="Calibri" w:hAnsi="Calibri"/>
          <w:sz w:val="16"/>
          <w:szCs w:val="16"/>
        </w:rPr>
      </w:pPr>
      <w:r w:rsidRPr="003A168A">
        <w:rPr>
          <w:rStyle w:val="EndnoteReference"/>
          <w:rFonts w:ascii="Calibri" w:hAnsi="Calibri"/>
          <w:sz w:val="16"/>
          <w:szCs w:val="16"/>
        </w:rPr>
        <w:endnoteRef/>
      </w:r>
      <w:r w:rsidRPr="003A168A">
        <w:rPr>
          <w:rFonts w:ascii="Calibri" w:hAnsi="Calibri"/>
          <w:sz w:val="16"/>
          <w:szCs w:val="16"/>
        </w:rPr>
        <w:t xml:space="preserve"> Committee on the Rights of Persons with Disabilities, Concluding Observations for Australia’s 1</w:t>
      </w:r>
      <w:r w:rsidRPr="003A168A">
        <w:rPr>
          <w:rFonts w:ascii="Calibri" w:hAnsi="Calibri"/>
          <w:sz w:val="16"/>
          <w:szCs w:val="16"/>
          <w:vertAlign w:val="superscript"/>
        </w:rPr>
        <w:t>st</w:t>
      </w:r>
      <w:r w:rsidRPr="003A168A">
        <w:rPr>
          <w:rFonts w:ascii="Calibri" w:hAnsi="Calibri"/>
          <w:sz w:val="16"/>
          <w:szCs w:val="16"/>
        </w:rPr>
        <w:t xml:space="preserve"> periodic review, UN Doc CRPD/C/AUS/CO/1, paras 35-36.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B8B6" w14:textId="77777777" w:rsidR="003A168A" w:rsidRDefault="003A168A" w:rsidP="00374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8163C" w14:textId="77777777" w:rsidR="003A168A" w:rsidRDefault="003A168A" w:rsidP="003A16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D183" w14:textId="77777777" w:rsidR="003A168A" w:rsidRPr="003A168A" w:rsidRDefault="003A168A" w:rsidP="003747BD">
    <w:pPr>
      <w:pStyle w:val="Footer"/>
      <w:framePr w:wrap="around" w:vAnchor="text" w:hAnchor="margin" w:xAlign="right" w:y="1"/>
      <w:rPr>
        <w:rStyle w:val="PageNumber"/>
        <w:rFonts w:ascii="Calibri" w:hAnsi="Calibri"/>
        <w:sz w:val="20"/>
        <w:szCs w:val="20"/>
      </w:rPr>
    </w:pPr>
    <w:r w:rsidRPr="003A168A">
      <w:rPr>
        <w:rStyle w:val="PageNumber"/>
        <w:rFonts w:ascii="Calibri" w:hAnsi="Calibri"/>
        <w:sz w:val="20"/>
        <w:szCs w:val="20"/>
      </w:rPr>
      <w:fldChar w:fldCharType="begin"/>
    </w:r>
    <w:r w:rsidRPr="003A168A">
      <w:rPr>
        <w:rStyle w:val="PageNumber"/>
        <w:rFonts w:ascii="Calibri" w:hAnsi="Calibri"/>
        <w:sz w:val="20"/>
        <w:szCs w:val="20"/>
      </w:rPr>
      <w:instrText xml:space="preserve">PAGE  </w:instrText>
    </w:r>
    <w:r w:rsidRPr="003A168A">
      <w:rPr>
        <w:rStyle w:val="PageNumber"/>
        <w:rFonts w:ascii="Calibri" w:hAnsi="Calibri"/>
        <w:sz w:val="20"/>
        <w:szCs w:val="20"/>
      </w:rPr>
      <w:fldChar w:fldCharType="separate"/>
    </w:r>
    <w:r w:rsidR="00612513">
      <w:rPr>
        <w:rStyle w:val="PageNumber"/>
        <w:rFonts w:ascii="Calibri" w:hAnsi="Calibri"/>
        <w:noProof/>
        <w:sz w:val="20"/>
        <w:szCs w:val="20"/>
      </w:rPr>
      <w:t>2</w:t>
    </w:r>
    <w:r w:rsidRPr="003A168A">
      <w:rPr>
        <w:rStyle w:val="PageNumber"/>
        <w:rFonts w:ascii="Calibri" w:hAnsi="Calibri"/>
        <w:sz w:val="20"/>
        <w:szCs w:val="20"/>
      </w:rPr>
      <w:fldChar w:fldCharType="end"/>
    </w:r>
  </w:p>
  <w:p w14:paraId="1EC7F710" w14:textId="77777777" w:rsidR="003A168A" w:rsidRDefault="003A168A" w:rsidP="003A1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92A5" w14:textId="77777777" w:rsidR="00037875" w:rsidRDefault="00037875" w:rsidP="000107BF">
      <w:r>
        <w:separator/>
      </w:r>
    </w:p>
  </w:footnote>
  <w:footnote w:type="continuationSeparator" w:id="0">
    <w:p w14:paraId="23A916A3" w14:textId="77777777" w:rsidR="00037875" w:rsidRDefault="00037875"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B1B7" w14:textId="77777777" w:rsidR="000107BF" w:rsidRPr="00E414A6" w:rsidRDefault="000107BF"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3156E51F" wp14:editId="6DA0AFB9">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02C2708F" w14:textId="77777777" w:rsidR="000107BF" w:rsidRPr="000107BF" w:rsidRDefault="000107BF"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37875"/>
    <w:rsid w:val="00082A34"/>
    <w:rsid w:val="00087BE6"/>
    <w:rsid w:val="000A1E1B"/>
    <w:rsid w:val="00147882"/>
    <w:rsid w:val="00165B9F"/>
    <w:rsid w:val="00170EC0"/>
    <w:rsid w:val="00180BE6"/>
    <w:rsid w:val="001E38ED"/>
    <w:rsid w:val="0029479C"/>
    <w:rsid w:val="002E74F8"/>
    <w:rsid w:val="003671A8"/>
    <w:rsid w:val="00391ADA"/>
    <w:rsid w:val="00392CD8"/>
    <w:rsid w:val="003A168A"/>
    <w:rsid w:val="003C5713"/>
    <w:rsid w:val="00427585"/>
    <w:rsid w:val="004425C2"/>
    <w:rsid w:val="00482EE4"/>
    <w:rsid w:val="004B58A8"/>
    <w:rsid w:val="00505389"/>
    <w:rsid w:val="0057709B"/>
    <w:rsid w:val="005D4ECE"/>
    <w:rsid w:val="00612513"/>
    <w:rsid w:val="006758C9"/>
    <w:rsid w:val="00701FEC"/>
    <w:rsid w:val="007124FD"/>
    <w:rsid w:val="0076598A"/>
    <w:rsid w:val="007917E7"/>
    <w:rsid w:val="007E23E9"/>
    <w:rsid w:val="00832FE0"/>
    <w:rsid w:val="00866E16"/>
    <w:rsid w:val="0089656C"/>
    <w:rsid w:val="0092275E"/>
    <w:rsid w:val="00931400"/>
    <w:rsid w:val="009B2C53"/>
    <w:rsid w:val="00B60AD6"/>
    <w:rsid w:val="00BB31C3"/>
    <w:rsid w:val="00C60D21"/>
    <w:rsid w:val="00CB09BA"/>
    <w:rsid w:val="00E40F6B"/>
    <w:rsid w:val="00ED3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416F12"/>
  <w15:docId w15:val="{B3E43C0F-6AA9-4425-B062-C3ABDD3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next w:val="Normal"/>
    <w:link w:val="Heading4Char"/>
    <w:uiPriority w:val="9"/>
    <w:semiHidden/>
    <w:unhideWhenUsed/>
    <w:qFormat/>
    <w:rsid w:val="00BB31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uiPriority w:val="99"/>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ListParagraph">
    <w:name w:val="List Paragraph"/>
    <w:basedOn w:val="Normal"/>
    <w:uiPriority w:val="34"/>
    <w:qFormat/>
    <w:rsid w:val="003C571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character" w:customStyle="1" w:styleId="s21">
    <w:name w:val="s21"/>
    <w:basedOn w:val="DefaultParagraphFont"/>
    <w:rsid w:val="003C5713"/>
  </w:style>
  <w:style w:type="paragraph" w:customStyle="1" w:styleId="SingleTxtG">
    <w:name w:val="_ Single Txt_G"/>
    <w:basedOn w:val="Normal"/>
    <w:link w:val="SingleTxtGChar"/>
    <w:rsid w:val="00BB31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SimSun"/>
      <w:sz w:val="20"/>
      <w:szCs w:val="20"/>
      <w:bdr w:val="none" w:sz="0" w:space="0" w:color="auto"/>
      <w:lang w:val="en-GB" w:eastAsia="zh-CN"/>
    </w:rPr>
  </w:style>
  <w:style w:type="character" w:customStyle="1" w:styleId="SingleTxtGChar">
    <w:name w:val="_ Single Txt_G Char"/>
    <w:basedOn w:val="DefaultParagraphFont"/>
    <w:link w:val="SingleTxtG"/>
    <w:rsid w:val="00BB31C3"/>
    <w:rPr>
      <w:rFonts w:ascii="Times New Roman" w:eastAsia="SimSun" w:hAnsi="Times New Roman" w:cs="Times New Roman"/>
      <w:sz w:val="20"/>
      <w:szCs w:val="20"/>
      <w:lang w:val="en-GB" w:eastAsia="zh-CN"/>
    </w:rPr>
  </w:style>
  <w:style w:type="character" w:styleId="FollowedHyperlink">
    <w:name w:val="FollowedHyperlink"/>
    <w:basedOn w:val="DefaultParagraphFont"/>
    <w:uiPriority w:val="99"/>
    <w:semiHidden/>
    <w:unhideWhenUsed/>
    <w:rsid w:val="00BB31C3"/>
    <w:rPr>
      <w:color w:val="954F72" w:themeColor="followedHyperlink"/>
      <w:u w:val="single"/>
    </w:rPr>
  </w:style>
  <w:style w:type="character" w:customStyle="1" w:styleId="Heading4Char">
    <w:name w:val="Heading 4 Char"/>
    <w:basedOn w:val="DefaultParagraphFont"/>
    <w:link w:val="Heading4"/>
    <w:uiPriority w:val="9"/>
    <w:semiHidden/>
    <w:rsid w:val="00BB31C3"/>
    <w:rPr>
      <w:rFonts w:asciiTheme="majorHAnsi" w:eastAsiaTheme="majorEastAsia" w:hAnsiTheme="majorHAnsi" w:cstheme="majorBidi"/>
      <w:i/>
      <w:iCs/>
      <w:color w:val="2E74B5" w:themeColor="accent1" w:themeShade="BF"/>
      <w:sz w:val="24"/>
      <w:szCs w:val="24"/>
      <w:bdr w:val="nil"/>
      <w:lang w:val="en-US"/>
    </w:rPr>
  </w:style>
  <w:style w:type="paragraph" w:styleId="EndnoteText">
    <w:name w:val="endnote text"/>
    <w:basedOn w:val="Normal"/>
    <w:link w:val="EndnoteTextChar"/>
    <w:uiPriority w:val="99"/>
    <w:unhideWhenUsed/>
    <w:rsid w:val="00BB31C3"/>
    <w:rPr>
      <w:sz w:val="20"/>
      <w:szCs w:val="20"/>
    </w:rPr>
  </w:style>
  <w:style w:type="character" w:customStyle="1" w:styleId="EndnoteTextChar">
    <w:name w:val="Endnote Text Char"/>
    <w:basedOn w:val="DefaultParagraphFont"/>
    <w:link w:val="EndnoteText"/>
    <w:uiPriority w:val="99"/>
    <w:rsid w:val="00BB31C3"/>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1C3"/>
    <w:rPr>
      <w:vertAlign w:val="superscript"/>
    </w:rPr>
  </w:style>
  <w:style w:type="paragraph" w:styleId="NormalWeb">
    <w:name w:val="Normal (Web)"/>
    <w:basedOn w:val="Normal"/>
    <w:uiPriority w:val="99"/>
    <w:semiHidden/>
    <w:unhideWhenUsed/>
    <w:rsid w:val="001478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character" w:styleId="PageNumber">
    <w:name w:val="page number"/>
    <w:basedOn w:val="DefaultParagraphFont"/>
    <w:uiPriority w:val="99"/>
    <w:semiHidden/>
    <w:unhideWhenUsed/>
    <w:rsid w:val="003A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abc.net.au/lateline/content/2016/s4670932.htm" TargetMode="External"/><Relationship Id="rId3" Type="http://schemas.openxmlformats.org/officeDocument/2006/relationships/hyperlink" Target="http://www.abc.net.au/news/2017-01-06/physical-restraints-in-aged-care-homes-have-caused-deaths:-study/8165468" TargetMode="External"/><Relationship Id="rId7" Type="http://schemas.openxmlformats.org/officeDocument/2006/relationships/hyperlink" Target="http://www.publicadvocate.vic.gov.au/our-services/publications-forms/277-restrictive-interventions-in-victorias-disability-sector-issues-for-discussion-and-reform-1?path" TargetMode="External"/><Relationship Id="rId2" Type="http://schemas.openxmlformats.org/officeDocument/2006/relationships/hyperlink" Target="https://www.ombo.nsw.gov.au/news-and-publications/publications/reports/community-and-disability-services/nsw-ombudsman-inquiry-into-behaviour-management-in-schools-august-2017" TargetMode="External"/><Relationship Id="rId1" Type="http://schemas.openxmlformats.org/officeDocument/2006/relationships/hyperlink" Target="http://wwda.org.au/papers/subs/subs2011/" TargetMode="External"/><Relationship Id="rId6" Type="http://schemas.openxmlformats.org/officeDocument/2006/relationships/hyperlink" Target="http://www.dhs.vic.gov.au/__data/assets/pdf_file/0007/666763/osp_senior_disability_mental_health_medication_implications_for_practice_policy_1010.pdf" TargetMode="External"/><Relationship Id="rId5" Type="http://schemas.openxmlformats.org/officeDocument/2006/relationships/hyperlink" Target="https://www.doctorportal.com.au/mjainsight/2012/1/polypharmacy-and-its-risks-rise/" TargetMode="External"/><Relationship Id="rId4" Type="http://schemas.openxmlformats.org/officeDocument/2006/relationships/hyperlink" Target="http://www.aph.gov.au/Parliamentary_Business/Committees/Senate/Community_Affairs/Violence_abuse_neglect/Report" TargetMode="External"/><Relationship Id="rId9"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B405-9C35-44DA-92D9-CD2A7B8E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4</cp:revision>
  <dcterms:created xsi:type="dcterms:W3CDTF">2017-08-29T12:28:00Z</dcterms:created>
  <dcterms:modified xsi:type="dcterms:W3CDTF">2017-11-22T05:35:00Z</dcterms:modified>
</cp:coreProperties>
</file>