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A026" w14:textId="77777777" w:rsidR="0029479C" w:rsidRDefault="0029479C"/>
    <w:p w14:paraId="7F66A9EB" w14:textId="77777777" w:rsidR="000107BF"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
          <w:lang w:val="en-AU"/>
        </w:rPr>
      </w:pPr>
    </w:p>
    <w:p w14:paraId="06B411B3" w14:textId="7A8F3ADD" w:rsidR="00A838B0" w:rsidRDefault="00A838B0"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1440"/>
        <w:jc w:val="both"/>
        <w:rPr>
          <w:rFonts w:ascii="Calibri" w:hAnsi="Calibri"/>
          <w:color w:val="2E74B5" w:themeColor="accent1" w:themeShade="BF"/>
          <w:sz w:val="28"/>
          <w:szCs w:val="28"/>
          <w:lang w:val="en-AU"/>
        </w:rPr>
      </w:pPr>
      <w:r>
        <w:rPr>
          <w:rFonts w:ascii="Calibri" w:hAnsi="Calibri"/>
          <w:b/>
          <w:color w:val="2E74B5" w:themeColor="accent1" w:themeShade="BF"/>
          <w:sz w:val="28"/>
          <w:szCs w:val="28"/>
          <w:lang w:val="en-AU"/>
        </w:rPr>
        <w:t>ISSUE:</w:t>
      </w:r>
      <w:r>
        <w:rPr>
          <w:rFonts w:ascii="Calibri" w:hAnsi="Calibri"/>
          <w:b/>
          <w:color w:val="2E74B5" w:themeColor="accent1" w:themeShade="BF"/>
          <w:sz w:val="28"/>
          <w:szCs w:val="28"/>
          <w:lang w:val="en-AU"/>
        </w:rPr>
        <w:tab/>
      </w:r>
      <w:r w:rsidR="00E54A24">
        <w:rPr>
          <w:rFonts w:ascii="Calibri" w:hAnsi="Calibri"/>
          <w:b/>
          <w:color w:val="2E74B5" w:themeColor="accent1" w:themeShade="BF"/>
          <w:sz w:val="28"/>
          <w:szCs w:val="28"/>
          <w:lang w:val="en-AU"/>
        </w:rPr>
        <w:t>Employment</w:t>
      </w:r>
      <w:r w:rsidR="000107BF" w:rsidRPr="00A838B0">
        <w:rPr>
          <w:rFonts w:ascii="Calibri" w:hAnsi="Calibri"/>
          <w:b/>
          <w:color w:val="2E74B5" w:themeColor="accent1" w:themeShade="BF"/>
          <w:sz w:val="28"/>
          <w:szCs w:val="28"/>
          <w:lang w:val="en-AU"/>
        </w:rPr>
        <w:t xml:space="preserve"> of persons with disability </w:t>
      </w:r>
    </w:p>
    <w:p w14:paraId="36FE082D" w14:textId="77777777" w:rsidR="00A838B0" w:rsidRDefault="00A838B0"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olor w:val="2E74B5" w:themeColor="accent1" w:themeShade="BF"/>
          <w:sz w:val="28"/>
          <w:szCs w:val="28"/>
          <w:lang w:val="en-AU"/>
        </w:rPr>
      </w:pPr>
    </w:p>
    <w:p w14:paraId="20918D97" w14:textId="0CBB1F8D" w:rsidR="000107BF" w:rsidRPr="00A838B0"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olor w:val="2E74B5" w:themeColor="accent1" w:themeShade="BF"/>
          <w:sz w:val="20"/>
          <w:szCs w:val="20"/>
          <w:lang w:val="en-AU"/>
        </w:rPr>
      </w:pPr>
      <w:r w:rsidRPr="00A838B0">
        <w:rPr>
          <w:rFonts w:ascii="Calibri" w:hAnsi="Calibri"/>
          <w:color w:val="2E74B5" w:themeColor="accent1" w:themeShade="BF"/>
          <w:sz w:val="20"/>
          <w:szCs w:val="20"/>
          <w:lang w:val="en-AU"/>
        </w:rPr>
        <w:t xml:space="preserve">(See Article </w:t>
      </w:r>
      <w:r w:rsidR="00E54A24">
        <w:rPr>
          <w:rFonts w:ascii="Calibri" w:hAnsi="Calibri"/>
          <w:color w:val="2E74B5" w:themeColor="accent1" w:themeShade="BF"/>
          <w:sz w:val="20"/>
          <w:szCs w:val="20"/>
          <w:lang w:val="en-AU"/>
        </w:rPr>
        <w:t>27</w:t>
      </w:r>
      <w:r w:rsidRPr="00A838B0">
        <w:rPr>
          <w:rFonts w:ascii="Calibri" w:hAnsi="Calibri"/>
          <w:color w:val="2E74B5" w:themeColor="accent1" w:themeShade="BF"/>
          <w:sz w:val="20"/>
          <w:szCs w:val="20"/>
          <w:lang w:val="en-AU"/>
        </w:rPr>
        <w:t xml:space="preserve"> </w:t>
      </w:r>
      <w:r w:rsidR="00E54A24">
        <w:rPr>
          <w:rFonts w:ascii="Calibri" w:hAnsi="Calibri"/>
          <w:color w:val="2E74B5" w:themeColor="accent1" w:themeShade="BF"/>
          <w:sz w:val="20"/>
          <w:szCs w:val="20"/>
          <w:lang w:val="en-AU"/>
        </w:rPr>
        <w:t xml:space="preserve">and Article 28 </w:t>
      </w:r>
      <w:r w:rsidRPr="00A838B0">
        <w:rPr>
          <w:rFonts w:ascii="Calibri" w:hAnsi="Calibri"/>
          <w:color w:val="2E74B5" w:themeColor="accent1" w:themeShade="BF"/>
          <w:sz w:val="20"/>
          <w:szCs w:val="20"/>
          <w:lang w:val="en-AU"/>
        </w:rPr>
        <w:t>on page 1</w:t>
      </w:r>
      <w:r w:rsidR="00E54A24">
        <w:rPr>
          <w:rFonts w:ascii="Calibri" w:hAnsi="Calibri"/>
          <w:color w:val="2E74B5" w:themeColor="accent1" w:themeShade="BF"/>
          <w:sz w:val="20"/>
          <w:szCs w:val="20"/>
          <w:lang w:val="en-AU"/>
        </w:rPr>
        <w:t>8</w:t>
      </w:r>
      <w:r w:rsidRPr="00A838B0">
        <w:rPr>
          <w:rFonts w:ascii="Calibri" w:hAnsi="Calibri"/>
          <w:color w:val="2E74B5" w:themeColor="accent1" w:themeShade="BF"/>
          <w:sz w:val="20"/>
          <w:szCs w:val="20"/>
          <w:lang w:val="en-AU"/>
        </w:rPr>
        <w:t xml:space="preserve"> of DPO Australia Submission to the CRPD) </w:t>
      </w:r>
    </w:p>
    <w:p w14:paraId="0AF19F05" w14:textId="77777777" w:rsidR="000107BF"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
          <w:lang w:val="en-AU"/>
        </w:rPr>
      </w:pPr>
    </w:p>
    <w:p w14:paraId="4A6D8584" w14:textId="77777777" w:rsidR="002B1892" w:rsidRPr="00E414A6" w:rsidRDefault="002B1892"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
          <w:lang w:val="en-AU"/>
        </w:rPr>
      </w:pPr>
    </w:p>
    <w:p w14:paraId="726E2907" w14:textId="77777777" w:rsidR="000107BF" w:rsidRPr="00A838B0"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b/>
          <w:color w:val="2E74B5" w:themeColor="accent1" w:themeShade="BF"/>
          <w:sz w:val="28"/>
          <w:szCs w:val="28"/>
          <w:lang w:val="en-AU"/>
        </w:rPr>
      </w:pPr>
      <w:r w:rsidRPr="00A838B0">
        <w:rPr>
          <w:rFonts w:ascii="Calibri" w:hAnsi="Calibri"/>
          <w:b/>
          <w:color w:val="2E74B5" w:themeColor="accent1" w:themeShade="BF"/>
          <w:sz w:val="28"/>
          <w:szCs w:val="28"/>
          <w:lang w:val="en-AU"/>
        </w:rPr>
        <w:t>Background</w:t>
      </w:r>
    </w:p>
    <w:p w14:paraId="164CC374" w14:textId="2446C694" w:rsidR="000107BF" w:rsidRPr="00DD3FA9" w:rsidRDefault="00E54A24" w:rsidP="00EA23D0">
      <w:pPr>
        <w:spacing w:line="276" w:lineRule="auto"/>
        <w:jc w:val="both"/>
        <w:rPr>
          <w:rFonts w:ascii="Calibri" w:eastAsia="Times New Roman" w:hAnsi="Calibri"/>
          <w:sz w:val="22"/>
          <w:szCs w:val="22"/>
          <w:lang w:eastAsia="en-AU"/>
        </w:rPr>
      </w:pPr>
      <w:r w:rsidRPr="00DD3FA9">
        <w:rPr>
          <w:rFonts w:ascii="Calibri" w:hAnsi="Calibri"/>
          <w:sz w:val="22"/>
          <w:szCs w:val="22"/>
        </w:rPr>
        <w:t>In Australia, people with disability are nearly twice as likely to be unemployed as people without disability.</w:t>
      </w:r>
      <w:r w:rsidRPr="00DD3FA9">
        <w:rPr>
          <w:rStyle w:val="EndnoteReference"/>
          <w:rFonts w:ascii="Calibri" w:hAnsi="Calibri"/>
          <w:sz w:val="22"/>
          <w:szCs w:val="22"/>
        </w:rPr>
        <w:endnoteReference w:id="1"/>
      </w:r>
    </w:p>
    <w:p w14:paraId="3FBE1676" w14:textId="77777777" w:rsidR="00E54A24" w:rsidRPr="00DD3FA9" w:rsidRDefault="00E54A24" w:rsidP="00EA23D0">
      <w:pPr>
        <w:spacing w:line="276" w:lineRule="auto"/>
        <w:jc w:val="both"/>
        <w:rPr>
          <w:rFonts w:ascii="Calibri" w:eastAsia="Times New Roman" w:hAnsi="Calibri"/>
          <w:sz w:val="22"/>
          <w:szCs w:val="22"/>
          <w:lang w:eastAsia="en-AU"/>
        </w:rPr>
      </w:pPr>
    </w:p>
    <w:p w14:paraId="075029E5" w14:textId="0A87520D" w:rsidR="005A7C87" w:rsidRPr="00DD3FA9" w:rsidRDefault="00E54A24" w:rsidP="00EA23D0">
      <w:pPr>
        <w:spacing w:line="276" w:lineRule="auto"/>
        <w:jc w:val="both"/>
        <w:rPr>
          <w:rFonts w:ascii="Calibri" w:hAnsi="Calibri"/>
          <w:color w:val="000000" w:themeColor="text1"/>
          <w:sz w:val="22"/>
          <w:szCs w:val="22"/>
        </w:rPr>
      </w:pPr>
      <w:r w:rsidRPr="00DD3FA9">
        <w:rPr>
          <w:rFonts w:ascii="Calibri" w:hAnsi="Calibri"/>
          <w:sz w:val="22"/>
          <w:szCs w:val="22"/>
        </w:rPr>
        <w:t>Compared with other OECD</w:t>
      </w:r>
      <w:r w:rsidRPr="00DD3FA9">
        <w:rPr>
          <w:rStyle w:val="EndnoteReference"/>
          <w:rFonts w:ascii="Calibri" w:hAnsi="Calibri"/>
          <w:sz w:val="22"/>
          <w:szCs w:val="22"/>
        </w:rPr>
        <w:endnoteReference w:id="2"/>
      </w:r>
      <w:r w:rsidRPr="00DD3FA9">
        <w:rPr>
          <w:rFonts w:ascii="Calibri" w:hAnsi="Calibri"/>
          <w:sz w:val="22"/>
          <w:szCs w:val="22"/>
        </w:rPr>
        <w:t xml:space="preserve"> countries, </w:t>
      </w:r>
      <w:r w:rsidR="00077CB3" w:rsidRPr="00DD3FA9">
        <w:rPr>
          <w:rFonts w:ascii="Calibri" w:hAnsi="Calibri"/>
          <w:color w:val="000000" w:themeColor="text1"/>
          <w:sz w:val="22"/>
          <w:szCs w:val="22"/>
        </w:rPr>
        <w:t>Australia has one of the lowest employment partic</w:t>
      </w:r>
      <w:r w:rsidR="00D216CB">
        <w:rPr>
          <w:rFonts w:ascii="Calibri" w:hAnsi="Calibri"/>
          <w:color w:val="000000" w:themeColor="text1"/>
          <w:sz w:val="22"/>
          <w:szCs w:val="22"/>
        </w:rPr>
        <w:t xml:space="preserve">ipation rates for people with </w:t>
      </w:r>
      <w:r w:rsidR="00077CB3" w:rsidRPr="00DD3FA9">
        <w:rPr>
          <w:rFonts w:ascii="Calibri" w:hAnsi="Calibri"/>
          <w:color w:val="000000" w:themeColor="text1"/>
          <w:sz w:val="22"/>
          <w:szCs w:val="22"/>
        </w:rPr>
        <w:t>disa</w:t>
      </w:r>
      <w:r w:rsidR="00D216CB">
        <w:rPr>
          <w:rFonts w:ascii="Calibri" w:hAnsi="Calibri"/>
          <w:color w:val="000000" w:themeColor="text1"/>
          <w:sz w:val="22"/>
          <w:szCs w:val="22"/>
        </w:rPr>
        <w:t xml:space="preserve">bility (39.8% for people with </w:t>
      </w:r>
      <w:r w:rsidR="00077CB3" w:rsidRPr="00DD3FA9">
        <w:rPr>
          <w:rFonts w:ascii="Calibri" w:hAnsi="Calibri"/>
          <w:color w:val="000000" w:themeColor="text1"/>
          <w:sz w:val="22"/>
          <w:szCs w:val="22"/>
        </w:rPr>
        <w:t>disability compared to 79.4% for people without a</w:t>
      </w:r>
      <w:r w:rsidR="0075001B" w:rsidRPr="00DD3FA9">
        <w:rPr>
          <w:rFonts w:ascii="Calibri" w:hAnsi="Calibri"/>
          <w:color w:val="000000" w:themeColor="text1"/>
          <w:sz w:val="22"/>
          <w:szCs w:val="22"/>
        </w:rPr>
        <w:t xml:space="preserve"> disability).</w:t>
      </w:r>
      <w:r w:rsidR="005A7C87" w:rsidRPr="00DD3FA9">
        <w:rPr>
          <w:rStyle w:val="EndnoteReference"/>
          <w:rFonts w:ascii="Calibri" w:hAnsi="Calibri"/>
          <w:color w:val="000000" w:themeColor="text1"/>
          <w:sz w:val="22"/>
          <w:szCs w:val="22"/>
        </w:rPr>
        <w:endnoteReference w:id="3"/>
      </w:r>
      <w:r w:rsidR="0075001B" w:rsidRPr="00DD3FA9">
        <w:rPr>
          <w:rFonts w:ascii="Calibri" w:hAnsi="Calibri"/>
          <w:color w:val="000000" w:themeColor="text1"/>
          <w:sz w:val="22"/>
          <w:szCs w:val="22"/>
        </w:rPr>
        <w:t xml:space="preserve"> </w:t>
      </w:r>
    </w:p>
    <w:p w14:paraId="799AB032" w14:textId="77777777" w:rsidR="005A7C87" w:rsidRPr="00DD3FA9" w:rsidRDefault="005A7C87" w:rsidP="00EA23D0">
      <w:pPr>
        <w:spacing w:line="276" w:lineRule="auto"/>
        <w:jc w:val="both"/>
        <w:rPr>
          <w:rFonts w:ascii="Calibri" w:hAnsi="Calibri"/>
          <w:color w:val="000000" w:themeColor="text1"/>
          <w:sz w:val="22"/>
          <w:szCs w:val="22"/>
        </w:rPr>
      </w:pPr>
    </w:p>
    <w:p w14:paraId="4DFDD931" w14:textId="26CFF2A2" w:rsidR="00E54A24" w:rsidRPr="00DD3FA9" w:rsidRDefault="00077CB3" w:rsidP="00EA23D0">
      <w:pPr>
        <w:spacing w:line="276" w:lineRule="auto"/>
        <w:jc w:val="both"/>
        <w:rPr>
          <w:rFonts w:ascii="Calibri" w:hAnsi="Calibri"/>
          <w:color w:val="000000" w:themeColor="text1"/>
          <w:sz w:val="22"/>
          <w:szCs w:val="22"/>
        </w:rPr>
      </w:pPr>
      <w:r w:rsidRPr="00DD3FA9">
        <w:rPr>
          <w:rFonts w:ascii="Calibri" w:hAnsi="Calibri"/>
          <w:color w:val="000000" w:themeColor="text1"/>
          <w:sz w:val="22"/>
          <w:szCs w:val="22"/>
        </w:rPr>
        <w:t>Men with disability (51.3%) are much more likely to be employed than women with disability (44.4%). Women with disability have lower incomes from employment; are more likely to experience gender and disability biases in labour markets; and are more concentrated than other women and men in precarious, informal, subsistence and vulnerable employment. Working-age women with disability who are in the labour force, regardless of full-time or part-time status, are much more likely to be in lower paid jobs than men with disability. Women with disability have a much higher rate of part-time employment (56% of women with disability who are employed) than men with disability (22% of men with disabilit</w:t>
      </w:r>
      <w:r w:rsidR="00A3509B">
        <w:rPr>
          <w:rFonts w:ascii="Calibri" w:hAnsi="Calibri"/>
          <w:color w:val="000000" w:themeColor="text1"/>
          <w:sz w:val="22"/>
          <w:szCs w:val="22"/>
        </w:rPr>
        <w:t>y</w:t>
      </w:r>
      <w:r w:rsidRPr="00DD3FA9">
        <w:rPr>
          <w:rFonts w:ascii="Calibri" w:hAnsi="Calibri"/>
          <w:color w:val="000000" w:themeColor="text1"/>
          <w:sz w:val="22"/>
          <w:szCs w:val="22"/>
        </w:rPr>
        <w:t xml:space="preserve"> who are employed). Many young people with disability do not enter the labour force at all over the first seven post-school years (18% compared to 5% of those without a disability) and are </w:t>
      </w:r>
      <w:r w:rsidR="00680F01">
        <w:rPr>
          <w:rFonts w:ascii="Calibri" w:hAnsi="Calibri"/>
          <w:color w:val="000000" w:themeColor="text1"/>
          <w:sz w:val="22"/>
          <w:szCs w:val="22"/>
        </w:rPr>
        <w:t xml:space="preserve">much </w:t>
      </w:r>
      <w:r w:rsidRPr="00DD3FA9">
        <w:rPr>
          <w:rFonts w:ascii="Calibri" w:hAnsi="Calibri"/>
          <w:color w:val="000000" w:themeColor="text1"/>
          <w:sz w:val="22"/>
          <w:szCs w:val="22"/>
        </w:rPr>
        <w:t>more likely to experience long-term unemployment (13%) than those without a disability (7%)</w:t>
      </w:r>
      <w:r w:rsidR="00F8647D">
        <w:rPr>
          <w:rFonts w:ascii="Calibri" w:hAnsi="Calibri"/>
          <w:color w:val="000000" w:themeColor="text1"/>
          <w:sz w:val="22"/>
          <w:szCs w:val="22"/>
        </w:rPr>
        <w:t>.</w:t>
      </w:r>
      <w:r w:rsidR="00E54A24" w:rsidRPr="00DD3FA9">
        <w:rPr>
          <w:rStyle w:val="EndnoteReference"/>
          <w:rFonts w:ascii="Calibri" w:hAnsi="Calibri"/>
          <w:sz w:val="22"/>
          <w:szCs w:val="22"/>
        </w:rPr>
        <w:endnoteReference w:id="4"/>
      </w:r>
      <w:r w:rsidR="00BB1D0B" w:rsidRPr="00DD3FA9">
        <w:rPr>
          <w:rFonts w:ascii="Calibri" w:hAnsi="Calibri"/>
          <w:sz w:val="22"/>
          <w:szCs w:val="22"/>
        </w:rPr>
        <w:t xml:space="preserve"> </w:t>
      </w:r>
    </w:p>
    <w:p w14:paraId="7A7082A9" w14:textId="77777777" w:rsidR="00E54A24" w:rsidRPr="00DD3FA9" w:rsidRDefault="00E54A24" w:rsidP="00EA23D0">
      <w:pPr>
        <w:spacing w:line="276" w:lineRule="auto"/>
        <w:jc w:val="both"/>
        <w:rPr>
          <w:rFonts w:ascii="Calibri" w:eastAsia="Times New Roman" w:hAnsi="Calibri"/>
          <w:sz w:val="22"/>
          <w:szCs w:val="22"/>
          <w:lang w:eastAsia="en-AU"/>
        </w:rPr>
      </w:pPr>
    </w:p>
    <w:p w14:paraId="382143A2" w14:textId="1A1D18B2" w:rsidR="00BB1D0B" w:rsidRPr="00DD3FA9" w:rsidRDefault="00BB1D0B" w:rsidP="00EA23D0">
      <w:pPr>
        <w:spacing w:line="276" w:lineRule="auto"/>
        <w:jc w:val="both"/>
        <w:rPr>
          <w:rFonts w:ascii="Calibri" w:hAnsi="Calibri" w:cs="Arial"/>
          <w:sz w:val="22"/>
          <w:szCs w:val="22"/>
        </w:rPr>
      </w:pPr>
      <w:r w:rsidRPr="00DD3FA9">
        <w:rPr>
          <w:rFonts w:ascii="Calibri" w:hAnsi="Calibri" w:cs="Arial"/>
          <w:sz w:val="22"/>
          <w:szCs w:val="22"/>
        </w:rPr>
        <w:t>Almost one-third of people with disability (32.4%) who work part-time want to work more hours, compared with just over one-quarter of people without disability (27.1%).</w:t>
      </w:r>
      <w:r w:rsidRPr="00DD3FA9">
        <w:rPr>
          <w:rStyle w:val="EndnoteReference"/>
          <w:rFonts w:ascii="Calibri" w:hAnsi="Calibri" w:cs="Arial"/>
          <w:sz w:val="22"/>
          <w:szCs w:val="22"/>
        </w:rPr>
        <w:endnoteReference w:id="5"/>
      </w:r>
      <w:r w:rsidRPr="00DD3FA9">
        <w:rPr>
          <w:rFonts w:ascii="Calibri" w:hAnsi="Calibri" w:cs="Arial"/>
          <w:sz w:val="22"/>
          <w:szCs w:val="22"/>
        </w:rPr>
        <w:t xml:space="preserve"> The amount of time unemployed people with disability look for work is substantially longer than for people without disability. </w:t>
      </w:r>
      <w:r w:rsidRPr="00DD3FA9">
        <w:rPr>
          <w:rFonts w:ascii="Calibri" w:eastAsia="Times New Roman" w:hAnsi="Calibri" w:cs="Arial"/>
          <w:color w:val="000000"/>
          <w:sz w:val="22"/>
          <w:szCs w:val="22"/>
        </w:rPr>
        <w:t>People with disability are significantly more likely to still be looking for a job 13 weeks or longer after they first started (65.5%) compared with those without disability (56.1%).</w:t>
      </w:r>
      <w:r w:rsidRPr="00DD3FA9">
        <w:rPr>
          <w:rStyle w:val="EndnoteReference"/>
          <w:rFonts w:ascii="Calibri" w:eastAsia="Times New Roman" w:hAnsi="Calibri" w:cs="Arial"/>
          <w:color w:val="000000"/>
          <w:sz w:val="22"/>
          <w:szCs w:val="22"/>
        </w:rPr>
        <w:endnoteReference w:id="6"/>
      </w:r>
      <w:r w:rsidRPr="00DD3FA9">
        <w:rPr>
          <w:rFonts w:ascii="Calibri" w:eastAsia="Times New Roman" w:hAnsi="Calibri" w:cs="Arial"/>
          <w:color w:val="000000"/>
          <w:sz w:val="22"/>
          <w:szCs w:val="22"/>
        </w:rPr>
        <w:t xml:space="preserve"> </w:t>
      </w:r>
    </w:p>
    <w:p w14:paraId="39589E35" w14:textId="77777777" w:rsidR="00BB1D0B" w:rsidRPr="00DD3FA9" w:rsidRDefault="00BB1D0B" w:rsidP="00EA23D0">
      <w:pPr>
        <w:spacing w:line="276" w:lineRule="auto"/>
        <w:jc w:val="both"/>
        <w:rPr>
          <w:rFonts w:ascii="Calibri" w:eastAsia="Times New Roman" w:hAnsi="Calibri"/>
          <w:sz w:val="22"/>
          <w:szCs w:val="22"/>
          <w:lang w:eastAsia="en-AU"/>
        </w:rPr>
      </w:pPr>
    </w:p>
    <w:p w14:paraId="34247886" w14:textId="5564C3F0" w:rsidR="00E5784F" w:rsidRPr="00DD3FA9" w:rsidRDefault="00E5784F" w:rsidP="00EA23D0">
      <w:pPr>
        <w:spacing w:line="276" w:lineRule="auto"/>
        <w:jc w:val="both"/>
        <w:rPr>
          <w:rFonts w:ascii="Calibri" w:hAnsi="Calibri" w:cs="Arial"/>
          <w:sz w:val="22"/>
          <w:szCs w:val="22"/>
        </w:rPr>
      </w:pPr>
      <w:r w:rsidRPr="00DD3FA9">
        <w:rPr>
          <w:rFonts w:ascii="Calibri" w:hAnsi="Calibri" w:cs="Arial"/>
          <w:sz w:val="22"/>
          <w:szCs w:val="22"/>
        </w:rPr>
        <w:t>Public services at Commonwealth, state and local levels are major employers across Australia, but the employment rates of people with disability in the public service are low</w:t>
      </w:r>
      <w:r w:rsidR="003B0A82">
        <w:rPr>
          <w:rFonts w:ascii="Calibri" w:hAnsi="Calibri" w:cs="Arial"/>
          <w:sz w:val="22"/>
          <w:szCs w:val="22"/>
        </w:rPr>
        <w:t xml:space="preserve">, and continue to decline. </w:t>
      </w:r>
      <w:r w:rsidRPr="00DD3FA9">
        <w:rPr>
          <w:rFonts w:ascii="Calibri" w:hAnsi="Calibri" w:cs="Arial"/>
          <w:sz w:val="22"/>
          <w:szCs w:val="22"/>
        </w:rPr>
        <w:t>While people with disability comprise 8.8% of the broader Australian workforce, employment rates for people with disability are lower in the Australian Public Service (APS), with 3.1% of APS employees reporting disability. Official figures for the number of employees with disability across the Australian and state and territory public services in</w:t>
      </w:r>
      <w:r w:rsidR="00F8647D">
        <w:rPr>
          <w:rFonts w:ascii="Calibri" w:hAnsi="Calibri" w:cs="Arial"/>
          <w:sz w:val="22"/>
          <w:szCs w:val="22"/>
        </w:rPr>
        <w:t xml:space="preserve"> 2015 ranged from 1.3% to 3.3%.</w:t>
      </w:r>
      <w:r w:rsidRPr="00DD3FA9">
        <w:rPr>
          <w:rStyle w:val="EndnoteReference"/>
          <w:rFonts w:ascii="Calibri" w:hAnsi="Calibri" w:cs="Arial"/>
          <w:sz w:val="22"/>
          <w:szCs w:val="22"/>
        </w:rPr>
        <w:endnoteReference w:id="7"/>
      </w:r>
    </w:p>
    <w:p w14:paraId="17BA269B" w14:textId="77777777" w:rsidR="00BB1D0B" w:rsidRPr="00DD3FA9" w:rsidRDefault="00BB1D0B" w:rsidP="00EA23D0">
      <w:pPr>
        <w:spacing w:line="276" w:lineRule="auto"/>
        <w:jc w:val="both"/>
        <w:rPr>
          <w:rFonts w:ascii="Calibri" w:eastAsia="Times New Roman" w:hAnsi="Calibri"/>
          <w:sz w:val="22"/>
          <w:szCs w:val="22"/>
          <w:lang w:eastAsia="en-AU"/>
        </w:rPr>
      </w:pPr>
    </w:p>
    <w:p w14:paraId="4750884D" w14:textId="0F48DA73" w:rsidR="00E5784F" w:rsidRPr="00DD3FA9" w:rsidRDefault="00BB1D0B" w:rsidP="00EA23D0">
      <w:pPr>
        <w:spacing w:line="276" w:lineRule="auto"/>
        <w:jc w:val="both"/>
        <w:rPr>
          <w:rFonts w:ascii="Calibri" w:eastAsia="Times New Roman" w:hAnsi="Calibri"/>
          <w:sz w:val="22"/>
          <w:szCs w:val="22"/>
          <w:lang w:eastAsia="en-AU"/>
        </w:rPr>
      </w:pPr>
      <w:r w:rsidRPr="00DD3FA9">
        <w:rPr>
          <w:rFonts w:ascii="Calibri" w:eastAsia="Times New Roman" w:hAnsi="Calibri"/>
          <w:sz w:val="22"/>
          <w:szCs w:val="22"/>
          <w:lang w:eastAsia="en-AU"/>
        </w:rPr>
        <w:t xml:space="preserve">In 2015, </w:t>
      </w:r>
      <w:r w:rsidR="00E5784F" w:rsidRPr="00DD3FA9">
        <w:rPr>
          <w:rFonts w:ascii="Calibri" w:eastAsia="Times New Roman" w:hAnsi="Calibri"/>
          <w:sz w:val="22"/>
          <w:szCs w:val="22"/>
          <w:lang w:eastAsia="en-AU"/>
        </w:rPr>
        <w:t>Australia’s</w:t>
      </w:r>
      <w:r w:rsidRPr="00DD3FA9">
        <w:rPr>
          <w:rFonts w:ascii="Calibri" w:eastAsia="Times New Roman" w:hAnsi="Calibri"/>
          <w:sz w:val="22"/>
          <w:szCs w:val="22"/>
          <w:lang w:eastAsia="en-AU"/>
        </w:rPr>
        <w:t xml:space="preserve"> Attorney-General commissioned the Australian Human Rights Commission to undertake a </w:t>
      </w:r>
      <w:r w:rsidRPr="00DD3FA9">
        <w:rPr>
          <w:rFonts w:ascii="Calibri" w:eastAsia="Times New Roman" w:hAnsi="Calibri"/>
          <w:i/>
          <w:sz w:val="22"/>
          <w:szCs w:val="22"/>
          <w:lang w:eastAsia="en-AU"/>
        </w:rPr>
        <w:t>National Inquiry into Employment Discrimination Against Older Australians and Australians with Disability</w:t>
      </w:r>
      <w:r w:rsidRPr="00DD3FA9">
        <w:rPr>
          <w:rFonts w:ascii="Calibri" w:eastAsia="Times New Roman" w:hAnsi="Calibri"/>
          <w:sz w:val="22"/>
          <w:szCs w:val="22"/>
          <w:lang w:eastAsia="en-AU"/>
        </w:rPr>
        <w:t>.</w:t>
      </w:r>
      <w:r w:rsidR="00E5784F" w:rsidRPr="00DD3FA9">
        <w:rPr>
          <w:rStyle w:val="EndnoteReference"/>
          <w:rFonts w:ascii="Calibri" w:eastAsia="Times New Roman" w:hAnsi="Calibri"/>
          <w:sz w:val="22"/>
          <w:szCs w:val="22"/>
          <w:lang w:eastAsia="en-AU"/>
        </w:rPr>
        <w:endnoteReference w:id="8"/>
      </w:r>
      <w:r w:rsidR="00E5784F" w:rsidRPr="00DD3FA9">
        <w:rPr>
          <w:rFonts w:ascii="Calibri" w:hAnsi="Calibri" w:cs="Cambria"/>
          <w:sz w:val="22"/>
          <w:szCs w:val="22"/>
        </w:rPr>
        <w:t xml:space="preserve"> The Inquiry Report </w:t>
      </w:r>
      <w:r w:rsidR="00E5784F" w:rsidRPr="00DD3FA9">
        <w:rPr>
          <w:rFonts w:ascii="Calibri" w:hAnsi="Calibri" w:cs="Cambria"/>
          <w:i/>
          <w:sz w:val="22"/>
          <w:szCs w:val="22"/>
        </w:rPr>
        <w:t>‘Willing to Work’</w:t>
      </w:r>
      <w:r w:rsidR="00E5784F" w:rsidRPr="00DD3FA9">
        <w:rPr>
          <w:rFonts w:ascii="Calibri" w:hAnsi="Calibri" w:cs="Cambria"/>
          <w:sz w:val="22"/>
          <w:szCs w:val="22"/>
        </w:rPr>
        <w:t>,</w:t>
      </w:r>
      <w:r w:rsidR="00E5784F" w:rsidRPr="00DD3FA9">
        <w:rPr>
          <w:rStyle w:val="EndnoteReference"/>
          <w:rFonts w:ascii="Calibri" w:hAnsi="Calibri" w:cs="Cambria"/>
          <w:sz w:val="22"/>
          <w:szCs w:val="22"/>
        </w:rPr>
        <w:endnoteReference w:id="9"/>
      </w:r>
      <w:r w:rsidR="00E5784F" w:rsidRPr="00DD3FA9">
        <w:rPr>
          <w:rFonts w:ascii="Calibri" w:hAnsi="Calibri" w:cs="Cambria"/>
          <w:sz w:val="22"/>
          <w:szCs w:val="22"/>
        </w:rPr>
        <w:t xml:space="preserve"> released in 2016, recognises numerous systemic barriers to employment for people with disability including lack of practical assistance for employers to support employment of people with disability; negative employer and community attitudes; poor transition to work initiatives for school leavers; negative outcomes from disability employment services which fail to respond to individual needs or deliver long term job retention; segregation of people with disability in ‘sheltered workshops’ (Australian Disability Enterprises), and financial disincentives of entering the workforce such as increased accessible transport costs.</w:t>
      </w:r>
      <w:r w:rsidR="002E01D4">
        <w:rPr>
          <w:rStyle w:val="EndnoteReference"/>
          <w:rFonts w:ascii="Calibri" w:hAnsi="Calibri" w:cs="Cambria"/>
          <w:sz w:val="22"/>
          <w:szCs w:val="22"/>
        </w:rPr>
        <w:endnoteReference w:id="10"/>
      </w:r>
    </w:p>
    <w:p w14:paraId="1D12CF16" w14:textId="77777777" w:rsidR="00BB1D0B" w:rsidRPr="00DD3FA9" w:rsidRDefault="00BB1D0B" w:rsidP="00EA23D0">
      <w:pPr>
        <w:spacing w:line="276" w:lineRule="auto"/>
        <w:jc w:val="both"/>
        <w:rPr>
          <w:rFonts w:ascii="Calibri" w:eastAsia="Times New Roman" w:hAnsi="Calibri"/>
          <w:sz w:val="22"/>
          <w:szCs w:val="22"/>
          <w:lang w:eastAsia="en-AU"/>
        </w:rPr>
      </w:pPr>
    </w:p>
    <w:p w14:paraId="04637359" w14:textId="77777777" w:rsidR="00D216CB" w:rsidRDefault="00E5784F" w:rsidP="00EA23D0">
      <w:pPr>
        <w:spacing w:line="276" w:lineRule="auto"/>
        <w:jc w:val="both"/>
        <w:rPr>
          <w:rFonts w:ascii="Calibri" w:hAnsi="Calibri" w:cs="Cambria"/>
          <w:sz w:val="22"/>
          <w:szCs w:val="22"/>
        </w:rPr>
      </w:pPr>
      <w:r w:rsidRPr="00DD3FA9">
        <w:rPr>
          <w:rFonts w:ascii="Calibri" w:eastAsia="Times New Roman" w:hAnsi="Calibri"/>
          <w:sz w:val="22"/>
          <w:szCs w:val="22"/>
          <w:lang w:eastAsia="en-AU"/>
        </w:rPr>
        <w:t xml:space="preserve">The Australian Government </w:t>
      </w:r>
      <w:r w:rsidR="001E3453" w:rsidRPr="00DD3FA9">
        <w:rPr>
          <w:rFonts w:ascii="Calibri" w:eastAsia="Times New Roman" w:hAnsi="Calibri"/>
          <w:sz w:val="22"/>
          <w:szCs w:val="22"/>
          <w:lang w:eastAsia="en-AU"/>
        </w:rPr>
        <w:t xml:space="preserve">has reaffirmed its commitment to improving employment outcomes for people with disability and </w:t>
      </w:r>
      <w:r w:rsidRPr="00DD3FA9">
        <w:rPr>
          <w:rFonts w:ascii="Calibri" w:eastAsia="Times New Roman" w:hAnsi="Calibri"/>
          <w:sz w:val="22"/>
          <w:szCs w:val="22"/>
          <w:lang w:eastAsia="en-AU"/>
        </w:rPr>
        <w:t xml:space="preserve">is currently undertaking a </w:t>
      </w:r>
      <w:r w:rsidRPr="00DD3FA9">
        <w:rPr>
          <w:rFonts w:ascii="Calibri" w:hAnsi="Calibri" w:cs="Cambria"/>
          <w:sz w:val="22"/>
          <w:szCs w:val="22"/>
        </w:rPr>
        <w:t xml:space="preserve">review of the </w:t>
      </w:r>
      <w:r w:rsidR="001E3453" w:rsidRPr="00DD3FA9">
        <w:rPr>
          <w:rFonts w:ascii="Calibri" w:hAnsi="Calibri" w:cs="Cambria"/>
          <w:sz w:val="22"/>
          <w:szCs w:val="22"/>
        </w:rPr>
        <w:t>N</w:t>
      </w:r>
      <w:r w:rsidRPr="00DD3FA9">
        <w:rPr>
          <w:rFonts w:ascii="Calibri" w:hAnsi="Calibri" w:cs="Cambria"/>
          <w:sz w:val="22"/>
          <w:szCs w:val="22"/>
        </w:rPr>
        <w:t xml:space="preserve">ational </w:t>
      </w:r>
      <w:r w:rsidR="001E3453" w:rsidRPr="00DD3FA9">
        <w:rPr>
          <w:rFonts w:ascii="Calibri" w:hAnsi="Calibri" w:cs="Cambria"/>
          <w:sz w:val="22"/>
          <w:szCs w:val="22"/>
        </w:rPr>
        <w:t>E</w:t>
      </w:r>
      <w:r w:rsidRPr="00DD3FA9">
        <w:rPr>
          <w:rFonts w:ascii="Calibri" w:hAnsi="Calibri" w:cs="Cambria"/>
          <w:sz w:val="22"/>
          <w:szCs w:val="22"/>
        </w:rPr>
        <w:t xml:space="preserve">mployment </w:t>
      </w:r>
      <w:r w:rsidR="001E3453" w:rsidRPr="00DD3FA9">
        <w:rPr>
          <w:rFonts w:ascii="Calibri" w:hAnsi="Calibri" w:cs="Cambria"/>
          <w:sz w:val="22"/>
          <w:szCs w:val="22"/>
        </w:rPr>
        <w:t>F</w:t>
      </w:r>
      <w:r w:rsidRPr="00DD3FA9">
        <w:rPr>
          <w:rFonts w:ascii="Calibri" w:hAnsi="Calibri" w:cs="Cambria"/>
          <w:sz w:val="22"/>
          <w:szCs w:val="22"/>
        </w:rPr>
        <w:t xml:space="preserve">ramework for </w:t>
      </w:r>
      <w:r w:rsidR="001E3453" w:rsidRPr="00DD3FA9">
        <w:rPr>
          <w:rFonts w:ascii="Calibri" w:hAnsi="Calibri" w:cs="Cambria"/>
          <w:sz w:val="22"/>
          <w:szCs w:val="22"/>
        </w:rPr>
        <w:t>P</w:t>
      </w:r>
      <w:r w:rsidRPr="00DD3FA9">
        <w:rPr>
          <w:rFonts w:ascii="Calibri" w:hAnsi="Calibri" w:cs="Cambria"/>
          <w:sz w:val="22"/>
          <w:szCs w:val="22"/>
        </w:rPr>
        <w:t xml:space="preserve">eople with </w:t>
      </w:r>
      <w:r w:rsidR="001E3453" w:rsidRPr="00DD3FA9">
        <w:rPr>
          <w:rFonts w:ascii="Calibri" w:hAnsi="Calibri" w:cs="Cambria"/>
          <w:sz w:val="22"/>
          <w:szCs w:val="22"/>
        </w:rPr>
        <w:t>D</w:t>
      </w:r>
      <w:r w:rsidRPr="00DD3FA9">
        <w:rPr>
          <w:rFonts w:ascii="Calibri" w:hAnsi="Calibri" w:cs="Cambria"/>
          <w:sz w:val="22"/>
          <w:szCs w:val="22"/>
        </w:rPr>
        <w:t>isability</w:t>
      </w:r>
      <w:r w:rsidR="00680F01">
        <w:rPr>
          <w:rFonts w:ascii="Calibri" w:hAnsi="Calibri" w:cs="Cambria"/>
          <w:sz w:val="22"/>
          <w:szCs w:val="22"/>
        </w:rPr>
        <w:t xml:space="preserve"> [the Framework]</w:t>
      </w:r>
      <w:r w:rsidR="001E3453" w:rsidRPr="00DD3FA9">
        <w:rPr>
          <w:rFonts w:ascii="Calibri" w:hAnsi="Calibri" w:cs="Cambria"/>
          <w:sz w:val="22"/>
          <w:szCs w:val="22"/>
        </w:rPr>
        <w:t xml:space="preserve">. </w:t>
      </w:r>
    </w:p>
    <w:p w14:paraId="7E57AB52" w14:textId="77777777" w:rsidR="00D216CB" w:rsidRDefault="00D216CB" w:rsidP="00EA23D0">
      <w:pPr>
        <w:spacing w:line="276" w:lineRule="auto"/>
        <w:jc w:val="both"/>
        <w:rPr>
          <w:rFonts w:ascii="Calibri" w:hAnsi="Calibri" w:cs="Cambria"/>
          <w:sz w:val="22"/>
          <w:szCs w:val="22"/>
        </w:rPr>
      </w:pPr>
    </w:p>
    <w:p w14:paraId="25015625" w14:textId="54E07870" w:rsidR="00E65785" w:rsidRPr="00395FC5" w:rsidRDefault="00D216CB" w:rsidP="00EA23D0">
      <w:pPr>
        <w:spacing w:line="276" w:lineRule="auto"/>
        <w:jc w:val="both"/>
        <w:rPr>
          <w:rFonts w:ascii="Calibri" w:hAnsi="Calibri" w:cs="Cambria"/>
          <w:sz w:val="22"/>
          <w:szCs w:val="22"/>
        </w:rPr>
      </w:pPr>
      <w:r>
        <w:rPr>
          <w:rFonts w:ascii="Calibri" w:hAnsi="Calibri" w:cs="Cambria"/>
          <w:sz w:val="22"/>
          <w:szCs w:val="22"/>
        </w:rPr>
        <w:t>While this r</w:t>
      </w:r>
      <w:r w:rsidR="00E5784F" w:rsidRPr="00DD3FA9">
        <w:rPr>
          <w:rFonts w:ascii="Calibri" w:hAnsi="Calibri" w:cs="Cambria"/>
          <w:sz w:val="22"/>
          <w:szCs w:val="22"/>
        </w:rPr>
        <w:t>eview is welcomed and supported by people with disability and their representative organisations</w:t>
      </w:r>
      <w:r>
        <w:rPr>
          <w:rFonts w:ascii="Calibri" w:hAnsi="Calibri" w:cs="Cambria"/>
          <w:sz w:val="22"/>
          <w:szCs w:val="22"/>
        </w:rPr>
        <w:t>, it has begun to focus narrowly on only one aspect of the</w:t>
      </w:r>
      <w:r w:rsidR="00E5784F" w:rsidRPr="00395FC5">
        <w:rPr>
          <w:rFonts w:ascii="Calibri" w:hAnsi="Calibri" w:cs="Cambria"/>
          <w:sz w:val="22"/>
          <w:szCs w:val="22"/>
        </w:rPr>
        <w:t xml:space="preserve"> </w:t>
      </w:r>
      <w:r w:rsidR="001E3453" w:rsidRPr="00395FC5">
        <w:rPr>
          <w:rFonts w:ascii="Calibri" w:hAnsi="Calibri" w:cs="Cambria"/>
          <w:sz w:val="22"/>
          <w:szCs w:val="22"/>
        </w:rPr>
        <w:t>F</w:t>
      </w:r>
      <w:r w:rsidR="00E5784F" w:rsidRPr="00395FC5">
        <w:rPr>
          <w:rFonts w:ascii="Calibri" w:hAnsi="Calibri" w:cs="Cambria"/>
          <w:sz w:val="22"/>
          <w:szCs w:val="22"/>
        </w:rPr>
        <w:t>ramework, the Disability Employment Services (DES) program.</w:t>
      </w:r>
      <w:r w:rsidR="001E3453" w:rsidRPr="00395FC5">
        <w:rPr>
          <w:rStyle w:val="EndnoteReference"/>
          <w:rFonts w:ascii="Calibri" w:hAnsi="Calibri" w:cs="Cambria"/>
          <w:sz w:val="22"/>
          <w:szCs w:val="22"/>
        </w:rPr>
        <w:endnoteReference w:id="11"/>
      </w:r>
      <w:r w:rsidR="00E5784F" w:rsidRPr="00395FC5">
        <w:rPr>
          <w:rFonts w:ascii="Calibri" w:hAnsi="Calibri" w:cs="Cambria"/>
          <w:sz w:val="22"/>
          <w:szCs w:val="22"/>
        </w:rPr>
        <w:t xml:space="preserve"> DES continue</w:t>
      </w:r>
      <w:r w:rsidR="00986DEE" w:rsidRPr="00395FC5">
        <w:rPr>
          <w:rFonts w:ascii="Calibri" w:hAnsi="Calibri" w:cs="Cambria"/>
          <w:sz w:val="22"/>
          <w:szCs w:val="22"/>
        </w:rPr>
        <w:t>s</w:t>
      </w:r>
      <w:r w:rsidR="00E5784F" w:rsidRPr="00395FC5">
        <w:rPr>
          <w:rFonts w:ascii="Calibri" w:hAnsi="Calibri" w:cs="Cambria"/>
          <w:sz w:val="22"/>
          <w:szCs w:val="22"/>
        </w:rPr>
        <w:t xml:space="preserve"> to deliver poor employment outcomes for people with disability</w:t>
      </w:r>
      <w:r w:rsidR="00F8647D">
        <w:rPr>
          <w:rFonts w:ascii="Calibri" w:hAnsi="Calibri" w:cs="Cambria"/>
          <w:sz w:val="22"/>
          <w:szCs w:val="22"/>
        </w:rPr>
        <w:t>,</w:t>
      </w:r>
      <w:r w:rsidR="00E5784F" w:rsidRPr="00395FC5">
        <w:rPr>
          <w:rFonts w:ascii="Calibri" w:hAnsi="Calibri" w:cs="Cambria"/>
          <w:sz w:val="22"/>
          <w:szCs w:val="22"/>
        </w:rPr>
        <w:t xml:space="preserve"> and </w:t>
      </w:r>
      <w:r w:rsidR="00F02AD7">
        <w:rPr>
          <w:rFonts w:ascii="Calibri" w:hAnsi="Calibri" w:cs="Cambria"/>
          <w:sz w:val="22"/>
          <w:szCs w:val="22"/>
        </w:rPr>
        <w:t>p</w:t>
      </w:r>
      <w:r w:rsidR="00E65785" w:rsidRPr="00395FC5">
        <w:rPr>
          <w:rFonts w:ascii="Calibri" w:hAnsi="Calibri" w:cs="Cambria"/>
          <w:sz w:val="22"/>
          <w:szCs w:val="22"/>
        </w:rPr>
        <w:t xml:space="preserve">eople with disability </w:t>
      </w:r>
      <w:r w:rsidR="00F02AD7">
        <w:rPr>
          <w:rFonts w:ascii="Calibri" w:hAnsi="Calibri" w:cs="Cambria"/>
          <w:sz w:val="22"/>
          <w:szCs w:val="22"/>
        </w:rPr>
        <w:t xml:space="preserve">would like to </w:t>
      </w:r>
      <w:r w:rsidR="00E65785" w:rsidRPr="00395FC5">
        <w:rPr>
          <w:rFonts w:ascii="Calibri" w:hAnsi="Calibri" w:cs="Cambria"/>
          <w:sz w:val="22"/>
          <w:szCs w:val="22"/>
        </w:rPr>
        <w:t>access employment services that meet their individualised needs and which are focused on long-term outcomes for them. In addition, DPO’s argue that the DES system cannot be viewed in isolation from the need for a</w:t>
      </w:r>
      <w:r w:rsidR="00680F01" w:rsidRPr="00395FC5">
        <w:rPr>
          <w:rFonts w:ascii="Calibri" w:hAnsi="Calibri" w:cs="Cambria"/>
          <w:sz w:val="22"/>
          <w:szCs w:val="22"/>
        </w:rPr>
        <w:t xml:space="preserve"> comprehensive, gendered</w:t>
      </w:r>
      <w:r w:rsidR="00E65785" w:rsidRPr="00395FC5">
        <w:rPr>
          <w:rFonts w:ascii="Calibri" w:hAnsi="Calibri" w:cs="Cambria"/>
          <w:sz w:val="22"/>
          <w:szCs w:val="22"/>
        </w:rPr>
        <w:t xml:space="preserve"> </w:t>
      </w:r>
      <w:r w:rsidR="00E65785" w:rsidRPr="00395FC5">
        <w:rPr>
          <w:rFonts w:ascii="Calibri" w:hAnsi="Calibri" w:cs="Cambria"/>
          <w:i/>
          <w:sz w:val="22"/>
          <w:szCs w:val="22"/>
        </w:rPr>
        <w:t>National Employment Strategy</w:t>
      </w:r>
      <w:r w:rsidR="00E65785" w:rsidRPr="00395FC5">
        <w:rPr>
          <w:rFonts w:ascii="Calibri" w:hAnsi="Calibri" w:cs="Cambria"/>
          <w:sz w:val="22"/>
          <w:szCs w:val="22"/>
        </w:rPr>
        <w:t xml:space="preserve"> for people with disability, which supports and incentivises people towards long-term open employment, which implements the recommendations from Willing to Work inquiry, and which includes targets, performance indicators and timeframes for increasing the workforce particip</w:t>
      </w:r>
      <w:r w:rsidR="00680F01" w:rsidRPr="00395FC5">
        <w:rPr>
          <w:rFonts w:ascii="Calibri" w:hAnsi="Calibri" w:cs="Cambria"/>
          <w:sz w:val="22"/>
          <w:szCs w:val="22"/>
        </w:rPr>
        <w:t>ation of people with disability.</w:t>
      </w:r>
      <w:r w:rsidR="002E401B">
        <w:rPr>
          <w:rStyle w:val="EndnoteReference"/>
          <w:rFonts w:ascii="Calibri" w:hAnsi="Calibri" w:cs="Cambria"/>
          <w:sz w:val="22"/>
          <w:szCs w:val="22"/>
        </w:rPr>
        <w:endnoteReference w:id="12"/>
      </w:r>
    </w:p>
    <w:p w14:paraId="6935DCDC" w14:textId="77777777" w:rsidR="00E65785" w:rsidRPr="00395FC5" w:rsidRDefault="00E65785" w:rsidP="00EA23D0">
      <w:pPr>
        <w:spacing w:line="276" w:lineRule="auto"/>
        <w:jc w:val="both"/>
        <w:rPr>
          <w:rFonts w:ascii="Calibri" w:hAnsi="Calibri" w:cs="Cambria"/>
          <w:sz w:val="22"/>
          <w:szCs w:val="22"/>
        </w:rPr>
      </w:pPr>
    </w:p>
    <w:p w14:paraId="194ABAE5" w14:textId="1A339CE9" w:rsidR="00233333" w:rsidRPr="00395FC5" w:rsidRDefault="00233333" w:rsidP="00EA23D0">
      <w:pPr>
        <w:spacing w:line="276" w:lineRule="auto"/>
        <w:jc w:val="both"/>
        <w:rPr>
          <w:rFonts w:ascii="Calibri" w:hAnsi="Calibri"/>
          <w:color w:val="000000" w:themeColor="text1"/>
          <w:sz w:val="22"/>
          <w:szCs w:val="22"/>
        </w:rPr>
      </w:pPr>
      <w:r w:rsidRPr="00395FC5">
        <w:rPr>
          <w:rFonts w:ascii="Calibri" w:hAnsi="Calibri"/>
          <w:color w:val="000000" w:themeColor="text1"/>
          <w:sz w:val="22"/>
          <w:szCs w:val="22"/>
        </w:rPr>
        <w:t>Segregated employment of people with disability through Australian</w:t>
      </w:r>
      <w:r w:rsidR="00F02AD7">
        <w:rPr>
          <w:rFonts w:ascii="Calibri" w:hAnsi="Calibri"/>
          <w:color w:val="000000" w:themeColor="text1"/>
          <w:sz w:val="22"/>
          <w:szCs w:val="22"/>
        </w:rPr>
        <w:t xml:space="preserve"> Disability Enterprises (ADEs)</w:t>
      </w:r>
      <w:r w:rsidRPr="00395FC5">
        <w:rPr>
          <w:rFonts w:ascii="Calibri" w:hAnsi="Calibri"/>
          <w:color w:val="000000" w:themeColor="text1"/>
          <w:sz w:val="22"/>
          <w:szCs w:val="22"/>
        </w:rPr>
        <w:t xml:space="preserve"> continues in Australia. The </w:t>
      </w:r>
      <w:r w:rsidRPr="00395FC5">
        <w:rPr>
          <w:rFonts w:ascii="Calibri" w:hAnsi="Calibri"/>
          <w:i/>
          <w:color w:val="000000" w:themeColor="text1"/>
          <w:sz w:val="22"/>
          <w:szCs w:val="22"/>
        </w:rPr>
        <w:t>Business Services Wage Assessment Tool</w:t>
      </w:r>
      <w:r w:rsidRPr="00395FC5">
        <w:rPr>
          <w:rFonts w:ascii="Calibri" w:hAnsi="Calibri"/>
          <w:color w:val="000000" w:themeColor="text1"/>
          <w:sz w:val="22"/>
          <w:szCs w:val="22"/>
        </w:rPr>
        <w:t xml:space="preserve"> (BSWAT) was developed by the Australian Government for use by A</w:t>
      </w:r>
      <w:r w:rsidR="00F8647D">
        <w:rPr>
          <w:rFonts w:ascii="Calibri" w:hAnsi="Calibri"/>
          <w:color w:val="000000" w:themeColor="text1"/>
          <w:sz w:val="22"/>
          <w:szCs w:val="22"/>
        </w:rPr>
        <w:t xml:space="preserve">DEs </w:t>
      </w:r>
      <w:r w:rsidRPr="00395FC5">
        <w:rPr>
          <w:rFonts w:ascii="Calibri" w:hAnsi="Calibri"/>
          <w:color w:val="000000" w:themeColor="text1"/>
          <w:sz w:val="22"/>
          <w:szCs w:val="22"/>
        </w:rPr>
        <w:t xml:space="preserve">to assess wages of supported employees. </w:t>
      </w:r>
      <w:r w:rsidR="00A367D4" w:rsidRPr="00395FC5">
        <w:rPr>
          <w:rFonts w:ascii="Calibri" w:hAnsi="Calibri"/>
          <w:color w:val="000000" w:themeColor="text1"/>
          <w:sz w:val="22"/>
          <w:szCs w:val="22"/>
        </w:rPr>
        <w:t xml:space="preserve">However, </w:t>
      </w:r>
      <w:r w:rsidRPr="00395FC5">
        <w:rPr>
          <w:rFonts w:ascii="Calibri" w:hAnsi="Calibri"/>
          <w:color w:val="000000" w:themeColor="text1"/>
          <w:sz w:val="22"/>
          <w:szCs w:val="22"/>
        </w:rPr>
        <w:t xml:space="preserve">the Federal Court </w:t>
      </w:r>
      <w:r w:rsidR="00F02AD7">
        <w:rPr>
          <w:rFonts w:ascii="Calibri" w:hAnsi="Calibri"/>
          <w:color w:val="000000" w:themeColor="text1"/>
          <w:sz w:val="22"/>
          <w:szCs w:val="22"/>
        </w:rPr>
        <w:t>found</w:t>
      </w:r>
      <w:r w:rsidRPr="00395FC5">
        <w:rPr>
          <w:rFonts w:ascii="Calibri" w:hAnsi="Calibri"/>
          <w:color w:val="000000" w:themeColor="text1"/>
          <w:sz w:val="22"/>
          <w:szCs w:val="22"/>
        </w:rPr>
        <w:t xml:space="preserve"> in December 2012 that the BSWAT indirectly discriminated against two A</w:t>
      </w:r>
      <w:r w:rsidR="00F02AD7">
        <w:rPr>
          <w:rFonts w:ascii="Calibri" w:hAnsi="Calibri"/>
          <w:color w:val="000000" w:themeColor="text1"/>
          <w:sz w:val="22"/>
          <w:szCs w:val="22"/>
        </w:rPr>
        <w:t xml:space="preserve">DE </w:t>
      </w:r>
      <w:r w:rsidRPr="00395FC5">
        <w:rPr>
          <w:rFonts w:ascii="Calibri" w:hAnsi="Calibri"/>
          <w:color w:val="000000" w:themeColor="text1"/>
          <w:sz w:val="22"/>
          <w:szCs w:val="22"/>
        </w:rPr>
        <w:t xml:space="preserve">employees with </w:t>
      </w:r>
      <w:r w:rsidR="00F02AD7">
        <w:rPr>
          <w:rFonts w:ascii="Calibri" w:hAnsi="Calibri"/>
          <w:color w:val="000000" w:themeColor="text1"/>
          <w:sz w:val="22"/>
          <w:szCs w:val="22"/>
        </w:rPr>
        <w:t>intellectual disability.</w:t>
      </w:r>
      <w:r w:rsidRPr="00395FC5">
        <w:rPr>
          <w:rStyle w:val="EndnoteReference"/>
          <w:rFonts w:ascii="Calibri" w:hAnsi="Calibri"/>
          <w:color w:val="000000" w:themeColor="text1"/>
          <w:sz w:val="22"/>
          <w:szCs w:val="22"/>
        </w:rPr>
        <w:endnoteReference w:id="13"/>
      </w:r>
      <w:r w:rsidRPr="00395FC5">
        <w:rPr>
          <w:rFonts w:ascii="Calibri" w:hAnsi="Calibri"/>
          <w:color w:val="000000" w:themeColor="text1"/>
          <w:sz w:val="22"/>
          <w:szCs w:val="22"/>
        </w:rPr>
        <w:t xml:space="preserve"> </w:t>
      </w:r>
      <w:r w:rsidR="00F02AD7">
        <w:rPr>
          <w:rFonts w:ascii="Calibri" w:hAnsi="Calibri"/>
          <w:color w:val="000000" w:themeColor="text1"/>
          <w:sz w:val="22"/>
          <w:szCs w:val="22"/>
        </w:rPr>
        <w:t xml:space="preserve"> </w:t>
      </w:r>
      <w:r w:rsidR="002E01D4">
        <w:rPr>
          <w:rFonts w:ascii="Calibri" w:hAnsi="Calibri"/>
          <w:color w:val="000000" w:themeColor="text1"/>
          <w:sz w:val="22"/>
          <w:szCs w:val="22"/>
        </w:rPr>
        <w:t>After concerted advocacy by people with disability, t</w:t>
      </w:r>
      <w:r w:rsidRPr="00395FC5">
        <w:rPr>
          <w:rFonts w:ascii="Calibri" w:hAnsi="Calibri"/>
          <w:color w:val="000000" w:themeColor="text1"/>
          <w:sz w:val="22"/>
          <w:szCs w:val="22"/>
        </w:rPr>
        <w:t xml:space="preserve">he </w:t>
      </w:r>
      <w:r w:rsidR="00421ADB" w:rsidRPr="00395FC5">
        <w:rPr>
          <w:rFonts w:ascii="Calibri" w:hAnsi="Calibri"/>
          <w:color w:val="000000" w:themeColor="text1"/>
          <w:sz w:val="22"/>
          <w:szCs w:val="22"/>
        </w:rPr>
        <w:t xml:space="preserve">Australian Government established the </w:t>
      </w:r>
      <w:r w:rsidR="00421ADB" w:rsidRPr="00395FC5">
        <w:rPr>
          <w:rFonts w:ascii="Calibri" w:hAnsi="Calibri"/>
          <w:i/>
          <w:color w:val="000000" w:themeColor="text1"/>
          <w:sz w:val="22"/>
          <w:szCs w:val="22"/>
        </w:rPr>
        <w:t>Business Services Wage Assessment Tool (BSWAT) Payment Scheme,</w:t>
      </w:r>
      <w:r w:rsidR="00B57DAC" w:rsidRPr="00395FC5">
        <w:rPr>
          <w:rStyle w:val="EndnoteReference"/>
          <w:rFonts w:ascii="Calibri" w:hAnsi="Calibri"/>
          <w:color w:val="000000" w:themeColor="text1"/>
          <w:sz w:val="22"/>
          <w:szCs w:val="22"/>
        </w:rPr>
        <w:endnoteReference w:id="14"/>
      </w:r>
      <w:r w:rsidR="00421ADB" w:rsidRPr="00395FC5">
        <w:rPr>
          <w:rFonts w:ascii="Calibri" w:hAnsi="Calibri"/>
          <w:i/>
          <w:color w:val="000000" w:themeColor="text1"/>
          <w:sz w:val="22"/>
          <w:szCs w:val="22"/>
        </w:rPr>
        <w:t xml:space="preserve"> </w:t>
      </w:r>
      <w:r w:rsidR="00F02AD7">
        <w:rPr>
          <w:rFonts w:ascii="Calibri" w:hAnsi="Calibri"/>
          <w:color w:val="000000" w:themeColor="text1"/>
          <w:sz w:val="22"/>
          <w:szCs w:val="22"/>
        </w:rPr>
        <w:t>which delivers</w:t>
      </w:r>
      <w:r w:rsidR="00421ADB" w:rsidRPr="00395FC5">
        <w:rPr>
          <w:rFonts w:ascii="Calibri" w:hAnsi="Calibri"/>
          <w:color w:val="000000" w:themeColor="text1"/>
          <w:sz w:val="22"/>
          <w:szCs w:val="22"/>
        </w:rPr>
        <w:t xml:space="preserve"> a one-off payment of $100 </w:t>
      </w:r>
      <w:r w:rsidR="00421ADB" w:rsidRPr="00F02AD7">
        <w:rPr>
          <w:rFonts w:ascii="Calibri" w:hAnsi="Calibri"/>
          <w:color w:val="000000" w:themeColor="text1"/>
          <w:sz w:val="22"/>
          <w:szCs w:val="22"/>
        </w:rPr>
        <w:t>or more</w:t>
      </w:r>
      <w:r w:rsidR="00421ADB" w:rsidRPr="00395FC5">
        <w:rPr>
          <w:rFonts w:ascii="Calibri" w:hAnsi="Calibri"/>
          <w:color w:val="000000" w:themeColor="text1"/>
          <w:sz w:val="22"/>
          <w:szCs w:val="22"/>
        </w:rPr>
        <w:t xml:space="preserve"> in certain circumstances to eligible ADE employees with an intellectual disability whose wages were assessed and paid using the BSWAT between 2004 and 2014.</w:t>
      </w:r>
      <w:r w:rsidR="002E01D4">
        <w:rPr>
          <w:rFonts w:ascii="Calibri" w:hAnsi="Calibri"/>
          <w:color w:val="000000" w:themeColor="text1"/>
          <w:sz w:val="22"/>
          <w:szCs w:val="22"/>
        </w:rPr>
        <w:t xml:space="preserve">  However, this Scheme does not apply to all ADE employees and does not address people with disability paid under the BSWAT after 2014. </w:t>
      </w:r>
    </w:p>
    <w:p w14:paraId="435809B7" w14:textId="77777777" w:rsidR="00233333" w:rsidRPr="00395FC5" w:rsidRDefault="00233333" w:rsidP="00EA23D0">
      <w:pPr>
        <w:spacing w:line="276" w:lineRule="auto"/>
        <w:jc w:val="both"/>
        <w:rPr>
          <w:rFonts w:ascii="Calibri" w:hAnsi="Calibri"/>
          <w:color w:val="000000" w:themeColor="text1"/>
          <w:sz w:val="22"/>
          <w:szCs w:val="22"/>
        </w:rPr>
      </w:pPr>
    </w:p>
    <w:p w14:paraId="6D9E722B" w14:textId="5AD6A428" w:rsidR="00B57DAC" w:rsidRPr="00395FC5" w:rsidRDefault="00B57DAC" w:rsidP="002E401B">
      <w:pPr>
        <w:spacing w:line="276" w:lineRule="auto"/>
        <w:jc w:val="both"/>
        <w:rPr>
          <w:color w:val="000000" w:themeColor="text1"/>
        </w:rPr>
      </w:pPr>
      <w:r w:rsidRPr="00395FC5">
        <w:rPr>
          <w:rFonts w:ascii="Calibri" w:hAnsi="Calibri"/>
          <w:color w:val="000000" w:themeColor="text1"/>
          <w:sz w:val="22"/>
          <w:szCs w:val="22"/>
        </w:rPr>
        <w:t>In its 2013 Concluding Observations</w:t>
      </w:r>
      <w:r w:rsidR="002E01D4">
        <w:rPr>
          <w:rFonts w:ascii="Calibri" w:hAnsi="Calibri"/>
          <w:color w:val="000000" w:themeColor="text1"/>
          <w:sz w:val="22"/>
          <w:szCs w:val="22"/>
        </w:rPr>
        <w:t xml:space="preserve">, the Committee on the Rights of Persons with Disabilities made recommendations for Australia to discontinue use of the BSWAT and to </w:t>
      </w:r>
      <w:r w:rsidR="002E401B">
        <w:rPr>
          <w:rFonts w:ascii="Calibri" w:hAnsi="Calibri"/>
          <w:color w:val="000000" w:themeColor="text1"/>
          <w:sz w:val="22"/>
          <w:szCs w:val="22"/>
        </w:rPr>
        <w:t>ensure the right assessment of the wages of persons in ADEs.</w:t>
      </w:r>
      <w:r w:rsidR="002E401B">
        <w:rPr>
          <w:rStyle w:val="EndnoteReference"/>
          <w:rFonts w:ascii="Calibri" w:hAnsi="Calibri"/>
          <w:color w:val="000000" w:themeColor="text1"/>
          <w:sz w:val="22"/>
          <w:szCs w:val="22"/>
        </w:rPr>
        <w:endnoteReference w:id="15"/>
      </w:r>
      <w:r w:rsidR="002E401B">
        <w:rPr>
          <w:rFonts w:ascii="Calibri" w:hAnsi="Calibri"/>
          <w:color w:val="000000" w:themeColor="text1"/>
          <w:sz w:val="22"/>
          <w:szCs w:val="22"/>
        </w:rPr>
        <w:t xml:space="preserve">  </w:t>
      </w:r>
      <w:r w:rsidRPr="00395FC5">
        <w:rPr>
          <w:rFonts w:ascii="Calibri" w:hAnsi="Calibri"/>
          <w:color w:val="000000" w:themeColor="text1"/>
          <w:sz w:val="22"/>
          <w:szCs w:val="22"/>
        </w:rPr>
        <w:t xml:space="preserve"> </w:t>
      </w:r>
    </w:p>
    <w:p w14:paraId="75EB07EA" w14:textId="77777777" w:rsidR="00421ADB" w:rsidRPr="00395FC5" w:rsidRDefault="00421ADB" w:rsidP="00EA23D0">
      <w:pPr>
        <w:spacing w:line="276" w:lineRule="auto"/>
        <w:jc w:val="both"/>
        <w:rPr>
          <w:rFonts w:ascii="Calibri" w:hAnsi="Calibri"/>
          <w:color w:val="000000" w:themeColor="text1"/>
          <w:sz w:val="22"/>
          <w:szCs w:val="22"/>
        </w:rPr>
      </w:pPr>
    </w:p>
    <w:p w14:paraId="688F4AB9" w14:textId="08F223AF" w:rsidR="00395FC5" w:rsidRPr="00395FC5" w:rsidRDefault="00395FC5" w:rsidP="00EA23D0">
      <w:pPr>
        <w:spacing w:line="276" w:lineRule="auto"/>
        <w:jc w:val="both"/>
        <w:rPr>
          <w:rFonts w:ascii="Calibri" w:hAnsi="Calibri"/>
          <w:color w:val="000000" w:themeColor="text1"/>
          <w:sz w:val="22"/>
          <w:szCs w:val="22"/>
        </w:rPr>
      </w:pPr>
      <w:r w:rsidRPr="00395FC5">
        <w:rPr>
          <w:rFonts w:ascii="Calibri" w:hAnsi="Calibri"/>
          <w:sz w:val="22"/>
          <w:szCs w:val="22"/>
        </w:rPr>
        <w:t>The C</w:t>
      </w:r>
      <w:r w:rsidR="00735E38">
        <w:rPr>
          <w:rFonts w:ascii="Calibri" w:hAnsi="Calibri"/>
          <w:sz w:val="22"/>
          <w:szCs w:val="22"/>
        </w:rPr>
        <w:t>ommittee on Economic, Social and Cultural Rights</w:t>
      </w:r>
      <w:r w:rsidRPr="00395FC5">
        <w:rPr>
          <w:rFonts w:ascii="Calibri" w:hAnsi="Calibri"/>
          <w:sz w:val="22"/>
          <w:szCs w:val="22"/>
        </w:rPr>
        <w:t xml:space="preserve"> has specifically addressed segregated employment of people with disability, and clarified that segregated employment and wage discrimination is in contravention of the Covenant on Economic, Social and Cultural Rights (ICESCR).</w:t>
      </w:r>
      <w:r w:rsidRPr="00395FC5">
        <w:rPr>
          <w:rStyle w:val="EndnoteReference"/>
          <w:rFonts w:ascii="Calibri" w:hAnsi="Calibri"/>
          <w:sz w:val="22"/>
          <w:szCs w:val="22"/>
        </w:rPr>
        <w:endnoteReference w:id="16"/>
      </w:r>
      <w:r w:rsidRPr="00395FC5">
        <w:rPr>
          <w:rFonts w:ascii="Calibri" w:hAnsi="Calibri"/>
          <w:sz w:val="22"/>
          <w:szCs w:val="22"/>
        </w:rPr>
        <w:t xml:space="preserve">  </w:t>
      </w:r>
    </w:p>
    <w:p w14:paraId="6830A019" w14:textId="77777777" w:rsidR="00395FC5" w:rsidRPr="00395FC5" w:rsidRDefault="00395FC5" w:rsidP="00EA23D0">
      <w:pPr>
        <w:spacing w:line="276" w:lineRule="auto"/>
        <w:jc w:val="both"/>
        <w:rPr>
          <w:rFonts w:ascii="Calibri" w:hAnsi="Calibri"/>
          <w:color w:val="000000" w:themeColor="text1"/>
          <w:sz w:val="22"/>
          <w:szCs w:val="22"/>
        </w:rPr>
      </w:pPr>
    </w:p>
    <w:p w14:paraId="7B61536A" w14:textId="77777777" w:rsidR="00A50622" w:rsidRPr="004D3B5A" w:rsidRDefault="00A50622"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bookmarkStart w:id="0" w:name="_GoBack"/>
      <w:bookmarkEnd w:id="0"/>
      <w:r w:rsidRPr="004D3B5A">
        <w:rPr>
          <w:rFonts w:ascii="Calibri" w:hAnsi="Calibri"/>
          <w:b/>
          <w:color w:val="2E74B5" w:themeColor="accent1" w:themeShade="BF"/>
          <w:sz w:val="28"/>
          <w:szCs w:val="28"/>
          <w:lang w:val="en-AU"/>
        </w:rPr>
        <w:t>Proposed Questions</w:t>
      </w:r>
    </w:p>
    <w:p w14:paraId="78F51379" w14:textId="77777777" w:rsidR="00EA5F6A" w:rsidRPr="00EA5F6A" w:rsidRDefault="00EA5F6A" w:rsidP="00EA5F6A">
      <w:pPr>
        <w:spacing w:line="276" w:lineRule="auto"/>
        <w:jc w:val="both"/>
        <w:rPr>
          <w:rFonts w:ascii="Calibri" w:hAnsi="Calibri"/>
          <w:sz w:val="22"/>
          <w:szCs w:val="22"/>
        </w:rPr>
      </w:pPr>
      <w:r w:rsidRPr="00EA5F6A">
        <w:rPr>
          <w:rFonts w:ascii="Calibri" w:hAnsi="Calibri"/>
          <w:sz w:val="22"/>
          <w:szCs w:val="22"/>
        </w:rPr>
        <w:t>Please provide detail on progress toward increasing employment participation of people with disability, specifically women with disability; and, Aboriginal and Torres Strait Islander people with disability. Elaborate on measures taken to identify and address the underlying structural barriers to workforce participation.</w:t>
      </w:r>
    </w:p>
    <w:p w14:paraId="6CF911C6" w14:textId="77777777" w:rsidR="00EA5F6A" w:rsidRPr="00EA5F6A" w:rsidRDefault="00EA5F6A" w:rsidP="00EA5F6A">
      <w:pPr>
        <w:spacing w:line="276" w:lineRule="auto"/>
        <w:ind w:right="-6"/>
        <w:jc w:val="both"/>
        <w:rPr>
          <w:rFonts w:ascii="Calibri" w:hAnsi="Calibri"/>
          <w:sz w:val="22"/>
          <w:szCs w:val="22"/>
        </w:rPr>
      </w:pPr>
    </w:p>
    <w:p w14:paraId="2A2BCCD8" w14:textId="77777777" w:rsidR="00EA5F6A" w:rsidRPr="00EA5F6A" w:rsidRDefault="00EA5F6A" w:rsidP="00EA5F6A">
      <w:pPr>
        <w:spacing w:line="276" w:lineRule="auto"/>
        <w:ind w:right="-6"/>
        <w:jc w:val="both"/>
        <w:rPr>
          <w:rFonts w:ascii="Calibri" w:hAnsi="Calibri"/>
          <w:sz w:val="22"/>
          <w:szCs w:val="22"/>
        </w:rPr>
      </w:pPr>
      <w:r w:rsidRPr="00EA5F6A">
        <w:rPr>
          <w:rFonts w:ascii="Calibri" w:hAnsi="Calibri"/>
          <w:sz w:val="22"/>
          <w:szCs w:val="22"/>
        </w:rPr>
        <w:t>Please update the Committee on:</w:t>
      </w:r>
    </w:p>
    <w:p w14:paraId="6D5E544E" w14:textId="77777777" w:rsidR="00EA5F6A" w:rsidRPr="00EA5F6A" w:rsidRDefault="00EA5F6A" w:rsidP="00EA5F6A">
      <w:pPr>
        <w:pStyle w:val="ListParagraph"/>
        <w:numPr>
          <w:ilvl w:val="0"/>
          <w:numId w:val="4"/>
        </w:numPr>
        <w:spacing w:line="276" w:lineRule="auto"/>
        <w:ind w:right="-6"/>
        <w:jc w:val="both"/>
      </w:pPr>
      <w:r w:rsidRPr="00EA5F6A">
        <w:t>the status of BSWAT;</w:t>
      </w:r>
    </w:p>
    <w:p w14:paraId="56D52C5F" w14:textId="77777777" w:rsidR="00EA5F6A" w:rsidRPr="00EA5F6A" w:rsidRDefault="00EA5F6A" w:rsidP="00EA5F6A">
      <w:pPr>
        <w:pStyle w:val="ListParagraph"/>
        <w:numPr>
          <w:ilvl w:val="0"/>
          <w:numId w:val="4"/>
        </w:numPr>
        <w:spacing w:line="276" w:lineRule="auto"/>
        <w:ind w:right="-6"/>
        <w:jc w:val="both"/>
      </w:pPr>
      <w:r w:rsidRPr="00EA5F6A">
        <w:t>measures to ensure the rights of persons in supported employment are remunerated on an equal basis as others;</w:t>
      </w:r>
    </w:p>
    <w:p w14:paraId="4B14120D" w14:textId="6C3DA821" w:rsidR="00EA5F6A" w:rsidRPr="00EA5F6A" w:rsidRDefault="00EA5F6A" w:rsidP="00EA5F6A">
      <w:pPr>
        <w:pStyle w:val="ListParagraph"/>
        <w:numPr>
          <w:ilvl w:val="0"/>
          <w:numId w:val="4"/>
        </w:numPr>
        <w:spacing w:line="276" w:lineRule="auto"/>
        <w:ind w:right="-6"/>
        <w:jc w:val="both"/>
      </w:pPr>
      <w:r w:rsidRPr="00EA5F6A">
        <w:t xml:space="preserve">measures to </w:t>
      </w:r>
      <w:r w:rsidR="00735E38">
        <w:t xml:space="preserve">transition from </w:t>
      </w:r>
      <w:r w:rsidRPr="00EA5F6A">
        <w:t>segregated employ</w:t>
      </w:r>
      <w:r w:rsidR="00735E38">
        <w:t>ment of people with disability in Australian Disability Enterprises towards genuine work training and vocational skill building opportunities that lead to open employment.</w:t>
      </w:r>
    </w:p>
    <w:p w14:paraId="5C0558E2" w14:textId="1F4F975F" w:rsidR="00EA5F6A" w:rsidRPr="00EA5F6A" w:rsidRDefault="00EA5F6A" w:rsidP="00EA5F6A">
      <w:pPr>
        <w:pStyle w:val="ListParagraph"/>
        <w:numPr>
          <w:ilvl w:val="0"/>
          <w:numId w:val="4"/>
        </w:numPr>
        <w:spacing w:line="276" w:lineRule="auto"/>
        <w:ind w:right="-6"/>
        <w:jc w:val="both"/>
      </w:pPr>
      <w:r w:rsidRPr="00EA5F6A">
        <w:lastRenderedPageBreak/>
        <w:t xml:space="preserve">the number and places </w:t>
      </w:r>
      <w:r w:rsidR="00735E38">
        <w:t xml:space="preserve">of segregated employment settings </w:t>
      </w:r>
      <w:r w:rsidRPr="00EA5F6A">
        <w:t>for persons with disability. Has the number increased or decreased since the last review?</w:t>
      </w:r>
    </w:p>
    <w:p w14:paraId="542FBFF9" w14:textId="77777777" w:rsidR="00EA5F6A" w:rsidRPr="00EA5F6A" w:rsidRDefault="00EA5F6A" w:rsidP="00EA5F6A">
      <w:pPr>
        <w:pStyle w:val="ListParagraph"/>
        <w:numPr>
          <w:ilvl w:val="0"/>
          <w:numId w:val="4"/>
        </w:numPr>
        <w:spacing w:line="276" w:lineRule="auto"/>
        <w:ind w:right="-6"/>
        <w:jc w:val="both"/>
      </w:pPr>
      <w:r w:rsidRPr="00EA5F6A">
        <w:t>progress on the development of a National Disability Employment Framework.</w:t>
      </w:r>
    </w:p>
    <w:p w14:paraId="60FC9523" w14:textId="77777777" w:rsidR="00A50622" w:rsidRDefault="00A50622" w:rsidP="00EA5F6A">
      <w:pPr>
        <w:spacing w:line="276" w:lineRule="auto"/>
        <w:jc w:val="both"/>
        <w:rPr>
          <w:rFonts w:ascii="Calibri" w:hAnsi="Calibri"/>
          <w:sz w:val="22"/>
          <w:szCs w:val="22"/>
        </w:rPr>
      </w:pPr>
    </w:p>
    <w:p w14:paraId="4C43A45C" w14:textId="77777777" w:rsidR="00EA5F6A" w:rsidRPr="00EA5F6A" w:rsidRDefault="00EA5F6A" w:rsidP="00EA5F6A">
      <w:pPr>
        <w:spacing w:line="276" w:lineRule="auto"/>
        <w:jc w:val="both"/>
        <w:rPr>
          <w:rFonts w:ascii="Calibri" w:hAnsi="Calibri"/>
          <w:i/>
          <w:color w:val="000000" w:themeColor="text1"/>
          <w:sz w:val="22"/>
          <w:szCs w:val="22"/>
        </w:rPr>
      </w:pPr>
      <w:r w:rsidRPr="00EA5F6A">
        <w:rPr>
          <w:rFonts w:ascii="Calibri" w:hAnsi="Calibri"/>
          <w:color w:val="000000" w:themeColor="text1"/>
          <w:sz w:val="22"/>
          <w:szCs w:val="22"/>
        </w:rPr>
        <w:t xml:space="preserve">Please update the Committee on findings and progress toward implementing recommendations from the </w:t>
      </w:r>
      <w:r w:rsidRPr="00EA5F6A">
        <w:rPr>
          <w:rFonts w:ascii="Calibri" w:hAnsi="Calibri"/>
          <w:i/>
          <w:color w:val="000000" w:themeColor="text1"/>
          <w:sz w:val="22"/>
          <w:szCs w:val="22"/>
        </w:rPr>
        <w:t>‘Willing to Work’</w:t>
      </w:r>
      <w:r w:rsidRPr="00EA5F6A">
        <w:rPr>
          <w:rFonts w:ascii="Calibri" w:hAnsi="Calibri"/>
          <w:color w:val="000000" w:themeColor="text1"/>
          <w:sz w:val="22"/>
          <w:szCs w:val="22"/>
        </w:rPr>
        <w:t xml:space="preserve"> Inquiry.</w:t>
      </w:r>
      <w:r w:rsidRPr="00EA5F6A">
        <w:rPr>
          <w:rStyle w:val="EndnoteReference"/>
          <w:rFonts w:ascii="Calibri" w:hAnsi="Calibri"/>
          <w:color w:val="000000" w:themeColor="text1"/>
          <w:sz w:val="22"/>
          <w:szCs w:val="22"/>
        </w:rPr>
        <w:endnoteReference w:id="17"/>
      </w:r>
    </w:p>
    <w:p w14:paraId="5A0535D6" w14:textId="77777777" w:rsidR="00EA5F6A" w:rsidRDefault="00EA5F6A" w:rsidP="00EA5F6A">
      <w:pPr>
        <w:spacing w:line="276" w:lineRule="auto"/>
        <w:jc w:val="both"/>
        <w:rPr>
          <w:rFonts w:ascii="Calibri" w:hAnsi="Calibri"/>
          <w:color w:val="000000" w:themeColor="text1"/>
          <w:sz w:val="22"/>
          <w:szCs w:val="22"/>
        </w:rPr>
      </w:pPr>
    </w:p>
    <w:p w14:paraId="235691E6" w14:textId="77777777" w:rsidR="00EA23D0" w:rsidRPr="00EA5F6A" w:rsidRDefault="00EA23D0" w:rsidP="00EA5F6A">
      <w:pPr>
        <w:spacing w:line="276" w:lineRule="auto"/>
        <w:jc w:val="both"/>
        <w:rPr>
          <w:rFonts w:ascii="Calibri" w:hAnsi="Calibri"/>
          <w:color w:val="000000" w:themeColor="text1"/>
          <w:sz w:val="22"/>
          <w:szCs w:val="22"/>
        </w:rPr>
      </w:pPr>
    </w:p>
    <w:p w14:paraId="154707A2" w14:textId="77777777" w:rsidR="00A50622" w:rsidRPr="00672A23" w:rsidRDefault="00A50622"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672A23">
        <w:rPr>
          <w:rFonts w:ascii="Calibri" w:hAnsi="Calibri"/>
          <w:b/>
          <w:color w:val="2E74B5" w:themeColor="accent1" w:themeShade="BF"/>
          <w:sz w:val="28"/>
          <w:szCs w:val="28"/>
          <w:lang w:val="en-AU"/>
        </w:rPr>
        <w:t>Endnotes</w:t>
      </w:r>
    </w:p>
    <w:p w14:paraId="63343043" w14:textId="77777777" w:rsidR="00A50622" w:rsidRDefault="00A50622" w:rsidP="00A50622">
      <w:pPr>
        <w:spacing w:line="276" w:lineRule="auto"/>
      </w:pPr>
    </w:p>
    <w:sectPr w:rsidR="00A50622" w:rsidSect="00A838B0">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1817" w14:textId="77777777" w:rsidR="00395FC5" w:rsidRDefault="00395FC5" w:rsidP="000107BF">
      <w:r>
        <w:separator/>
      </w:r>
    </w:p>
  </w:endnote>
  <w:endnote w:type="continuationSeparator" w:id="0">
    <w:p w14:paraId="2E844FCB" w14:textId="77777777" w:rsidR="00395FC5" w:rsidRDefault="00395FC5" w:rsidP="000107BF">
      <w:r>
        <w:continuationSeparator/>
      </w:r>
    </w:p>
  </w:endnote>
  <w:endnote w:id="1">
    <w:p w14:paraId="4A3CEABD" w14:textId="6DA40549" w:rsidR="00395FC5" w:rsidRPr="002E401B" w:rsidRDefault="00395FC5" w:rsidP="00EA5F6A">
      <w:pPr>
        <w:pStyle w:val="EndnoteText"/>
        <w:rPr>
          <w:rFonts w:asciiTheme="minorHAnsi" w:hAnsiTheme="minorHAnsi" w:cstheme="minorHAnsi"/>
          <w:color w:val="000000" w:themeColor="text1"/>
          <w:sz w:val="16"/>
          <w:szCs w:val="16"/>
        </w:rPr>
      </w:pPr>
      <w:r w:rsidRPr="002E401B">
        <w:rPr>
          <w:rStyle w:val="EndnoteReference"/>
          <w:rFonts w:asciiTheme="minorHAnsi" w:hAnsiTheme="minorHAnsi" w:cstheme="minorHAnsi"/>
          <w:color w:val="000000" w:themeColor="text1"/>
          <w:sz w:val="16"/>
          <w:szCs w:val="16"/>
        </w:rPr>
        <w:endnoteRef/>
      </w:r>
      <w:r w:rsidRPr="002E401B">
        <w:rPr>
          <w:rFonts w:asciiTheme="minorHAnsi" w:hAnsiTheme="minorHAnsi" w:cstheme="minorHAnsi"/>
          <w:color w:val="000000" w:themeColor="text1"/>
          <w:sz w:val="16"/>
          <w:szCs w:val="16"/>
        </w:rPr>
        <w:t xml:space="preserve"> In Australia, the unemployment rate for people with disability is 10%, nearly twice the rate than for people without disability (5.3%). See: Australian Bureau of Statistics (ABS), 4433.0.55.006 - </w:t>
      </w:r>
      <w:r w:rsidRPr="002E401B">
        <w:rPr>
          <w:rFonts w:asciiTheme="minorHAnsi" w:hAnsiTheme="minorHAnsi" w:cstheme="minorHAnsi"/>
          <w:i/>
          <w:color w:val="000000" w:themeColor="text1"/>
          <w:sz w:val="16"/>
          <w:szCs w:val="16"/>
        </w:rPr>
        <w:t>Disability and Labour Force Participation</w:t>
      </w:r>
      <w:r w:rsidRPr="002E401B">
        <w:rPr>
          <w:rFonts w:asciiTheme="minorHAnsi" w:hAnsiTheme="minorHAnsi" w:cstheme="minorHAnsi"/>
          <w:color w:val="000000" w:themeColor="text1"/>
          <w:sz w:val="16"/>
          <w:szCs w:val="16"/>
        </w:rPr>
        <w:t xml:space="preserve">, 2012. See also: Australian Human Rights Commission (2016), </w:t>
      </w:r>
      <w:r w:rsidRPr="002E401B">
        <w:rPr>
          <w:rFonts w:asciiTheme="minorHAnsi" w:hAnsiTheme="minorHAnsi" w:cstheme="minorHAnsi"/>
          <w:i/>
          <w:color w:val="000000" w:themeColor="text1"/>
          <w:sz w:val="16"/>
          <w:szCs w:val="16"/>
        </w:rPr>
        <w:t>Willing to Work: National Inquiry into Employment Discrimination Against Older Australians and Australians with Disability</w:t>
      </w:r>
      <w:r w:rsidRPr="002E401B">
        <w:rPr>
          <w:rFonts w:asciiTheme="minorHAnsi" w:hAnsiTheme="minorHAnsi" w:cstheme="minorHAnsi"/>
          <w:color w:val="000000" w:themeColor="text1"/>
          <w:sz w:val="16"/>
          <w:szCs w:val="16"/>
        </w:rPr>
        <w:t xml:space="preserve">; ISBN 978-1-921449-76-5. Available at: </w:t>
      </w:r>
      <w:hyperlink r:id="rId1" w:history="1">
        <w:r w:rsidRPr="002E401B">
          <w:rPr>
            <w:rStyle w:val="Hyperlink"/>
            <w:rFonts w:asciiTheme="minorHAnsi" w:hAnsiTheme="minorHAnsi" w:cstheme="minorHAnsi"/>
            <w:color w:val="000000" w:themeColor="text1"/>
            <w:sz w:val="16"/>
            <w:szCs w:val="16"/>
          </w:rPr>
          <w:t>https://www.humanrights.gov.au/sites/default/files/document/publication/WTW_2016_Full_Report_AHRC_ac.pdf</w:t>
        </w:r>
      </w:hyperlink>
      <w:r w:rsidRPr="002E401B">
        <w:rPr>
          <w:rFonts w:asciiTheme="minorHAnsi" w:hAnsiTheme="minorHAnsi" w:cstheme="minorHAnsi"/>
          <w:color w:val="000000" w:themeColor="text1"/>
          <w:sz w:val="16"/>
          <w:szCs w:val="16"/>
        </w:rPr>
        <w:t xml:space="preserve">  </w:t>
      </w:r>
    </w:p>
  </w:endnote>
  <w:endnote w:id="2">
    <w:p w14:paraId="1E820837" w14:textId="6833108B" w:rsidR="00395FC5" w:rsidRPr="002E401B" w:rsidRDefault="00395FC5" w:rsidP="00EA5F6A">
      <w:pPr>
        <w:pStyle w:val="EndnoteText"/>
        <w:rPr>
          <w:rFonts w:asciiTheme="minorHAnsi" w:hAnsiTheme="minorHAnsi" w:cstheme="minorHAnsi"/>
          <w:color w:val="000000" w:themeColor="text1"/>
          <w:sz w:val="16"/>
          <w:szCs w:val="16"/>
        </w:rPr>
      </w:pPr>
      <w:r w:rsidRPr="002E401B">
        <w:rPr>
          <w:rStyle w:val="EndnoteReference"/>
          <w:rFonts w:asciiTheme="minorHAnsi" w:hAnsiTheme="minorHAnsi" w:cstheme="minorHAnsi"/>
          <w:color w:val="000000" w:themeColor="text1"/>
          <w:sz w:val="16"/>
          <w:szCs w:val="16"/>
        </w:rPr>
        <w:endnoteRef/>
      </w:r>
      <w:r w:rsidRPr="002E401B">
        <w:rPr>
          <w:rFonts w:asciiTheme="minorHAnsi" w:hAnsiTheme="minorHAnsi" w:cstheme="minorHAnsi"/>
          <w:color w:val="000000" w:themeColor="text1"/>
          <w:sz w:val="16"/>
          <w:szCs w:val="16"/>
        </w:rPr>
        <w:t xml:space="preserve"> The Organisation for Economic Co-operation and Development (OECD), </w:t>
      </w:r>
      <w:hyperlink r:id="rId2" w:history="1">
        <w:r w:rsidRPr="002E401B">
          <w:rPr>
            <w:rStyle w:val="Hyperlink"/>
            <w:rFonts w:asciiTheme="minorHAnsi" w:hAnsiTheme="minorHAnsi" w:cstheme="minorHAnsi"/>
            <w:color w:val="000000" w:themeColor="text1"/>
            <w:sz w:val="16"/>
            <w:szCs w:val="16"/>
          </w:rPr>
          <w:t>http://www.oecd.org/</w:t>
        </w:r>
      </w:hyperlink>
      <w:r w:rsidRPr="002E401B">
        <w:rPr>
          <w:rFonts w:asciiTheme="minorHAnsi" w:hAnsiTheme="minorHAnsi" w:cstheme="minorHAnsi"/>
          <w:color w:val="000000" w:themeColor="text1"/>
          <w:sz w:val="16"/>
          <w:szCs w:val="16"/>
        </w:rPr>
        <w:t xml:space="preserve"> </w:t>
      </w:r>
    </w:p>
  </w:endnote>
  <w:endnote w:id="3">
    <w:p w14:paraId="2811AF6C" w14:textId="355A89E9" w:rsidR="00395FC5" w:rsidRPr="002E401B"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w:t>
      </w:r>
      <w:r w:rsidRPr="002E401B">
        <w:rPr>
          <w:rFonts w:asciiTheme="minorHAnsi" w:hAnsiTheme="minorHAnsi" w:cstheme="minorHAnsi"/>
          <w:color w:val="000000" w:themeColor="text1"/>
          <w:sz w:val="16"/>
          <w:szCs w:val="16"/>
        </w:rPr>
        <w:t xml:space="preserve">See for eg: Price Waterhouse Coopers (PWC) (2011) </w:t>
      </w:r>
      <w:r w:rsidRPr="002E401B">
        <w:rPr>
          <w:rFonts w:asciiTheme="minorHAnsi" w:hAnsiTheme="minorHAnsi" w:cstheme="minorHAnsi"/>
          <w:i/>
          <w:color w:val="000000" w:themeColor="text1"/>
          <w:sz w:val="16"/>
          <w:szCs w:val="16"/>
        </w:rPr>
        <w:t>Disability expectations: Investing in a better life, a stronger Australia</w:t>
      </w:r>
      <w:r w:rsidRPr="002E401B">
        <w:rPr>
          <w:rFonts w:asciiTheme="minorHAnsi" w:hAnsiTheme="minorHAnsi" w:cstheme="minorHAnsi"/>
          <w:color w:val="000000" w:themeColor="text1"/>
          <w:sz w:val="16"/>
          <w:szCs w:val="16"/>
        </w:rPr>
        <w:t xml:space="preserve">; accessed online at: </w:t>
      </w:r>
      <w:hyperlink r:id="rId3" w:history="1">
        <w:r w:rsidRPr="002E401B">
          <w:rPr>
            <w:rStyle w:val="Hyperlink"/>
            <w:rFonts w:asciiTheme="minorHAnsi" w:hAnsiTheme="minorHAnsi" w:cstheme="minorHAnsi"/>
            <w:sz w:val="16"/>
            <w:szCs w:val="16"/>
          </w:rPr>
          <w:t>https://www.pwc.com.au/industry/government/assets/disability-in-australia.pdf</w:t>
        </w:r>
      </w:hyperlink>
      <w:r w:rsidRPr="002E401B">
        <w:rPr>
          <w:rFonts w:asciiTheme="minorHAnsi" w:hAnsiTheme="minorHAnsi" w:cstheme="minorHAnsi"/>
          <w:color w:val="000000" w:themeColor="text1"/>
          <w:sz w:val="16"/>
          <w:szCs w:val="16"/>
        </w:rPr>
        <w:t>.</w:t>
      </w:r>
    </w:p>
  </w:endnote>
  <w:endnote w:id="4">
    <w:p w14:paraId="7D81F088" w14:textId="47A4856F" w:rsidR="00395FC5" w:rsidRPr="002E401B" w:rsidRDefault="00395FC5" w:rsidP="00EA5F6A">
      <w:pPr>
        <w:pStyle w:val="EndnoteText"/>
        <w:rPr>
          <w:rFonts w:asciiTheme="minorHAnsi" w:hAnsiTheme="minorHAnsi" w:cstheme="minorHAnsi"/>
          <w:color w:val="000000" w:themeColor="text1"/>
          <w:sz w:val="16"/>
          <w:szCs w:val="16"/>
        </w:rPr>
      </w:pPr>
      <w:r w:rsidRPr="002E401B">
        <w:rPr>
          <w:rStyle w:val="EndnoteReference"/>
          <w:rFonts w:asciiTheme="minorHAnsi" w:hAnsiTheme="minorHAnsi" w:cstheme="minorHAnsi"/>
          <w:color w:val="000000" w:themeColor="text1"/>
          <w:sz w:val="16"/>
          <w:szCs w:val="16"/>
        </w:rPr>
        <w:endnoteRef/>
      </w:r>
      <w:r w:rsidRPr="002E401B">
        <w:rPr>
          <w:rFonts w:asciiTheme="minorHAnsi" w:hAnsiTheme="minorHAnsi" w:cstheme="minorHAnsi"/>
          <w:color w:val="000000" w:themeColor="text1"/>
          <w:sz w:val="16"/>
          <w:szCs w:val="16"/>
        </w:rPr>
        <w:t xml:space="preserve"> See for eg: Price Waterhouse Coopers (PWC) (2011) </w:t>
      </w:r>
      <w:r w:rsidRPr="002E401B">
        <w:rPr>
          <w:rFonts w:asciiTheme="minorHAnsi" w:hAnsiTheme="minorHAnsi" w:cstheme="minorHAnsi"/>
          <w:i/>
          <w:color w:val="000000" w:themeColor="text1"/>
          <w:sz w:val="16"/>
          <w:szCs w:val="16"/>
        </w:rPr>
        <w:t>Disability expectations: Investing in a better life, a stronger Australia</w:t>
      </w:r>
      <w:r w:rsidRPr="002E401B">
        <w:rPr>
          <w:rFonts w:asciiTheme="minorHAnsi" w:hAnsiTheme="minorHAnsi" w:cstheme="minorHAnsi"/>
          <w:color w:val="000000" w:themeColor="text1"/>
          <w:sz w:val="16"/>
          <w:szCs w:val="16"/>
        </w:rPr>
        <w:t xml:space="preserve">; accessed online at: </w:t>
      </w:r>
      <w:hyperlink r:id="rId4" w:history="1">
        <w:r w:rsidRPr="002E401B">
          <w:rPr>
            <w:rStyle w:val="Hyperlink"/>
            <w:rFonts w:asciiTheme="minorHAnsi" w:hAnsiTheme="minorHAnsi" w:cstheme="minorHAnsi"/>
            <w:sz w:val="16"/>
            <w:szCs w:val="16"/>
          </w:rPr>
          <w:t>https://www.pwc.com.au/industry/government/assets/disability-in-australia.pdf</w:t>
        </w:r>
      </w:hyperlink>
      <w:r w:rsidRPr="002E401B">
        <w:rPr>
          <w:rFonts w:asciiTheme="minorHAnsi" w:hAnsiTheme="minorHAnsi" w:cstheme="minorHAnsi"/>
          <w:color w:val="000000" w:themeColor="text1"/>
          <w:sz w:val="16"/>
          <w:szCs w:val="16"/>
        </w:rPr>
        <w:t xml:space="preserve">.  See also: Australian Bureau of Statistics (ABS), 4433.0.55.006, OpCit. See also: Australian Bureau of Statistics (ABS), 4446.0 - Disability, Australia, 2009. See also: Australian Human Rights Commission (2016), OpCit., Frohmader, C. (2014) </w:t>
      </w:r>
      <w:r w:rsidRPr="002E401B">
        <w:rPr>
          <w:rFonts w:asciiTheme="minorHAnsi" w:hAnsiTheme="minorHAnsi" w:cstheme="minorHAnsi"/>
          <w:i/>
          <w:color w:val="000000" w:themeColor="text1"/>
          <w:sz w:val="16"/>
          <w:szCs w:val="16"/>
        </w:rPr>
        <w:t>‘Gender Blind, Gender Neutral’: The effectiveness of the National Disability Strategy in improving the lives of women and girls with disabilities.</w:t>
      </w:r>
      <w:r w:rsidRPr="002E401B">
        <w:rPr>
          <w:rFonts w:asciiTheme="minorHAnsi" w:hAnsiTheme="minorHAnsi" w:cstheme="minorHAnsi"/>
          <w:color w:val="000000" w:themeColor="text1"/>
          <w:sz w:val="16"/>
          <w:szCs w:val="16"/>
        </w:rPr>
        <w:t xml:space="preserve"> Prepared for Women With Disabilities Australia (WWDA), Hobart, Tasmania. ISBN: 978-0-9585268-2-1, Available at: </w:t>
      </w:r>
      <w:hyperlink r:id="rId5" w:history="1">
        <w:r w:rsidRPr="002E401B">
          <w:rPr>
            <w:rStyle w:val="Hyperlink"/>
            <w:rFonts w:asciiTheme="minorHAnsi" w:hAnsiTheme="minorHAnsi" w:cstheme="minorHAnsi"/>
            <w:color w:val="000000" w:themeColor="text1"/>
            <w:sz w:val="16"/>
            <w:szCs w:val="16"/>
          </w:rPr>
          <w:t>http://wwda.org.au/wp-content/uploads/2013/12/WWDA_Sub_NDS_Review2014.pdf</w:t>
        </w:r>
      </w:hyperlink>
    </w:p>
  </w:endnote>
  <w:endnote w:id="5">
    <w:p w14:paraId="6F2C7152" w14:textId="2582012B" w:rsidR="00395FC5" w:rsidRPr="002E401B"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Cited in: Women with Disabilities Australia (WWDA) (2017) </w:t>
      </w:r>
      <w:r w:rsidRPr="002E401B">
        <w:rPr>
          <w:rFonts w:asciiTheme="minorHAnsi" w:hAnsiTheme="minorHAnsi" w:cstheme="minorHAnsi"/>
          <w:i/>
          <w:sz w:val="16"/>
          <w:szCs w:val="16"/>
        </w:rPr>
        <w:t>Position Statement 5: The Right to Work and to Social Protection</w:t>
      </w:r>
      <w:r w:rsidRPr="002E401B">
        <w:rPr>
          <w:rFonts w:asciiTheme="minorHAnsi" w:hAnsiTheme="minorHAnsi" w:cstheme="minorHAnsi"/>
          <w:sz w:val="16"/>
          <w:szCs w:val="16"/>
        </w:rPr>
        <w:t xml:space="preserve">. (forthcoming). </w:t>
      </w:r>
    </w:p>
  </w:endnote>
  <w:endnote w:id="6">
    <w:p w14:paraId="17043DF8" w14:textId="0EDC211A" w:rsidR="00395FC5" w:rsidRPr="002E401B"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w:t>
      </w:r>
      <w:r w:rsidRPr="002E401B">
        <w:rPr>
          <w:rFonts w:asciiTheme="minorHAnsi" w:eastAsia="Times New Roman" w:hAnsiTheme="minorHAnsi" w:cstheme="minorHAnsi"/>
          <w:color w:val="000000"/>
          <w:sz w:val="16"/>
          <w:szCs w:val="16"/>
        </w:rPr>
        <w:t>Ibid.</w:t>
      </w:r>
    </w:p>
  </w:endnote>
  <w:endnote w:id="7">
    <w:p w14:paraId="76307A87" w14:textId="421D18DF" w:rsidR="00395FC5" w:rsidRPr="002E401B"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Ibid. See also: </w:t>
      </w:r>
      <w:r w:rsidRPr="002E401B">
        <w:rPr>
          <w:rFonts w:asciiTheme="minorHAnsi" w:hAnsiTheme="minorHAnsi" w:cstheme="minorHAnsi"/>
          <w:color w:val="000000" w:themeColor="text1"/>
          <w:sz w:val="16"/>
          <w:szCs w:val="16"/>
        </w:rPr>
        <w:t>Australian Human Rights Commission (2016), OpCit.</w:t>
      </w:r>
    </w:p>
  </w:endnote>
  <w:endnote w:id="8">
    <w:p w14:paraId="18720578" w14:textId="2ECEF426" w:rsidR="00395FC5" w:rsidRPr="002E401B"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Ibid.</w:t>
      </w:r>
    </w:p>
  </w:endnote>
  <w:endnote w:id="9">
    <w:p w14:paraId="0F8F4BD0" w14:textId="4C27C383" w:rsidR="00395FC5" w:rsidRPr="002E401B"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w:t>
      </w:r>
      <w:r w:rsidRPr="002E401B">
        <w:rPr>
          <w:rFonts w:asciiTheme="minorHAnsi" w:hAnsiTheme="minorHAnsi" w:cstheme="minorHAnsi"/>
          <w:color w:val="000000" w:themeColor="text1"/>
          <w:sz w:val="16"/>
          <w:szCs w:val="16"/>
        </w:rPr>
        <w:t xml:space="preserve">Australian Human Rights Commission (2016), </w:t>
      </w:r>
      <w:r w:rsidRPr="002E401B">
        <w:rPr>
          <w:rFonts w:asciiTheme="minorHAnsi" w:hAnsiTheme="minorHAnsi" w:cstheme="minorHAnsi"/>
          <w:i/>
          <w:color w:val="000000" w:themeColor="text1"/>
          <w:sz w:val="16"/>
          <w:szCs w:val="16"/>
        </w:rPr>
        <w:t>Willing to Work: National Inquiry into Employment Discrimination Against Older Australians and Australians with Disability</w:t>
      </w:r>
      <w:r w:rsidRPr="002E401B">
        <w:rPr>
          <w:rFonts w:asciiTheme="minorHAnsi" w:hAnsiTheme="minorHAnsi" w:cstheme="minorHAnsi"/>
          <w:color w:val="000000" w:themeColor="text1"/>
          <w:sz w:val="16"/>
          <w:szCs w:val="16"/>
        </w:rPr>
        <w:t xml:space="preserve">; ISBN 978-1-921449-76-5. Available at: </w:t>
      </w:r>
      <w:hyperlink r:id="rId6" w:history="1">
        <w:r w:rsidRPr="002E401B">
          <w:rPr>
            <w:rStyle w:val="Hyperlink"/>
            <w:rFonts w:asciiTheme="minorHAnsi" w:hAnsiTheme="minorHAnsi" w:cstheme="minorHAnsi"/>
            <w:color w:val="000000" w:themeColor="text1"/>
            <w:sz w:val="16"/>
            <w:szCs w:val="16"/>
          </w:rPr>
          <w:t>https://www.humanrights.gov.au/sites/default/files/document/publication/WTW_2016_Full_Report_AHRC_ac.pdf</w:t>
        </w:r>
      </w:hyperlink>
      <w:r w:rsidRPr="002E401B">
        <w:rPr>
          <w:rFonts w:asciiTheme="minorHAnsi" w:hAnsiTheme="minorHAnsi" w:cstheme="minorHAnsi"/>
          <w:color w:val="000000" w:themeColor="text1"/>
          <w:sz w:val="16"/>
          <w:szCs w:val="16"/>
        </w:rPr>
        <w:t xml:space="preserve">  </w:t>
      </w:r>
    </w:p>
  </w:endnote>
  <w:endnote w:id="10">
    <w:p w14:paraId="78F133FB" w14:textId="197D874B" w:rsidR="002E01D4" w:rsidRPr="002E401B" w:rsidRDefault="002E01D4">
      <w:pPr>
        <w:pStyle w:val="EndnoteText"/>
        <w:rPr>
          <w:rFonts w:asciiTheme="minorHAnsi" w:hAnsiTheme="minorHAnsi" w:cstheme="minorHAnsi"/>
          <w:sz w:val="16"/>
          <w:szCs w:val="16"/>
          <w:lang w:val="en-AU"/>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w:t>
      </w:r>
      <w:r w:rsidRPr="002E401B">
        <w:rPr>
          <w:rFonts w:asciiTheme="minorHAnsi" w:hAnsiTheme="minorHAnsi" w:cstheme="minorHAnsi"/>
          <w:sz w:val="16"/>
          <w:szCs w:val="16"/>
          <w:lang w:val="en-AU"/>
        </w:rPr>
        <w:t>Australian Cross Disability Alliance, ‘Election Policy Platform: Building a Disability Inclusive Australia”, June 2016, p.8.</w:t>
      </w:r>
    </w:p>
  </w:endnote>
  <w:endnote w:id="11">
    <w:p w14:paraId="2FC532D9" w14:textId="6BA1B327" w:rsidR="00395FC5" w:rsidRPr="002E401B"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Disability Employment Services (DES) providers are a mix of large, medium and small, for-profit and not-for-profit organisations that support people with disability as well as provide assistance to employers to put in place practices that support the employee in the workplace. DES has two parts: </w:t>
      </w:r>
      <w:r w:rsidRPr="002E401B">
        <w:rPr>
          <w:rFonts w:asciiTheme="minorHAnsi" w:hAnsiTheme="minorHAnsi" w:cstheme="minorHAnsi"/>
          <w:i/>
          <w:sz w:val="16"/>
          <w:szCs w:val="16"/>
        </w:rPr>
        <w:t>Disability Management Service</w:t>
      </w:r>
      <w:r w:rsidRPr="002E401B">
        <w:rPr>
          <w:rFonts w:asciiTheme="minorHAnsi" w:hAnsiTheme="minorHAnsi" w:cstheme="minorHAnsi"/>
          <w:sz w:val="16"/>
          <w:szCs w:val="16"/>
        </w:rPr>
        <w:t xml:space="preserve"> is for job seekers with disability, injury or health condition who need assistance to find a job and occasional support to keep a job. </w:t>
      </w:r>
      <w:r w:rsidRPr="002E401B">
        <w:rPr>
          <w:rFonts w:asciiTheme="minorHAnsi" w:hAnsiTheme="minorHAnsi" w:cstheme="minorHAnsi"/>
          <w:i/>
          <w:sz w:val="16"/>
          <w:szCs w:val="16"/>
        </w:rPr>
        <w:t>Employment Support Service</w:t>
      </w:r>
      <w:r w:rsidRPr="002E401B">
        <w:rPr>
          <w:rFonts w:asciiTheme="minorHAnsi" w:hAnsiTheme="minorHAnsi" w:cstheme="minorHAnsi"/>
          <w:sz w:val="16"/>
          <w:szCs w:val="16"/>
        </w:rPr>
        <w:t xml:space="preserve"> provides assistance to people with permanent disability and who need regular, ongoing support to keep a job. See: </w:t>
      </w:r>
      <w:hyperlink r:id="rId7" w:history="1">
        <w:r w:rsidRPr="002E401B">
          <w:rPr>
            <w:rStyle w:val="Hyperlink"/>
            <w:rFonts w:asciiTheme="minorHAnsi" w:hAnsiTheme="minorHAnsi" w:cstheme="minorHAnsi"/>
            <w:sz w:val="16"/>
            <w:szCs w:val="16"/>
          </w:rPr>
          <w:t>https://www.dss.gov.au/our-responsibilities/disability-and-carers/programmes-services/disability-employment-services</w:t>
        </w:r>
      </w:hyperlink>
      <w:r w:rsidRPr="002E401B">
        <w:rPr>
          <w:rFonts w:asciiTheme="minorHAnsi" w:hAnsiTheme="minorHAnsi" w:cstheme="minorHAnsi"/>
          <w:sz w:val="16"/>
          <w:szCs w:val="16"/>
        </w:rPr>
        <w:t xml:space="preserve"> </w:t>
      </w:r>
    </w:p>
  </w:endnote>
  <w:endnote w:id="12">
    <w:p w14:paraId="4279435E" w14:textId="3BC6DDA5" w:rsidR="002E401B" w:rsidRPr="002E401B" w:rsidRDefault="002E401B">
      <w:pPr>
        <w:pStyle w:val="EndnoteText"/>
        <w:rPr>
          <w:rFonts w:asciiTheme="minorHAnsi" w:hAnsiTheme="minorHAnsi" w:cstheme="minorHAnsi"/>
          <w:sz w:val="16"/>
          <w:szCs w:val="16"/>
          <w:lang w:val="en-AU"/>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Disabled People’s Organisations Australia, ‘Submission to the Department of the Treasury – Priorities for the 2017/2018 Federal Budget’, January 2017, p. 10. </w:t>
      </w:r>
    </w:p>
  </w:endnote>
  <w:endnote w:id="13">
    <w:p w14:paraId="227D8010" w14:textId="77777777" w:rsidR="00395FC5" w:rsidRPr="002E401B" w:rsidRDefault="00395FC5" w:rsidP="00EA5F6A">
      <w:pPr>
        <w:pStyle w:val="EndnoteText"/>
        <w:rPr>
          <w:rFonts w:asciiTheme="minorHAnsi" w:hAnsiTheme="minorHAnsi" w:cstheme="minorHAnsi"/>
          <w:color w:val="000000" w:themeColor="text1"/>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w:t>
      </w:r>
      <w:r w:rsidRPr="002E401B">
        <w:rPr>
          <w:rFonts w:asciiTheme="minorHAnsi" w:hAnsiTheme="minorHAnsi" w:cstheme="minorHAnsi"/>
          <w:color w:val="000000" w:themeColor="text1"/>
          <w:sz w:val="16"/>
          <w:szCs w:val="16"/>
        </w:rPr>
        <w:t xml:space="preserve">See: </w:t>
      </w:r>
      <w:hyperlink r:id="rId8" w:history="1">
        <w:r w:rsidRPr="002E401B">
          <w:rPr>
            <w:rStyle w:val="Hyperlink"/>
            <w:rFonts w:asciiTheme="minorHAnsi" w:hAnsiTheme="minorHAnsi" w:cstheme="minorHAnsi"/>
            <w:color w:val="000000" w:themeColor="text1"/>
            <w:sz w:val="16"/>
            <w:szCs w:val="16"/>
          </w:rPr>
          <w:t>https://www.dss.gov.au/our-responsibilities/disability-and-carers/programmes-services/for-people-with-disability/bswat-payment-scheme/questions-and-answers-bswat-payment-scheme</w:t>
        </w:r>
      </w:hyperlink>
    </w:p>
  </w:endnote>
  <w:endnote w:id="14">
    <w:p w14:paraId="4F345D0B" w14:textId="6A497966" w:rsidR="00395FC5" w:rsidRPr="002E401B" w:rsidRDefault="00395FC5" w:rsidP="00EA5F6A">
      <w:pPr>
        <w:pStyle w:val="EndnoteText"/>
        <w:rPr>
          <w:rFonts w:asciiTheme="minorHAnsi" w:hAnsiTheme="minorHAnsi" w:cstheme="minorHAnsi"/>
          <w:color w:val="000000" w:themeColor="text1"/>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w:t>
      </w:r>
      <w:r w:rsidRPr="002E401B">
        <w:rPr>
          <w:rFonts w:asciiTheme="minorHAnsi" w:hAnsiTheme="minorHAnsi" w:cstheme="minorHAnsi"/>
          <w:color w:val="000000" w:themeColor="text1"/>
          <w:sz w:val="16"/>
          <w:szCs w:val="16"/>
        </w:rPr>
        <w:t>Ibid.</w:t>
      </w:r>
    </w:p>
  </w:endnote>
  <w:endnote w:id="15">
    <w:p w14:paraId="7764695F" w14:textId="5A9AE934" w:rsidR="002E401B" w:rsidRPr="002E401B" w:rsidRDefault="002E401B">
      <w:pPr>
        <w:pStyle w:val="EndnoteText"/>
        <w:rPr>
          <w:rFonts w:asciiTheme="minorHAnsi" w:hAnsiTheme="minorHAnsi" w:cstheme="minorHAnsi"/>
          <w:sz w:val="16"/>
          <w:szCs w:val="16"/>
          <w:lang w:val="en-AU"/>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w:t>
      </w:r>
      <w:r>
        <w:rPr>
          <w:rFonts w:asciiTheme="minorHAnsi" w:hAnsiTheme="minorHAnsi" w:cstheme="minorHAnsi"/>
          <w:sz w:val="16"/>
          <w:szCs w:val="16"/>
        </w:rPr>
        <w:t xml:space="preserve">Committee on the Rights of Person s with Disabilities, </w:t>
      </w:r>
      <w:r>
        <w:rPr>
          <w:rFonts w:asciiTheme="minorHAnsi" w:hAnsiTheme="minorHAnsi" w:cstheme="minorHAnsi"/>
          <w:i/>
          <w:sz w:val="16"/>
          <w:szCs w:val="16"/>
        </w:rPr>
        <w:t xml:space="preserve">Concluding observations on the initial report of Australia, adopted by the Committee at its tenth session (2-13 September 2013), </w:t>
      </w:r>
      <w:r>
        <w:rPr>
          <w:rFonts w:asciiTheme="minorHAnsi" w:hAnsiTheme="minorHAnsi" w:cstheme="minorHAnsi"/>
          <w:sz w:val="16"/>
          <w:szCs w:val="16"/>
        </w:rPr>
        <w:t xml:space="preserve">UN Doc CRPD/C/AUS/CO/1, paras </w:t>
      </w:r>
      <w:r w:rsidR="00735E38">
        <w:rPr>
          <w:rFonts w:asciiTheme="minorHAnsi" w:hAnsiTheme="minorHAnsi" w:cstheme="minorHAnsi"/>
          <w:sz w:val="16"/>
          <w:szCs w:val="16"/>
        </w:rPr>
        <w:t xml:space="preserve">49-50. </w:t>
      </w:r>
    </w:p>
  </w:endnote>
  <w:endnote w:id="16">
    <w:p w14:paraId="6D5FB53B" w14:textId="34180456" w:rsidR="00395FC5" w:rsidRPr="002E01D4" w:rsidRDefault="00395FC5" w:rsidP="00EA5F6A">
      <w:pPr>
        <w:pStyle w:val="EndnoteText"/>
        <w:rPr>
          <w:rFonts w:asciiTheme="minorHAnsi" w:hAnsiTheme="minorHAnsi" w:cstheme="minorHAnsi"/>
          <w:sz w:val="16"/>
          <w:szCs w:val="16"/>
        </w:rPr>
      </w:pPr>
      <w:r w:rsidRPr="002E401B">
        <w:rPr>
          <w:rStyle w:val="EndnoteReference"/>
          <w:rFonts w:asciiTheme="minorHAnsi" w:hAnsiTheme="minorHAnsi" w:cstheme="minorHAnsi"/>
          <w:sz w:val="16"/>
          <w:szCs w:val="16"/>
        </w:rPr>
        <w:endnoteRef/>
      </w:r>
      <w:r w:rsidRPr="002E401B">
        <w:rPr>
          <w:rFonts w:asciiTheme="minorHAnsi" w:hAnsiTheme="minorHAnsi" w:cstheme="minorHAnsi"/>
          <w:sz w:val="16"/>
          <w:szCs w:val="16"/>
        </w:rPr>
        <w:t xml:space="preserve"> Through ICESCR General Comment 23, the CESCR Committee has clarified that: </w:t>
      </w:r>
      <w:r w:rsidRPr="002E401B">
        <w:rPr>
          <w:rFonts w:asciiTheme="minorHAnsi" w:hAnsiTheme="minorHAnsi" w:cstheme="minorHAnsi"/>
          <w:i/>
          <w:sz w:val="16"/>
          <w:szCs w:val="16"/>
        </w:rPr>
        <w:t>“At times, workers with disabilities require specific measures to enjoy the right to just and favourable conditions of work on an equal basis with others. Workers with disabilities should not be segregated in sheltered workshops. They should benefit from an accessible work environment and must not be denied reasonable accommodation, like workplace</w:t>
      </w:r>
      <w:r w:rsidRPr="002E01D4">
        <w:rPr>
          <w:rFonts w:asciiTheme="minorHAnsi" w:hAnsiTheme="minorHAnsi" w:cstheme="minorHAnsi"/>
          <w:i/>
          <w:sz w:val="16"/>
          <w:szCs w:val="16"/>
        </w:rPr>
        <w:t xml:space="preserve"> adjustments or flexible working arrangements. They should also enjoy equal remuneration for work of equal value and must not suffer wage discrimination due to a perceived reduced capacity for work.”</w:t>
      </w:r>
    </w:p>
  </w:endnote>
  <w:endnote w:id="17">
    <w:p w14:paraId="1D02B40F" w14:textId="5E9877AA" w:rsidR="00EA5F6A" w:rsidRPr="002E01D4" w:rsidRDefault="00EA5F6A" w:rsidP="00EA5F6A">
      <w:pPr>
        <w:pStyle w:val="EndnoteText"/>
        <w:rPr>
          <w:rFonts w:asciiTheme="minorHAnsi" w:hAnsiTheme="minorHAnsi" w:cstheme="minorHAnsi"/>
          <w:color w:val="000000" w:themeColor="text1"/>
          <w:sz w:val="16"/>
          <w:szCs w:val="16"/>
        </w:rPr>
      </w:pPr>
      <w:r w:rsidRPr="002E01D4">
        <w:rPr>
          <w:rStyle w:val="EndnoteReference"/>
          <w:rFonts w:asciiTheme="minorHAnsi" w:hAnsiTheme="minorHAnsi" w:cstheme="minorHAnsi"/>
          <w:color w:val="000000" w:themeColor="text1"/>
          <w:sz w:val="16"/>
          <w:szCs w:val="16"/>
        </w:rPr>
        <w:endnoteRef/>
      </w:r>
      <w:r w:rsidRPr="002E01D4">
        <w:rPr>
          <w:rFonts w:asciiTheme="minorHAnsi" w:hAnsiTheme="minorHAnsi" w:cstheme="minorHAnsi"/>
          <w:color w:val="000000" w:themeColor="text1"/>
          <w:sz w:val="16"/>
          <w:szCs w:val="16"/>
        </w:rPr>
        <w:t xml:space="preserve">  Australian Human Rights Commission (2016) OpCit.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C3B1" w14:textId="77777777" w:rsidR="00395FC5" w:rsidRDefault="00395FC5" w:rsidP="00E5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0FC61" w14:textId="77777777" w:rsidR="00395FC5" w:rsidRDefault="00395FC5" w:rsidP="00A506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0175" w14:textId="77777777" w:rsidR="00395FC5" w:rsidRPr="00C0570B" w:rsidRDefault="00395FC5" w:rsidP="00E54A24">
    <w:pPr>
      <w:pStyle w:val="Footer"/>
      <w:framePr w:wrap="around" w:vAnchor="text" w:hAnchor="margin" w:xAlign="right" w:y="1"/>
      <w:rPr>
        <w:rStyle w:val="PageNumber"/>
        <w:rFonts w:ascii="Calibri" w:hAnsi="Calibri"/>
        <w:sz w:val="20"/>
        <w:szCs w:val="20"/>
      </w:rPr>
    </w:pPr>
    <w:r w:rsidRPr="00C0570B">
      <w:rPr>
        <w:rStyle w:val="PageNumber"/>
        <w:rFonts w:ascii="Calibri" w:hAnsi="Calibri"/>
        <w:sz w:val="20"/>
        <w:szCs w:val="20"/>
      </w:rPr>
      <w:fldChar w:fldCharType="begin"/>
    </w:r>
    <w:r w:rsidRPr="00C0570B">
      <w:rPr>
        <w:rStyle w:val="PageNumber"/>
        <w:rFonts w:ascii="Calibri" w:hAnsi="Calibri"/>
        <w:sz w:val="20"/>
        <w:szCs w:val="20"/>
      </w:rPr>
      <w:instrText xml:space="preserve">PAGE  </w:instrText>
    </w:r>
    <w:r w:rsidRPr="00C0570B">
      <w:rPr>
        <w:rStyle w:val="PageNumber"/>
        <w:rFonts w:ascii="Calibri" w:hAnsi="Calibri"/>
        <w:sz w:val="20"/>
        <w:szCs w:val="20"/>
      </w:rPr>
      <w:fldChar w:fldCharType="separate"/>
    </w:r>
    <w:r w:rsidR="00AA5FDB">
      <w:rPr>
        <w:rStyle w:val="PageNumber"/>
        <w:rFonts w:ascii="Calibri" w:hAnsi="Calibri"/>
        <w:noProof/>
        <w:sz w:val="20"/>
        <w:szCs w:val="20"/>
      </w:rPr>
      <w:t>3</w:t>
    </w:r>
    <w:r w:rsidRPr="00C0570B">
      <w:rPr>
        <w:rStyle w:val="PageNumber"/>
        <w:rFonts w:ascii="Calibri" w:hAnsi="Calibri"/>
        <w:sz w:val="20"/>
        <w:szCs w:val="20"/>
      </w:rPr>
      <w:fldChar w:fldCharType="end"/>
    </w:r>
  </w:p>
  <w:p w14:paraId="1EBA88F6" w14:textId="77777777" w:rsidR="00395FC5" w:rsidRDefault="00395FC5" w:rsidP="00A506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A224B" w14:textId="77777777" w:rsidR="00395FC5" w:rsidRDefault="00395FC5" w:rsidP="000107BF">
      <w:r>
        <w:separator/>
      </w:r>
    </w:p>
  </w:footnote>
  <w:footnote w:type="continuationSeparator" w:id="0">
    <w:p w14:paraId="772EEC4D" w14:textId="77777777" w:rsidR="00395FC5" w:rsidRDefault="00395FC5"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CFE1" w14:textId="77777777" w:rsidR="00395FC5" w:rsidRPr="00E414A6" w:rsidRDefault="00395FC5"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2C90E97F" wp14:editId="4E5A7AB0">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406DA99A" w14:textId="77777777" w:rsidR="00395FC5" w:rsidRPr="000107BF" w:rsidRDefault="00395FC5"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2AA1144E"/>
    <w:multiLevelType w:val="hybridMultilevel"/>
    <w:tmpl w:val="4EB6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FA3F34"/>
    <w:multiLevelType w:val="hybridMultilevel"/>
    <w:tmpl w:val="E3D299D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431EEB"/>
    <w:multiLevelType w:val="hybridMultilevel"/>
    <w:tmpl w:val="9AC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077CB3"/>
    <w:rsid w:val="000B2BC4"/>
    <w:rsid w:val="00170AAC"/>
    <w:rsid w:val="001E2AAB"/>
    <w:rsid w:val="001E3453"/>
    <w:rsid w:val="001E38ED"/>
    <w:rsid w:val="00213300"/>
    <w:rsid w:val="00233333"/>
    <w:rsid w:val="0029479C"/>
    <w:rsid w:val="002A03EF"/>
    <w:rsid w:val="002A5303"/>
    <w:rsid w:val="002B1892"/>
    <w:rsid w:val="002E01D4"/>
    <w:rsid w:val="002E401B"/>
    <w:rsid w:val="00310C04"/>
    <w:rsid w:val="003509F1"/>
    <w:rsid w:val="003671A8"/>
    <w:rsid w:val="00395FC5"/>
    <w:rsid w:val="003B0A82"/>
    <w:rsid w:val="003B6695"/>
    <w:rsid w:val="00421ADB"/>
    <w:rsid w:val="004334C7"/>
    <w:rsid w:val="004B2470"/>
    <w:rsid w:val="00541AD5"/>
    <w:rsid w:val="005A7C87"/>
    <w:rsid w:val="00680F01"/>
    <w:rsid w:val="00735E38"/>
    <w:rsid w:val="0075001B"/>
    <w:rsid w:val="0084082B"/>
    <w:rsid w:val="00986DEE"/>
    <w:rsid w:val="00A3509B"/>
    <w:rsid w:val="00A367D4"/>
    <w:rsid w:val="00A50622"/>
    <w:rsid w:val="00A838B0"/>
    <w:rsid w:val="00AA5FDB"/>
    <w:rsid w:val="00B57DAC"/>
    <w:rsid w:val="00BB1D0B"/>
    <w:rsid w:val="00C0570B"/>
    <w:rsid w:val="00CB09BA"/>
    <w:rsid w:val="00D216CB"/>
    <w:rsid w:val="00DD3FA9"/>
    <w:rsid w:val="00E54A24"/>
    <w:rsid w:val="00E5784F"/>
    <w:rsid w:val="00E65785"/>
    <w:rsid w:val="00EA23D0"/>
    <w:rsid w:val="00EA5F6A"/>
    <w:rsid w:val="00F02AD7"/>
    <w:rsid w:val="00F8647D"/>
    <w:rsid w:val="00F934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D50039"/>
  <w15:docId w15:val="{FF4A7968-DFF1-4CAF-8C77-A331B625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next w:val="Normal"/>
    <w:link w:val="Heading3Char"/>
    <w:uiPriority w:val="9"/>
    <w:semiHidden/>
    <w:unhideWhenUsed/>
    <w:qFormat/>
    <w:rsid w:val="00EA5F6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Heading3"/>
    <w:next w:val="Normal"/>
    <w:link w:val="Heading4Char"/>
    <w:uiPriority w:val="9"/>
    <w:unhideWhenUsed/>
    <w:qFormat/>
    <w:rsid w:val="00EA5F6A"/>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ind w:right="-7"/>
      <w:outlineLvl w:val="3"/>
    </w:pPr>
    <w:rPr>
      <w:rFonts w:ascii="Arial" w:hAnsi="Arial" w:cs="Arial"/>
      <w:bCs w:val="0"/>
      <w:color w:val="1F4E79" w:themeColor="accent1" w:themeShade="80"/>
      <w:sz w:val="2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styleId="DocumentMap">
    <w:name w:val="Document Map"/>
    <w:basedOn w:val="Normal"/>
    <w:link w:val="DocumentMapChar"/>
    <w:uiPriority w:val="99"/>
    <w:semiHidden/>
    <w:unhideWhenUsed/>
    <w:rsid w:val="000B2BC4"/>
    <w:rPr>
      <w:rFonts w:ascii="Lucida Grande" w:hAnsi="Lucida Grande" w:cs="Lucida Grande"/>
    </w:rPr>
  </w:style>
  <w:style w:type="character" w:customStyle="1" w:styleId="DocumentMapChar">
    <w:name w:val="Document Map Char"/>
    <w:basedOn w:val="DefaultParagraphFont"/>
    <w:link w:val="DocumentMap"/>
    <w:uiPriority w:val="99"/>
    <w:semiHidden/>
    <w:rsid w:val="000B2BC4"/>
    <w:rPr>
      <w:rFonts w:ascii="Lucida Grande" w:eastAsia="Arial Unicode MS" w:hAnsi="Lucida Grande" w:cs="Lucida Grande"/>
      <w:sz w:val="24"/>
      <w:szCs w:val="24"/>
      <w:bdr w:val="nil"/>
      <w:lang w:val="en-US"/>
    </w:rPr>
  </w:style>
  <w:style w:type="paragraph" w:styleId="BalloonText">
    <w:name w:val="Balloon Text"/>
    <w:basedOn w:val="Normal"/>
    <w:link w:val="BalloonTextChar"/>
    <w:uiPriority w:val="99"/>
    <w:semiHidden/>
    <w:unhideWhenUsed/>
    <w:rsid w:val="00541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AD5"/>
    <w:rPr>
      <w:rFonts w:ascii="Lucida Grande" w:eastAsia="Arial Unicode MS" w:hAnsi="Lucida Grande" w:cs="Lucida Grande"/>
      <w:sz w:val="18"/>
      <w:szCs w:val="18"/>
      <w:bdr w:val="nil"/>
      <w:lang w:val="en-US"/>
    </w:rPr>
  </w:style>
  <w:style w:type="paragraph" w:styleId="EndnoteText">
    <w:name w:val="endnote text"/>
    <w:basedOn w:val="Normal"/>
    <w:link w:val="EndnoteTextChar"/>
    <w:uiPriority w:val="99"/>
    <w:unhideWhenUsed/>
    <w:rsid w:val="00A838B0"/>
  </w:style>
  <w:style w:type="character" w:customStyle="1" w:styleId="EndnoteTextChar">
    <w:name w:val="Endnote Text Char"/>
    <w:basedOn w:val="DefaultParagraphFont"/>
    <w:link w:val="EndnoteText"/>
    <w:uiPriority w:val="99"/>
    <w:rsid w:val="00A838B0"/>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unhideWhenUsed/>
    <w:rsid w:val="00A838B0"/>
    <w:rPr>
      <w:vertAlign w:val="superscript"/>
    </w:rPr>
  </w:style>
  <w:style w:type="character" w:styleId="PageNumber">
    <w:name w:val="page number"/>
    <w:basedOn w:val="DefaultParagraphFont"/>
    <w:uiPriority w:val="99"/>
    <w:semiHidden/>
    <w:unhideWhenUsed/>
    <w:rsid w:val="00A5062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5784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ListParagraph">
    <w:name w:val="List Paragraph"/>
    <w:basedOn w:val="Normal"/>
    <w:link w:val="ListParagraphChar"/>
    <w:uiPriority w:val="34"/>
    <w:qFormat/>
    <w:rsid w:val="00E6578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sz w:val="22"/>
      <w:szCs w:val="22"/>
      <w:bdr w:val="none" w:sz="0" w:space="0" w:color="auto"/>
      <w:lang w:val="en-AU"/>
    </w:rPr>
  </w:style>
  <w:style w:type="character" w:customStyle="1" w:styleId="ListParagraphChar">
    <w:name w:val="List Paragraph Char"/>
    <w:link w:val="ListParagraph"/>
    <w:uiPriority w:val="34"/>
    <w:rsid w:val="00E65785"/>
    <w:rPr>
      <w:rFonts w:ascii="Calibri" w:eastAsia="Calibri" w:hAnsi="Calibri" w:cs="Times New Roman"/>
    </w:rPr>
  </w:style>
  <w:style w:type="character" w:customStyle="1" w:styleId="Heading4Char">
    <w:name w:val="Heading 4 Char"/>
    <w:basedOn w:val="DefaultParagraphFont"/>
    <w:link w:val="Heading4"/>
    <w:uiPriority w:val="9"/>
    <w:rsid w:val="00EA5F6A"/>
    <w:rPr>
      <w:rFonts w:ascii="Arial" w:eastAsiaTheme="majorEastAsia" w:hAnsi="Arial" w:cs="Arial"/>
      <w:b/>
      <w:color w:val="1F4E79" w:themeColor="accent1" w:themeShade="80"/>
      <w:szCs w:val="32"/>
      <w:lang w:val="en-US"/>
    </w:rPr>
  </w:style>
  <w:style w:type="character" w:customStyle="1" w:styleId="Heading3Char">
    <w:name w:val="Heading 3 Char"/>
    <w:basedOn w:val="DefaultParagraphFont"/>
    <w:link w:val="Heading3"/>
    <w:uiPriority w:val="9"/>
    <w:semiHidden/>
    <w:rsid w:val="00EA5F6A"/>
    <w:rPr>
      <w:rFonts w:asciiTheme="majorHAnsi" w:eastAsiaTheme="majorEastAsia" w:hAnsiTheme="majorHAnsi" w:cstheme="majorBidi"/>
      <w:b/>
      <w:bCs/>
      <w:color w:val="5B9BD5" w:themeColor="accent1"/>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our-responsibilities/disability-and-carers/programmes-services/for-people-with-disability/bswat-payment-scheme/questions-and-answers-bswat-payment-scheme" TargetMode="External"/><Relationship Id="rId3" Type="http://schemas.openxmlformats.org/officeDocument/2006/relationships/hyperlink" Target="https://www.pwc.com.au/industry/government/assets/disability-in-australia.pdf" TargetMode="External"/><Relationship Id="rId7" Type="http://schemas.openxmlformats.org/officeDocument/2006/relationships/hyperlink" Target="https://www.dss.gov.au/our-responsibilities/disability-and-carers/programmes-services/disability-employment-services" TargetMode="External"/><Relationship Id="rId2" Type="http://schemas.openxmlformats.org/officeDocument/2006/relationships/hyperlink" Target="http://www.oecd.org/" TargetMode="External"/><Relationship Id="rId1" Type="http://schemas.openxmlformats.org/officeDocument/2006/relationships/hyperlink" Target="https://www.humanrights.gov.au/sites/default/files/document/publication/WTW_2016_Full_Report_AHRC_ac.pdf" TargetMode="External"/><Relationship Id="rId6" Type="http://schemas.openxmlformats.org/officeDocument/2006/relationships/hyperlink" Target="https://www.humanrights.gov.au/sites/default/files/document/publication/WTW_2016_Full_Report_AHRC_ac.pdf" TargetMode="External"/><Relationship Id="rId5" Type="http://schemas.openxmlformats.org/officeDocument/2006/relationships/hyperlink" Target="http://wwda.org.au/wp-content/uploads/2013/12/WWDA_Sub_NDS_Review2014.pdf" TargetMode="External"/><Relationship Id="rId4" Type="http://schemas.openxmlformats.org/officeDocument/2006/relationships/hyperlink" Target="https://www.pwc.com.au/industry/government/assets/disability-in-austral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66E8-FC5F-4569-A497-305AE9C0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Sands</dc:creator>
  <cp:lastModifiedBy>Therese Sands</cp:lastModifiedBy>
  <cp:revision>2</cp:revision>
  <cp:lastPrinted>2017-08-29T09:26:00Z</cp:lastPrinted>
  <dcterms:created xsi:type="dcterms:W3CDTF">2017-08-29T12:39:00Z</dcterms:created>
  <dcterms:modified xsi:type="dcterms:W3CDTF">2017-08-29T12:39:00Z</dcterms:modified>
</cp:coreProperties>
</file>