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4A379" w14:textId="77777777" w:rsidR="00F5359F" w:rsidRPr="005629B0" w:rsidRDefault="00F5359F" w:rsidP="00F5359F">
      <w:pPr>
        <w:spacing w:before="120" w:after="120"/>
        <w:jc w:val="center"/>
        <w:rPr>
          <w:rFonts w:asciiTheme="majorHAnsi" w:hAnsiTheme="majorHAnsi" w:cs="Arial"/>
          <w:sz w:val="24"/>
          <w:szCs w:val="24"/>
        </w:rPr>
      </w:pPr>
    </w:p>
    <w:p w14:paraId="26E05291" w14:textId="77777777" w:rsidR="00F5359F" w:rsidRPr="005629B0" w:rsidRDefault="00F5359F" w:rsidP="00F5359F">
      <w:pPr>
        <w:spacing w:before="120" w:after="120"/>
        <w:jc w:val="right"/>
        <w:rPr>
          <w:rFonts w:asciiTheme="majorHAnsi" w:hAnsiTheme="majorHAnsi" w:cs="Arial"/>
          <w:sz w:val="24"/>
          <w:szCs w:val="24"/>
        </w:rPr>
      </w:pPr>
      <w:r w:rsidRPr="005629B0">
        <w:rPr>
          <w:rFonts w:asciiTheme="majorHAnsi" w:hAnsiTheme="majorHAnsi" w:cs="Arial"/>
          <w:noProof/>
          <w:sz w:val="24"/>
          <w:szCs w:val="24"/>
          <w:lang w:val="en-US"/>
        </w:rPr>
        <w:drawing>
          <wp:inline distT="0" distB="0" distL="0" distR="0" wp14:anchorId="090A9004" wp14:editId="7543A984">
            <wp:extent cx="2734175" cy="1080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a DPOAustralia_Logo_Email_200px.jpg"/>
                    <pic:cNvPicPr/>
                  </pic:nvPicPr>
                  <pic:blipFill>
                    <a:blip r:embed="rId8">
                      <a:extLst>
                        <a:ext uri="{28A0092B-C50C-407E-A947-70E740481C1C}">
                          <a14:useLocalDpi xmlns:a14="http://schemas.microsoft.com/office/drawing/2010/main" val="0"/>
                        </a:ext>
                      </a:extLst>
                    </a:blip>
                    <a:stretch>
                      <a:fillRect/>
                    </a:stretch>
                  </pic:blipFill>
                  <pic:spPr>
                    <a:xfrm>
                      <a:off x="0" y="0"/>
                      <a:ext cx="2734175" cy="1080000"/>
                    </a:xfrm>
                    <a:prstGeom prst="rect">
                      <a:avLst/>
                    </a:prstGeom>
                  </pic:spPr>
                </pic:pic>
              </a:graphicData>
            </a:graphic>
          </wp:inline>
        </w:drawing>
      </w:r>
    </w:p>
    <w:p w14:paraId="06CC56F3" w14:textId="77777777" w:rsidR="00F5359F" w:rsidRPr="005629B0" w:rsidRDefault="00F5359F" w:rsidP="00F5359F">
      <w:pPr>
        <w:spacing w:before="120" w:after="120"/>
        <w:rPr>
          <w:rFonts w:asciiTheme="majorHAnsi" w:hAnsiTheme="majorHAnsi" w:cs="Arial"/>
          <w:sz w:val="24"/>
          <w:szCs w:val="24"/>
        </w:rPr>
      </w:pPr>
    </w:p>
    <w:p w14:paraId="68306CAF" w14:textId="77777777" w:rsidR="00F5359F" w:rsidRPr="005629B0" w:rsidRDefault="00F5359F" w:rsidP="00F5359F">
      <w:pPr>
        <w:spacing w:before="120" w:after="120"/>
        <w:rPr>
          <w:rFonts w:asciiTheme="majorHAnsi" w:hAnsiTheme="majorHAnsi" w:cs="Arial"/>
          <w:sz w:val="24"/>
          <w:szCs w:val="24"/>
        </w:rPr>
      </w:pPr>
    </w:p>
    <w:p w14:paraId="24C66F8F" w14:textId="77777777" w:rsidR="00F5359F" w:rsidRPr="005629B0" w:rsidRDefault="00F5359F" w:rsidP="00F5359F">
      <w:pPr>
        <w:spacing w:before="120" w:after="120"/>
        <w:rPr>
          <w:rFonts w:asciiTheme="majorHAnsi" w:hAnsiTheme="majorHAnsi" w:cs="Arial"/>
          <w:sz w:val="24"/>
          <w:szCs w:val="24"/>
        </w:rPr>
      </w:pPr>
    </w:p>
    <w:p w14:paraId="6BB28FB2" w14:textId="77777777" w:rsidR="00F5359F" w:rsidRPr="005629B0" w:rsidRDefault="00F5359F" w:rsidP="00F5359F">
      <w:pPr>
        <w:spacing w:before="120" w:after="120"/>
        <w:rPr>
          <w:rFonts w:asciiTheme="majorHAnsi" w:hAnsiTheme="majorHAnsi" w:cs="Arial"/>
          <w:sz w:val="24"/>
          <w:szCs w:val="24"/>
        </w:rPr>
      </w:pPr>
    </w:p>
    <w:p w14:paraId="3C3F9C32" w14:textId="77777777" w:rsidR="00F5359F" w:rsidRPr="005629B0" w:rsidRDefault="00F5359F" w:rsidP="00F5359F">
      <w:pPr>
        <w:spacing w:before="120" w:after="120"/>
        <w:rPr>
          <w:rFonts w:asciiTheme="majorHAnsi" w:hAnsiTheme="majorHAnsi" w:cs="Arial"/>
          <w:sz w:val="24"/>
          <w:szCs w:val="24"/>
        </w:rPr>
      </w:pPr>
    </w:p>
    <w:p w14:paraId="6F57FFCE" w14:textId="77777777" w:rsidR="00F5359F" w:rsidRPr="005629B0" w:rsidRDefault="00F5359F" w:rsidP="00F5359F">
      <w:pPr>
        <w:spacing w:before="120" w:after="120"/>
        <w:rPr>
          <w:rFonts w:asciiTheme="majorHAnsi" w:hAnsiTheme="majorHAnsi" w:cs="Arial"/>
          <w:sz w:val="24"/>
          <w:szCs w:val="24"/>
        </w:rPr>
      </w:pPr>
    </w:p>
    <w:p w14:paraId="1DFD7348" w14:textId="77777777" w:rsidR="00F5359F" w:rsidRPr="005629B0" w:rsidRDefault="00F5359F" w:rsidP="00F5359F">
      <w:pPr>
        <w:spacing w:before="120" w:after="120"/>
        <w:rPr>
          <w:rFonts w:asciiTheme="majorHAnsi" w:hAnsiTheme="majorHAnsi" w:cs="Arial"/>
          <w:b/>
          <w:sz w:val="36"/>
          <w:szCs w:val="36"/>
        </w:rPr>
      </w:pPr>
      <w:r w:rsidRPr="005629B0">
        <w:rPr>
          <w:rFonts w:asciiTheme="majorHAnsi" w:hAnsiTheme="majorHAnsi" w:cs="Arial"/>
          <w:b/>
          <w:sz w:val="36"/>
          <w:szCs w:val="36"/>
        </w:rPr>
        <w:t>Submission</w:t>
      </w:r>
    </w:p>
    <w:p w14:paraId="1F3C44EF" w14:textId="77777777" w:rsidR="00F5359F" w:rsidRPr="005629B0" w:rsidRDefault="00F5359F" w:rsidP="00F5359F">
      <w:pPr>
        <w:pBdr>
          <w:bottom w:val="single" w:sz="24" w:space="1" w:color="auto"/>
        </w:pBdr>
        <w:rPr>
          <w:rFonts w:cs="Arial"/>
        </w:rPr>
      </w:pPr>
    </w:p>
    <w:p w14:paraId="662D4C01" w14:textId="76C0A6E3" w:rsidR="00F5359F" w:rsidRPr="005629B0" w:rsidRDefault="000479A5" w:rsidP="00F5359F">
      <w:pPr>
        <w:spacing w:before="120" w:after="120"/>
        <w:rPr>
          <w:rFonts w:asciiTheme="majorHAnsi" w:hAnsiTheme="majorHAnsi" w:cs="Arial"/>
          <w:b/>
          <w:sz w:val="36"/>
          <w:szCs w:val="36"/>
        </w:rPr>
      </w:pPr>
      <w:r>
        <w:rPr>
          <w:rFonts w:asciiTheme="majorHAnsi" w:hAnsiTheme="majorHAnsi" w:cs="Arial"/>
          <w:b/>
          <w:sz w:val="36"/>
          <w:szCs w:val="36"/>
        </w:rPr>
        <w:t>Senate Community Affairs References Committee</w:t>
      </w:r>
    </w:p>
    <w:p w14:paraId="72C9B1A1" w14:textId="077B03E2" w:rsidR="00F5359F" w:rsidRPr="005629B0" w:rsidRDefault="00CB70DD" w:rsidP="00F5359F">
      <w:pPr>
        <w:spacing w:before="120" w:after="120"/>
        <w:rPr>
          <w:rFonts w:asciiTheme="majorHAnsi" w:hAnsiTheme="majorHAnsi" w:cs="Arial"/>
          <w:b/>
          <w:sz w:val="36"/>
          <w:szCs w:val="36"/>
        </w:rPr>
      </w:pPr>
      <w:r>
        <w:rPr>
          <w:rFonts w:asciiTheme="majorHAnsi" w:hAnsiTheme="majorHAnsi" w:cs="Arial"/>
          <w:b/>
          <w:sz w:val="36"/>
          <w:szCs w:val="36"/>
        </w:rPr>
        <w:t>I</w:t>
      </w:r>
      <w:r w:rsidR="000479A5">
        <w:rPr>
          <w:rFonts w:asciiTheme="majorHAnsi" w:hAnsiTheme="majorHAnsi" w:cs="Arial"/>
          <w:b/>
          <w:sz w:val="36"/>
          <w:szCs w:val="36"/>
        </w:rPr>
        <w:t>nquiry:</w:t>
      </w:r>
      <w:r w:rsidR="00F5359F" w:rsidRPr="005629B0">
        <w:rPr>
          <w:rFonts w:asciiTheme="majorHAnsi" w:hAnsiTheme="majorHAnsi" w:cs="Arial"/>
          <w:b/>
          <w:sz w:val="36"/>
          <w:szCs w:val="36"/>
        </w:rPr>
        <w:t xml:space="preserve"> </w:t>
      </w:r>
      <w:r w:rsidR="000479A5">
        <w:rPr>
          <w:rFonts w:asciiTheme="majorHAnsi" w:hAnsiTheme="majorHAnsi" w:cs="Arial"/>
          <w:b/>
          <w:sz w:val="36"/>
          <w:szCs w:val="36"/>
        </w:rPr>
        <w:t>Delivery of outcomes under the Nation</w:t>
      </w:r>
      <w:r w:rsidR="00211DFB">
        <w:rPr>
          <w:rFonts w:asciiTheme="majorHAnsi" w:hAnsiTheme="majorHAnsi" w:cs="Arial"/>
          <w:b/>
          <w:sz w:val="36"/>
          <w:szCs w:val="36"/>
        </w:rPr>
        <w:t>al Disability Strategy 2010-2020</w:t>
      </w:r>
      <w:r w:rsidR="000479A5">
        <w:rPr>
          <w:rFonts w:asciiTheme="majorHAnsi" w:hAnsiTheme="majorHAnsi" w:cs="Arial"/>
          <w:b/>
          <w:sz w:val="36"/>
          <w:szCs w:val="36"/>
        </w:rPr>
        <w:t xml:space="preserve"> to build</w:t>
      </w:r>
      <w:bookmarkStart w:id="0" w:name="_GoBack"/>
      <w:bookmarkEnd w:id="0"/>
      <w:r w:rsidR="000479A5">
        <w:rPr>
          <w:rFonts w:asciiTheme="majorHAnsi" w:hAnsiTheme="majorHAnsi" w:cs="Arial"/>
          <w:b/>
          <w:sz w:val="36"/>
          <w:szCs w:val="36"/>
        </w:rPr>
        <w:t xml:space="preserve"> inclusive and accessible communities</w:t>
      </w:r>
    </w:p>
    <w:p w14:paraId="3EB06393" w14:textId="77777777" w:rsidR="00F5359F" w:rsidRPr="005629B0" w:rsidRDefault="00F5359F" w:rsidP="00F5359F">
      <w:pPr>
        <w:pBdr>
          <w:bottom w:val="single" w:sz="24" w:space="1" w:color="auto"/>
        </w:pBdr>
        <w:rPr>
          <w:rFonts w:cs="Arial"/>
        </w:rPr>
      </w:pPr>
    </w:p>
    <w:p w14:paraId="0FE8E26F" w14:textId="77777777" w:rsidR="00F5359F" w:rsidRPr="005629B0" w:rsidRDefault="00F5359F" w:rsidP="00F5359F">
      <w:pPr>
        <w:pStyle w:val="Footer"/>
        <w:rPr>
          <w:rFonts w:cs="Arial"/>
          <w:szCs w:val="24"/>
        </w:rPr>
      </w:pPr>
    </w:p>
    <w:p w14:paraId="7443829B" w14:textId="7FE19ADC" w:rsidR="00F5359F" w:rsidRPr="005629B0" w:rsidRDefault="00EF61FA" w:rsidP="00F5359F">
      <w:pPr>
        <w:pStyle w:val="Footer"/>
        <w:rPr>
          <w:rFonts w:cs="Arial"/>
          <w:b/>
          <w:sz w:val="28"/>
          <w:szCs w:val="28"/>
        </w:rPr>
      </w:pPr>
      <w:r>
        <w:rPr>
          <w:rFonts w:cs="Arial"/>
          <w:b/>
          <w:sz w:val="28"/>
          <w:szCs w:val="28"/>
        </w:rPr>
        <w:t>April</w:t>
      </w:r>
      <w:r w:rsidR="00F5359F" w:rsidRPr="005629B0">
        <w:rPr>
          <w:rFonts w:cs="Arial"/>
          <w:b/>
          <w:sz w:val="28"/>
          <w:szCs w:val="28"/>
        </w:rPr>
        <w:t xml:space="preserve"> 2017 </w:t>
      </w:r>
    </w:p>
    <w:p w14:paraId="5CF65CAF" w14:textId="77777777" w:rsidR="00F5359F" w:rsidRPr="005629B0" w:rsidRDefault="00F5359F" w:rsidP="00F5359F">
      <w:pPr>
        <w:ind w:left="360"/>
        <w:rPr>
          <w:rFonts w:cs="Arial"/>
          <w:b/>
          <w:bCs/>
        </w:rPr>
      </w:pPr>
    </w:p>
    <w:p w14:paraId="724E8076" w14:textId="77777777" w:rsidR="00F5359F" w:rsidRPr="005629B0" w:rsidRDefault="00F5359F" w:rsidP="00F5359F">
      <w:pPr>
        <w:spacing w:before="120" w:after="120"/>
        <w:rPr>
          <w:rFonts w:asciiTheme="majorHAnsi" w:hAnsiTheme="majorHAnsi" w:cs="Arial"/>
          <w:sz w:val="24"/>
          <w:szCs w:val="24"/>
        </w:rPr>
      </w:pPr>
    </w:p>
    <w:p w14:paraId="48A3155E" w14:textId="77777777" w:rsidR="00F5359F" w:rsidRPr="005629B0" w:rsidRDefault="00F5359F" w:rsidP="00F5359F">
      <w:pPr>
        <w:pBdr>
          <w:bottom w:val="single" w:sz="4" w:space="1" w:color="auto"/>
        </w:pBdr>
        <w:jc w:val="both"/>
        <w:rPr>
          <w:rFonts w:ascii="Arial" w:eastAsiaTheme="minorEastAsia" w:hAnsi="Arial" w:cs="Arial"/>
          <w:b/>
          <w:color w:val="44546A" w:themeColor="text2"/>
          <w:sz w:val="28"/>
          <w:szCs w:val="28"/>
        </w:rPr>
      </w:pPr>
      <w:r w:rsidRPr="005629B0">
        <w:rPr>
          <w:rFonts w:asciiTheme="majorHAnsi" w:hAnsiTheme="majorHAnsi" w:cs="Arial"/>
          <w:sz w:val="24"/>
          <w:szCs w:val="24"/>
        </w:rPr>
        <w:br w:type="page"/>
      </w:r>
      <w:r w:rsidRPr="005629B0">
        <w:rPr>
          <w:rFonts w:ascii="Arial" w:eastAsiaTheme="minorEastAsia" w:hAnsi="Arial" w:cs="Arial"/>
          <w:b/>
          <w:color w:val="44546A" w:themeColor="text2"/>
          <w:sz w:val="28"/>
          <w:szCs w:val="28"/>
        </w:rPr>
        <w:lastRenderedPageBreak/>
        <w:t>Publishing Information</w:t>
      </w:r>
    </w:p>
    <w:p w14:paraId="3377A392" w14:textId="77777777" w:rsidR="00F5359F" w:rsidRPr="005629B0" w:rsidRDefault="00F5359F" w:rsidP="00F5359F">
      <w:pPr>
        <w:pBdr>
          <w:bottom w:val="single" w:sz="4" w:space="1" w:color="auto"/>
        </w:pBdr>
        <w:jc w:val="both"/>
        <w:rPr>
          <w:rFonts w:ascii="Arial" w:eastAsiaTheme="minorEastAsia" w:hAnsi="Arial" w:cs="Arial"/>
          <w:b/>
          <w:sz w:val="24"/>
          <w:szCs w:val="24"/>
        </w:rPr>
      </w:pPr>
    </w:p>
    <w:p w14:paraId="0FCAEB83" w14:textId="77777777" w:rsidR="00F5359F" w:rsidRPr="005629B0" w:rsidRDefault="00F5359F" w:rsidP="00F5359F">
      <w:pPr>
        <w:jc w:val="both"/>
        <w:rPr>
          <w:rFonts w:ascii="Arial" w:eastAsiaTheme="minorEastAsia" w:hAnsi="Arial" w:cs="Arial"/>
          <w:sz w:val="20"/>
          <w:szCs w:val="20"/>
        </w:rPr>
      </w:pPr>
    </w:p>
    <w:p w14:paraId="76B9C166" w14:textId="22989320" w:rsidR="00F5359F" w:rsidRPr="005629B0" w:rsidRDefault="00F5359F" w:rsidP="00A44BB3">
      <w:pPr>
        <w:jc w:val="both"/>
        <w:rPr>
          <w:rFonts w:asciiTheme="majorHAnsi" w:eastAsiaTheme="minorEastAsia" w:hAnsiTheme="majorHAnsi" w:cstheme="majorHAnsi"/>
          <w:sz w:val="24"/>
          <w:szCs w:val="24"/>
        </w:rPr>
      </w:pPr>
      <w:r w:rsidRPr="005629B0">
        <w:rPr>
          <w:rFonts w:asciiTheme="majorHAnsi" w:eastAsiaTheme="minorEastAsia" w:hAnsiTheme="majorHAnsi" w:cstheme="majorHAnsi"/>
          <w:sz w:val="24"/>
          <w:szCs w:val="24"/>
        </w:rPr>
        <w:t xml:space="preserve">‘Disabled People’s Organisations Australia (DPO Australia) Submission </w:t>
      </w:r>
      <w:r w:rsidR="00A44BB3">
        <w:rPr>
          <w:rFonts w:asciiTheme="majorHAnsi" w:eastAsiaTheme="minorEastAsia" w:hAnsiTheme="majorHAnsi" w:cstheme="majorHAnsi"/>
          <w:sz w:val="24"/>
          <w:szCs w:val="24"/>
        </w:rPr>
        <w:t xml:space="preserve">to the Senate Community Affairs References Committee Inquiry into </w:t>
      </w:r>
      <w:r w:rsidR="00A44BB3" w:rsidRPr="00A44BB3">
        <w:rPr>
          <w:rFonts w:asciiTheme="majorHAnsi" w:eastAsiaTheme="minorEastAsia" w:hAnsiTheme="majorHAnsi" w:cstheme="majorHAnsi"/>
          <w:sz w:val="24"/>
          <w:szCs w:val="24"/>
        </w:rPr>
        <w:t xml:space="preserve">the delivery </w:t>
      </w:r>
      <w:r w:rsidR="00A44BB3">
        <w:rPr>
          <w:rFonts w:asciiTheme="majorHAnsi" w:eastAsiaTheme="minorEastAsia" w:hAnsiTheme="majorHAnsi" w:cstheme="majorHAnsi"/>
          <w:sz w:val="24"/>
          <w:szCs w:val="24"/>
        </w:rPr>
        <w:t>of</w:t>
      </w:r>
      <w:r w:rsidR="00A44BB3" w:rsidRPr="00A44BB3">
        <w:rPr>
          <w:rFonts w:asciiTheme="majorHAnsi" w:eastAsiaTheme="minorEastAsia" w:hAnsiTheme="majorHAnsi" w:cstheme="majorHAnsi"/>
          <w:sz w:val="24"/>
          <w:szCs w:val="24"/>
        </w:rPr>
        <w:t xml:space="preserve"> outcomes under the Nation</w:t>
      </w:r>
      <w:r w:rsidR="00211DFB">
        <w:rPr>
          <w:rFonts w:asciiTheme="majorHAnsi" w:eastAsiaTheme="minorEastAsia" w:hAnsiTheme="majorHAnsi" w:cstheme="majorHAnsi"/>
          <w:sz w:val="24"/>
          <w:szCs w:val="24"/>
        </w:rPr>
        <w:t>al Disability Strategy 2010-2020</w:t>
      </w:r>
      <w:r w:rsidR="00A44BB3" w:rsidRPr="00A44BB3">
        <w:rPr>
          <w:rFonts w:asciiTheme="majorHAnsi" w:eastAsiaTheme="minorEastAsia" w:hAnsiTheme="majorHAnsi" w:cstheme="majorHAnsi"/>
          <w:sz w:val="24"/>
          <w:szCs w:val="24"/>
        </w:rPr>
        <w:t xml:space="preserve"> (NDS) to build inclusive and accessible communities.</w:t>
      </w:r>
      <w:r w:rsidR="00A44BB3">
        <w:rPr>
          <w:rFonts w:asciiTheme="majorHAnsi" w:eastAsiaTheme="minorEastAsia" w:hAnsiTheme="majorHAnsi" w:cstheme="majorHAnsi"/>
          <w:sz w:val="24"/>
          <w:szCs w:val="24"/>
        </w:rPr>
        <w:t>’</w:t>
      </w:r>
      <w:r w:rsidR="00A44BB3" w:rsidRPr="00A44BB3">
        <w:rPr>
          <w:rFonts w:asciiTheme="majorHAnsi" w:eastAsiaTheme="minorEastAsia" w:hAnsiTheme="majorHAnsi" w:cstheme="majorHAnsi"/>
          <w:sz w:val="24"/>
          <w:szCs w:val="24"/>
        </w:rPr>
        <w:t xml:space="preserve">  </w:t>
      </w:r>
    </w:p>
    <w:p w14:paraId="4F3D6AD4" w14:textId="77777777" w:rsidR="00F5359F" w:rsidRDefault="00F5359F" w:rsidP="00F5359F">
      <w:pPr>
        <w:rPr>
          <w:rFonts w:asciiTheme="majorHAnsi" w:eastAsiaTheme="minorEastAsia" w:hAnsiTheme="majorHAnsi" w:cstheme="majorHAnsi"/>
          <w:sz w:val="24"/>
          <w:szCs w:val="24"/>
        </w:rPr>
      </w:pPr>
    </w:p>
    <w:p w14:paraId="7D658BF9" w14:textId="77777777" w:rsidR="00A44BB3" w:rsidRPr="00992459" w:rsidRDefault="00A44BB3" w:rsidP="00A44BB3">
      <w:pPr>
        <w:spacing w:after="0" w:line="240" w:lineRule="auto"/>
        <w:rPr>
          <w:rFonts w:asciiTheme="majorHAnsi" w:eastAsiaTheme="minorEastAsia" w:hAnsiTheme="majorHAnsi" w:cstheme="majorHAnsi"/>
          <w:b/>
          <w:sz w:val="24"/>
          <w:szCs w:val="24"/>
        </w:rPr>
      </w:pPr>
      <w:r w:rsidRPr="00992459">
        <w:rPr>
          <w:rFonts w:asciiTheme="majorHAnsi" w:eastAsiaTheme="minorEastAsia" w:hAnsiTheme="majorHAnsi" w:cstheme="majorHAnsi"/>
          <w:b/>
          <w:sz w:val="24"/>
          <w:szCs w:val="24"/>
        </w:rPr>
        <w:t>Suggested Citation:</w:t>
      </w:r>
    </w:p>
    <w:p w14:paraId="3BB7D98D" w14:textId="77777777" w:rsidR="00A44BB3" w:rsidRDefault="00A44BB3" w:rsidP="00F5359F">
      <w:pPr>
        <w:rPr>
          <w:rFonts w:asciiTheme="majorHAnsi" w:eastAsiaTheme="minorEastAsia" w:hAnsiTheme="majorHAnsi" w:cstheme="majorHAnsi"/>
        </w:rPr>
      </w:pPr>
    </w:p>
    <w:p w14:paraId="02381BC3" w14:textId="4CAB130D" w:rsidR="00F5359F" w:rsidRPr="00CB509D" w:rsidRDefault="00A44BB3" w:rsidP="00F5359F">
      <w:pPr>
        <w:rPr>
          <w:rFonts w:asciiTheme="majorHAnsi" w:eastAsiaTheme="minorEastAsia" w:hAnsiTheme="majorHAnsi" w:cstheme="majorHAnsi"/>
        </w:rPr>
      </w:pPr>
      <w:r>
        <w:rPr>
          <w:rFonts w:asciiTheme="majorHAnsi" w:eastAsiaTheme="minorEastAsia" w:hAnsiTheme="majorHAnsi" w:cstheme="majorHAnsi"/>
        </w:rPr>
        <w:t xml:space="preserve">Sands, T., (2017) </w:t>
      </w:r>
      <w:r w:rsidRPr="00A44BB3">
        <w:rPr>
          <w:rFonts w:asciiTheme="majorHAnsi" w:eastAsiaTheme="minorEastAsia" w:hAnsiTheme="majorHAnsi" w:cstheme="majorHAnsi"/>
          <w:i/>
          <w:sz w:val="24"/>
          <w:szCs w:val="24"/>
        </w:rPr>
        <w:t xml:space="preserve">Disabled People’s Organisations Australia (DPO Australia) Submission to the Senate Community Affairs References Committee Inquiry into the delivery of outcomes under the National Disability Strategy </w:t>
      </w:r>
      <w:r w:rsidR="00211DFB">
        <w:rPr>
          <w:rFonts w:asciiTheme="majorHAnsi" w:eastAsiaTheme="minorEastAsia" w:hAnsiTheme="majorHAnsi" w:cstheme="majorHAnsi"/>
          <w:i/>
          <w:sz w:val="24"/>
          <w:szCs w:val="24"/>
        </w:rPr>
        <w:t>2010-2020</w:t>
      </w:r>
      <w:r w:rsidRPr="00A44BB3">
        <w:rPr>
          <w:rFonts w:asciiTheme="majorHAnsi" w:eastAsiaTheme="minorEastAsia" w:hAnsiTheme="majorHAnsi" w:cstheme="majorHAnsi"/>
          <w:i/>
          <w:sz w:val="24"/>
          <w:szCs w:val="24"/>
        </w:rPr>
        <w:t xml:space="preserve"> (NDS) to build inclusive and accessible communities</w:t>
      </w:r>
      <w:r>
        <w:rPr>
          <w:rFonts w:asciiTheme="majorHAnsi" w:eastAsiaTheme="minorEastAsia" w:hAnsiTheme="majorHAnsi" w:cstheme="majorHAnsi"/>
          <w:sz w:val="24"/>
          <w:szCs w:val="24"/>
        </w:rPr>
        <w:t xml:space="preserve">, </w:t>
      </w:r>
      <w:r w:rsidR="00CB70DD" w:rsidRPr="00CB509D">
        <w:rPr>
          <w:rFonts w:asciiTheme="majorHAnsi" w:eastAsiaTheme="minorEastAsia" w:hAnsiTheme="majorHAnsi" w:cstheme="majorHAnsi"/>
        </w:rPr>
        <w:t>Disabled People’s Organisations Australia.</w:t>
      </w:r>
    </w:p>
    <w:p w14:paraId="03D8E744" w14:textId="77777777" w:rsidR="00F5359F" w:rsidRPr="005629B0" w:rsidRDefault="00F5359F" w:rsidP="00F5359F">
      <w:pPr>
        <w:rPr>
          <w:rFonts w:asciiTheme="majorHAnsi" w:eastAsiaTheme="minorEastAsia" w:hAnsiTheme="majorHAnsi" w:cstheme="majorHAnsi"/>
          <w:sz w:val="24"/>
          <w:szCs w:val="24"/>
        </w:rPr>
      </w:pPr>
    </w:p>
    <w:p w14:paraId="332CC118" w14:textId="17921FF3" w:rsidR="00F5359F" w:rsidRPr="005629B0" w:rsidRDefault="00F5359F" w:rsidP="00F5359F">
      <w:pPr>
        <w:rPr>
          <w:rFonts w:asciiTheme="majorHAnsi" w:eastAsiaTheme="minorEastAsia" w:hAnsiTheme="majorHAnsi" w:cstheme="majorHAnsi"/>
          <w:sz w:val="24"/>
          <w:szCs w:val="24"/>
        </w:rPr>
      </w:pPr>
      <w:r w:rsidRPr="005629B0">
        <w:rPr>
          <w:rFonts w:asciiTheme="majorHAnsi" w:eastAsiaTheme="minorEastAsia" w:hAnsiTheme="majorHAnsi" w:cstheme="majorHAnsi"/>
          <w:sz w:val="24"/>
          <w:szCs w:val="24"/>
        </w:rPr>
        <w:t xml:space="preserve">© Disabled People’s Organisations Australia, </w:t>
      </w:r>
      <w:r w:rsidR="00A44BB3">
        <w:rPr>
          <w:rFonts w:asciiTheme="majorHAnsi" w:eastAsiaTheme="minorEastAsia" w:hAnsiTheme="majorHAnsi" w:cstheme="majorHAnsi"/>
          <w:sz w:val="24"/>
          <w:szCs w:val="24"/>
        </w:rPr>
        <w:t>May</w:t>
      </w:r>
      <w:r w:rsidRPr="005629B0">
        <w:rPr>
          <w:rFonts w:asciiTheme="majorHAnsi" w:eastAsiaTheme="minorEastAsia" w:hAnsiTheme="majorHAnsi" w:cstheme="majorHAnsi"/>
          <w:sz w:val="24"/>
          <w:szCs w:val="24"/>
        </w:rPr>
        <w:t xml:space="preserve"> 2017</w:t>
      </w:r>
    </w:p>
    <w:p w14:paraId="56F881B2" w14:textId="77777777" w:rsidR="00F5359F" w:rsidRPr="005629B0" w:rsidRDefault="00F5359F" w:rsidP="00F5359F">
      <w:pPr>
        <w:rPr>
          <w:rFonts w:asciiTheme="majorHAnsi" w:eastAsiaTheme="minorEastAsia" w:hAnsiTheme="majorHAnsi" w:cstheme="majorHAnsi"/>
          <w:sz w:val="24"/>
          <w:szCs w:val="24"/>
        </w:rPr>
      </w:pPr>
    </w:p>
    <w:p w14:paraId="16946A8D" w14:textId="77777777" w:rsidR="00F5359F" w:rsidRPr="005629B0" w:rsidRDefault="00F5359F" w:rsidP="00F5359F">
      <w:pPr>
        <w:rPr>
          <w:rFonts w:asciiTheme="majorHAnsi" w:eastAsiaTheme="minorEastAsia" w:hAnsiTheme="majorHAnsi" w:cstheme="majorHAnsi"/>
          <w:sz w:val="24"/>
          <w:szCs w:val="24"/>
        </w:rPr>
      </w:pPr>
    </w:p>
    <w:p w14:paraId="56C85161" w14:textId="77777777" w:rsidR="00F5359F" w:rsidRPr="005629B0" w:rsidRDefault="00F5359F" w:rsidP="00BF2908">
      <w:pPr>
        <w:spacing w:after="0"/>
        <w:jc w:val="both"/>
        <w:rPr>
          <w:rFonts w:asciiTheme="majorHAnsi" w:eastAsiaTheme="minorEastAsia" w:hAnsiTheme="majorHAnsi" w:cstheme="majorHAnsi"/>
          <w:sz w:val="24"/>
          <w:szCs w:val="24"/>
        </w:rPr>
      </w:pPr>
      <w:r w:rsidRPr="005629B0">
        <w:rPr>
          <w:rFonts w:asciiTheme="majorHAnsi" w:eastAsiaTheme="minorEastAsia" w:hAnsiTheme="majorHAnsi" w:cstheme="majorHAnsi"/>
          <w:sz w:val="24"/>
          <w:szCs w:val="24"/>
        </w:rPr>
        <w:t>© This work is copyright. Apart from any use as permitted under the Copyright Act 1968, no part may be reproduced without written permission from the Disabled People’s Organisations Australia (DPO Australia). All possible care has been taken in the preparation of the information contained in this document. The ACDA disclaims any liability for the accuracy and sufficiency of the information and under no circumstances shall be liable in negligence or otherwise in or arising out of the preparation or supply of any of the information aforesaid.</w:t>
      </w:r>
    </w:p>
    <w:p w14:paraId="5DE6CBE1" w14:textId="77777777" w:rsidR="00F5359F" w:rsidRPr="005629B0" w:rsidRDefault="00F5359F" w:rsidP="00F5359F">
      <w:pPr>
        <w:jc w:val="both"/>
        <w:rPr>
          <w:rFonts w:ascii="Arial" w:eastAsiaTheme="minorEastAsia" w:hAnsi="Arial" w:cs="Arial"/>
        </w:rPr>
      </w:pPr>
    </w:p>
    <w:p w14:paraId="7A28682D" w14:textId="77777777" w:rsidR="00F5359F" w:rsidRPr="005629B0" w:rsidRDefault="00F5359F" w:rsidP="00F5359F">
      <w:pPr>
        <w:jc w:val="both"/>
        <w:rPr>
          <w:rFonts w:ascii="Arial" w:eastAsiaTheme="minorEastAsia" w:hAnsi="Arial" w:cs="Arial"/>
        </w:rPr>
      </w:pPr>
    </w:p>
    <w:p w14:paraId="7B3186B2" w14:textId="77777777" w:rsidR="00F5359F" w:rsidRPr="005629B0" w:rsidRDefault="00F5359F" w:rsidP="00F5359F">
      <w:pPr>
        <w:jc w:val="both"/>
        <w:rPr>
          <w:rFonts w:ascii="Arial" w:eastAsiaTheme="minorEastAsia" w:hAnsi="Arial" w:cs="Arial"/>
        </w:rPr>
      </w:pPr>
    </w:p>
    <w:p w14:paraId="654AE528" w14:textId="77777777" w:rsidR="00F5359F" w:rsidRPr="005629B0" w:rsidRDefault="00F5359F" w:rsidP="00F5359F">
      <w:pPr>
        <w:pBdr>
          <w:bottom w:val="single" w:sz="4" w:space="1" w:color="auto"/>
        </w:pBdr>
        <w:jc w:val="both"/>
        <w:rPr>
          <w:rFonts w:ascii="Arial" w:eastAsiaTheme="minorEastAsia" w:hAnsi="Arial" w:cs="Arial"/>
          <w:b/>
          <w:color w:val="44546A" w:themeColor="text2"/>
          <w:sz w:val="28"/>
          <w:szCs w:val="28"/>
        </w:rPr>
      </w:pPr>
      <w:r w:rsidRPr="005629B0">
        <w:rPr>
          <w:rFonts w:ascii="Arial" w:eastAsiaTheme="minorEastAsia" w:hAnsi="Arial" w:cs="Arial"/>
          <w:b/>
          <w:color w:val="44546A" w:themeColor="text2"/>
          <w:sz w:val="28"/>
          <w:szCs w:val="28"/>
        </w:rPr>
        <w:t>Contact for this Submission</w:t>
      </w:r>
    </w:p>
    <w:p w14:paraId="05462758" w14:textId="77777777" w:rsidR="00F5359F" w:rsidRPr="005629B0" w:rsidRDefault="00F5359F" w:rsidP="00F5359F">
      <w:pPr>
        <w:pBdr>
          <w:bottom w:val="single" w:sz="4" w:space="1" w:color="auto"/>
        </w:pBdr>
        <w:jc w:val="both"/>
        <w:rPr>
          <w:rFonts w:ascii="Arial" w:eastAsiaTheme="minorEastAsia" w:hAnsi="Arial" w:cs="Arial"/>
          <w:sz w:val="24"/>
          <w:szCs w:val="28"/>
        </w:rPr>
      </w:pPr>
    </w:p>
    <w:p w14:paraId="55A37FBA" w14:textId="77777777"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Therese Sands</w:t>
      </w:r>
    </w:p>
    <w:p w14:paraId="7C67F3A2" w14:textId="77777777"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Director</w:t>
      </w:r>
    </w:p>
    <w:p w14:paraId="3AFA91BA" w14:textId="77777777"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Disabled People’s Organisations Australia</w:t>
      </w:r>
    </w:p>
    <w:p w14:paraId="39B55A6C" w14:textId="77777777"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 xml:space="preserve">Email: </w:t>
      </w:r>
      <w:hyperlink r:id="rId9" w:history="1">
        <w:r w:rsidRPr="004007B0">
          <w:rPr>
            <w:rStyle w:val="Hyperlink"/>
            <w:rFonts w:asciiTheme="majorHAnsi" w:eastAsiaTheme="minorEastAsia" w:hAnsiTheme="majorHAnsi" w:cstheme="majorHAnsi"/>
            <w:sz w:val="24"/>
            <w:szCs w:val="24"/>
          </w:rPr>
          <w:t>director@dpoa.org.au</w:t>
        </w:r>
      </w:hyperlink>
      <w:r w:rsidRPr="004007B0">
        <w:rPr>
          <w:rFonts w:asciiTheme="majorHAnsi" w:eastAsiaTheme="minorEastAsia" w:hAnsiTheme="majorHAnsi" w:cstheme="majorHAnsi"/>
          <w:sz w:val="24"/>
          <w:szCs w:val="24"/>
        </w:rPr>
        <w:t xml:space="preserve"> </w:t>
      </w:r>
      <w:hyperlink r:id="rId10" w:history="1"/>
    </w:p>
    <w:p w14:paraId="7D5AB081" w14:textId="77777777"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Phone: (02) 9370 3100</w:t>
      </w:r>
    </w:p>
    <w:p w14:paraId="1B324BD0" w14:textId="77777777" w:rsidR="00F5359F" w:rsidRPr="004007B0" w:rsidRDefault="00F5359F" w:rsidP="00F5359F">
      <w:pPr>
        <w:rPr>
          <w:rFonts w:asciiTheme="majorHAnsi" w:eastAsiaTheme="minorEastAsia" w:hAnsiTheme="majorHAnsi" w:cstheme="majorHAnsi"/>
          <w:sz w:val="24"/>
          <w:szCs w:val="24"/>
        </w:rPr>
      </w:pPr>
    </w:p>
    <w:p w14:paraId="714A0956" w14:textId="77777777" w:rsidR="00CB70DD" w:rsidRDefault="00CB70DD">
      <w:r>
        <w:rPr>
          <w:b/>
          <w:bCs/>
        </w:rPr>
        <w:br w:type="page"/>
      </w:r>
    </w:p>
    <w:sdt>
      <w:sdtPr>
        <w:rPr>
          <w:rFonts w:ascii="Calibri" w:eastAsia="Calibri" w:hAnsi="Calibri" w:cs="Times New Roman"/>
          <w:b w:val="0"/>
          <w:bCs w:val="0"/>
          <w:color w:val="auto"/>
          <w:sz w:val="22"/>
          <w:szCs w:val="22"/>
          <w:lang w:val="en-AU" w:eastAsia="en-US"/>
        </w:rPr>
        <w:id w:val="1903249798"/>
        <w:docPartObj>
          <w:docPartGallery w:val="Table of Contents"/>
          <w:docPartUnique/>
        </w:docPartObj>
      </w:sdtPr>
      <w:sdtEndPr>
        <w:rPr>
          <w:noProof/>
        </w:rPr>
      </w:sdtEndPr>
      <w:sdtContent>
        <w:p w14:paraId="144CDBE7" w14:textId="45B9504A" w:rsidR="00F5359F" w:rsidRPr="005629B0" w:rsidRDefault="00F5359F" w:rsidP="00F5359F">
          <w:pPr>
            <w:pStyle w:val="TOCHeading"/>
            <w:spacing w:after="240"/>
            <w:rPr>
              <w:lang w:val="en-AU"/>
            </w:rPr>
          </w:pPr>
          <w:r w:rsidRPr="005629B0">
            <w:rPr>
              <w:lang w:val="en-AU"/>
            </w:rPr>
            <w:t>Contents</w:t>
          </w:r>
        </w:p>
        <w:p w14:paraId="72B3B591" w14:textId="77777777" w:rsidR="000E3ECE" w:rsidRDefault="00F5359F">
          <w:pPr>
            <w:pStyle w:val="TOC1"/>
            <w:tabs>
              <w:tab w:val="left" w:pos="440"/>
              <w:tab w:val="right" w:leader="dot" w:pos="8921"/>
            </w:tabs>
            <w:rPr>
              <w:rFonts w:asciiTheme="minorHAnsi" w:eastAsiaTheme="minorEastAsia" w:hAnsiTheme="minorHAnsi" w:cstheme="minorBidi"/>
              <w:noProof/>
              <w:lang w:eastAsia="en-AU"/>
            </w:rPr>
          </w:pPr>
          <w:r w:rsidRPr="005629B0">
            <w:fldChar w:fldCharType="begin"/>
          </w:r>
          <w:r w:rsidRPr="005629B0">
            <w:instrText xml:space="preserve"> TOC \o "1-3" \h \z \u </w:instrText>
          </w:r>
          <w:r w:rsidRPr="005629B0">
            <w:fldChar w:fldCharType="separate"/>
          </w:r>
          <w:hyperlink w:anchor="_Toc481945255" w:history="1">
            <w:r w:rsidR="000E3ECE" w:rsidRPr="001A7E95">
              <w:rPr>
                <w:rStyle w:val="Hyperlink"/>
                <w:noProof/>
              </w:rPr>
              <w:t>1.</w:t>
            </w:r>
            <w:r w:rsidR="000E3ECE">
              <w:rPr>
                <w:rFonts w:asciiTheme="minorHAnsi" w:eastAsiaTheme="minorEastAsia" w:hAnsiTheme="minorHAnsi" w:cstheme="minorBidi"/>
                <w:noProof/>
                <w:lang w:eastAsia="en-AU"/>
              </w:rPr>
              <w:tab/>
            </w:r>
            <w:r w:rsidR="000E3ECE" w:rsidRPr="001A7E95">
              <w:rPr>
                <w:rStyle w:val="Hyperlink"/>
                <w:noProof/>
              </w:rPr>
              <w:t>Disabled People’s Organisations Australia (DPO Australia)</w:t>
            </w:r>
            <w:r w:rsidR="000E3ECE">
              <w:rPr>
                <w:noProof/>
                <w:webHidden/>
              </w:rPr>
              <w:tab/>
            </w:r>
            <w:r w:rsidR="000E3ECE">
              <w:rPr>
                <w:noProof/>
                <w:webHidden/>
              </w:rPr>
              <w:fldChar w:fldCharType="begin"/>
            </w:r>
            <w:r w:rsidR="000E3ECE">
              <w:rPr>
                <w:noProof/>
                <w:webHidden/>
              </w:rPr>
              <w:instrText xml:space="preserve"> PAGEREF _Toc481945255 \h </w:instrText>
            </w:r>
            <w:r w:rsidR="000E3ECE">
              <w:rPr>
                <w:noProof/>
                <w:webHidden/>
              </w:rPr>
            </w:r>
            <w:r w:rsidR="000E3ECE">
              <w:rPr>
                <w:noProof/>
                <w:webHidden/>
              </w:rPr>
              <w:fldChar w:fldCharType="separate"/>
            </w:r>
            <w:r w:rsidR="0008247B">
              <w:rPr>
                <w:noProof/>
                <w:webHidden/>
              </w:rPr>
              <w:t>3</w:t>
            </w:r>
            <w:r w:rsidR="000E3ECE">
              <w:rPr>
                <w:noProof/>
                <w:webHidden/>
              </w:rPr>
              <w:fldChar w:fldCharType="end"/>
            </w:r>
          </w:hyperlink>
        </w:p>
        <w:p w14:paraId="73498158" w14:textId="77777777" w:rsidR="000E3ECE" w:rsidRDefault="00052351">
          <w:pPr>
            <w:pStyle w:val="TOC1"/>
            <w:tabs>
              <w:tab w:val="left" w:pos="440"/>
              <w:tab w:val="right" w:leader="dot" w:pos="8921"/>
            </w:tabs>
            <w:rPr>
              <w:rFonts w:asciiTheme="minorHAnsi" w:eastAsiaTheme="minorEastAsia" w:hAnsiTheme="minorHAnsi" w:cstheme="minorBidi"/>
              <w:noProof/>
              <w:lang w:eastAsia="en-AU"/>
            </w:rPr>
          </w:pPr>
          <w:hyperlink w:anchor="_Toc481945256" w:history="1">
            <w:r w:rsidR="000E3ECE" w:rsidRPr="001A7E95">
              <w:rPr>
                <w:rStyle w:val="Hyperlink"/>
                <w:noProof/>
              </w:rPr>
              <w:t>2.</w:t>
            </w:r>
            <w:r w:rsidR="000E3ECE">
              <w:rPr>
                <w:rFonts w:asciiTheme="minorHAnsi" w:eastAsiaTheme="minorEastAsia" w:hAnsiTheme="minorHAnsi" w:cstheme="minorBidi"/>
                <w:noProof/>
                <w:lang w:eastAsia="en-AU"/>
              </w:rPr>
              <w:tab/>
            </w:r>
            <w:r w:rsidR="000E3ECE" w:rsidRPr="001A7E95">
              <w:rPr>
                <w:rStyle w:val="Hyperlink"/>
                <w:noProof/>
              </w:rPr>
              <w:t>Introduction</w:t>
            </w:r>
            <w:r w:rsidR="000E3ECE">
              <w:rPr>
                <w:noProof/>
                <w:webHidden/>
              </w:rPr>
              <w:tab/>
            </w:r>
            <w:r w:rsidR="000E3ECE">
              <w:rPr>
                <w:noProof/>
                <w:webHidden/>
              </w:rPr>
              <w:fldChar w:fldCharType="begin"/>
            </w:r>
            <w:r w:rsidR="000E3ECE">
              <w:rPr>
                <w:noProof/>
                <w:webHidden/>
              </w:rPr>
              <w:instrText xml:space="preserve"> PAGEREF _Toc481945256 \h </w:instrText>
            </w:r>
            <w:r w:rsidR="000E3ECE">
              <w:rPr>
                <w:noProof/>
                <w:webHidden/>
              </w:rPr>
            </w:r>
            <w:r w:rsidR="000E3ECE">
              <w:rPr>
                <w:noProof/>
                <w:webHidden/>
              </w:rPr>
              <w:fldChar w:fldCharType="separate"/>
            </w:r>
            <w:r w:rsidR="0008247B">
              <w:rPr>
                <w:noProof/>
                <w:webHidden/>
              </w:rPr>
              <w:t>4</w:t>
            </w:r>
            <w:r w:rsidR="000E3ECE">
              <w:rPr>
                <w:noProof/>
                <w:webHidden/>
              </w:rPr>
              <w:fldChar w:fldCharType="end"/>
            </w:r>
          </w:hyperlink>
        </w:p>
        <w:p w14:paraId="65F40EF8" w14:textId="77777777" w:rsidR="000E3ECE" w:rsidRDefault="00052351">
          <w:pPr>
            <w:pStyle w:val="TOC1"/>
            <w:tabs>
              <w:tab w:val="left" w:pos="440"/>
              <w:tab w:val="right" w:leader="dot" w:pos="8921"/>
            </w:tabs>
            <w:rPr>
              <w:rFonts w:asciiTheme="minorHAnsi" w:eastAsiaTheme="minorEastAsia" w:hAnsiTheme="minorHAnsi" w:cstheme="minorBidi"/>
              <w:noProof/>
              <w:lang w:eastAsia="en-AU"/>
            </w:rPr>
          </w:pPr>
          <w:hyperlink w:anchor="_Toc481945257" w:history="1">
            <w:r w:rsidR="000E3ECE" w:rsidRPr="001A7E95">
              <w:rPr>
                <w:rStyle w:val="Hyperlink"/>
                <w:noProof/>
              </w:rPr>
              <w:t>3.</w:t>
            </w:r>
            <w:r w:rsidR="000E3ECE">
              <w:rPr>
                <w:rFonts w:asciiTheme="minorHAnsi" w:eastAsiaTheme="minorEastAsia" w:hAnsiTheme="minorHAnsi" w:cstheme="minorBidi"/>
                <w:noProof/>
                <w:lang w:eastAsia="en-AU"/>
              </w:rPr>
              <w:tab/>
            </w:r>
            <w:r w:rsidR="000E3ECE" w:rsidRPr="001A7E95">
              <w:rPr>
                <w:rStyle w:val="Hyperlink"/>
                <w:noProof/>
              </w:rPr>
              <w:t>National Disability Strategy</w:t>
            </w:r>
            <w:r w:rsidR="000E3ECE">
              <w:rPr>
                <w:noProof/>
                <w:webHidden/>
              </w:rPr>
              <w:tab/>
            </w:r>
            <w:r w:rsidR="000E3ECE">
              <w:rPr>
                <w:noProof/>
                <w:webHidden/>
              </w:rPr>
              <w:fldChar w:fldCharType="begin"/>
            </w:r>
            <w:r w:rsidR="000E3ECE">
              <w:rPr>
                <w:noProof/>
                <w:webHidden/>
              </w:rPr>
              <w:instrText xml:space="preserve"> PAGEREF _Toc481945257 \h </w:instrText>
            </w:r>
            <w:r w:rsidR="000E3ECE">
              <w:rPr>
                <w:noProof/>
                <w:webHidden/>
              </w:rPr>
            </w:r>
            <w:r w:rsidR="000E3ECE">
              <w:rPr>
                <w:noProof/>
                <w:webHidden/>
              </w:rPr>
              <w:fldChar w:fldCharType="separate"/>
            </w:r>
            <w:r w:rsidR="0008247B">
              <w:rPr>
                <w:noProof/>
                <w:webHidden/>
              </w:rPr>
              <w:t>6</w:t>
            </w:r>
            <w:r w:rsidR="000E3ECE">
              <w:rPr>
                <w:noProof/>
                <w:webHidden/>
              </w:rPr>
              <w:fldChar w:fldCharType="end"/>
            </w:r>
          </w:hyperlink>
        </w:p>
        <w:p w14:paraId="5EEF1FA0" w14:textId="77777777" w:rsidR="000E3ECE" w:rsidRDefault="00052351">
          <w:pPr>
            <w:pStyle w:val="TOC2"/>
            <w:tabs>
              <w:tab w:val="left" w:pos="880"/>
              <w:tab w:val="right" w:leader="dot" w:pos="8921"/>
            </w:tabs>
            <w:rPr>
              <w:rFonts w:asciiTheme="minorHAnsi" w:eastAsiaTheme="minorEastAsia" w:hAnsiTheme="minorHAnsi" w:cstheme="minorBidi"/>
              <w:noProof/>
              <w:lang w:eastAsia="en-AU"/>
            </w:rPr>
          </w:pPr>
          <w:hyperlink w:anchor="_Toc481945258" w:history="1">
            <w:r w:rsidR="000E3ECE" w:rsidRPr="001A7E95">
              <w:rPr>
                <w:rStyle w:val="Hyperlink"/>
                <w:noProof/>
              </w:rPr>
              <w:t>3.1</w:t>
            </w:r>
            <w:r w:rsidR="000E3ECE">
              <w:rPr>
                <w:rFonts w:asciiTheme="minorHAnsi" w:eastAsiaTheme="minorEastAsia" w:hAnsiTheme="minorHAnsi" w:cstheme="minorBidi"/>
                <w:noProof/>
                <w:lang w:eastAsia="en-AU"/>
              </w:rPr>
              <w:tab/>
            </w:r>
            <w:r w:rsidR="000E3ECE" w:rsidRPr="001A7E95">
              <w:rPr>
                <w:rStyle w:val="Hyperlink"/>
                <w:noProof/>
              </w:rPr>
              <w:t>Human Rights Framework</w:t>
            </w:r>
            <w:r w:rsidR="000E3ECE">
              <w:rPr>
                <w:noProof/>
                <w:webHidden/>
              </w:rPr>
              <w:tab/>
            </w:r>
            <w:r w:rsidR="000E3ECE">
              <w:rPr>
                <w:noProof/>
                <w:webHidden/>
              </w:rPr>
              <w:fldChar w:fldCharType="begin"/>
            </w:r>
            <w:r w:rsidR="000E3ECE">
              <w:rPr>
                <w:noProof/>
                <w:webHidden/>
              </w:rPr>
              <w:instrText xml:space="preserve"> PAGEREF _Toc481945258 \h </w:instrText>
            </w:r>
            <w:r w:rsidR="000E3ECE">
              <w:rPr>
                <w:noProof/>
                <w:webHidden/>
              </w:rPr>
            </w:r>
            <w:r w:rsidR="000E3ECE">
              <w:rPr>
                <w:noProof/>
                <w:webHidden/>
              </w:rPr>
              <w:fldChar w:fldCharType="separate"/>
            </w:r>
            <w:r w:rsidR="0008247B">
              <w:rPr>
                <w:noProof/>
                <w:webHidden/>
              </w:rPr>
              <w:t>6</w:t>
            </w:r>
            <w:r w:rsidR="000E3ECE">
              <w:rPr>
                <w:noProof/>
                <w:webHidden/>
              </w:rPr>
              <w:fldChar w:fldCharType="end"/>
            </w:r>
          </w:hyperlink>
        </w:p>
        <w:p w14:paraId="169D2DAC" w14:textId="77777777" w:rsidR="000E3ECE" w:rsidRDefault="00052351">
          <w:pPr>
            <w:pStyle w:val="TOC2"/>
            <w:tabs>
              <w:tab w:val="left" w:pos="880"/>
              <w:tab w:val="right" w:leader="dot" w:pos="8921"/>
            </w:tabs>
            <w:rPr>
              <w:rFonts w:asciiTheme="minorHAnsi" w:eastAsiaTheme="minorEastAsia" w:hAnsiTheme="minorHAnsi" w:cstheme="minorBidi"/>
              <w:noProof/>
              <w:lang w:eastAsia="en-AU"/>
            </w:rPr>
          </w:pPr>
          <w:hyperlink w:anchor="_Toc481945259" w:history="1">
            <w:r w:rsidR="000E3ECE" w:rsidRPr="001A7E95">
              <w:rPr>
                <w:rStyle w:val="Hyperlink"/>
                <w:noProof/>
              </w:rPr>
              <w:t>3.2</w:t>
            </w:r>
            <w:r w:rsidR="000E3ECE">
              <w:rPr>
                <w:rFonts w:asciiTheme="minorHAnsi" w:eastAsiaTheme="minorEastAsia" w:hAnsiTheme="minorHAnsi" w:cstheme="minorBidi"/>
                <w:noProof/>
                <w:lang w:eastAsia="en-AU"/>
              </w:rPr>
              <w:tab/>
            </w:r>
            <w:r w:rsidR="000E3ECE" w:rsidRPr="001A7E95">
              <w:rPr>
                <w:rStyle w:val="Hyperlink"/>
                <w:noProof/>
              </w:rPr>
              <w:t>Coordinated investment, concrete actions, accountability</w:t>
            </w:r>
            <w:r w:rsidR="000E3ECE">
              <w:rPr>
                <w:noProof/>
                <w:webHidden/>
              </w:rPr>
              <w:tab/>
            </w:r>
            <w:r w:rsidR="000E3ECE">
              <w:rPr>
                <w:noProof/>
                <w:webHidden/>
              </w:rPr>
              <w:fldChar w:fldCharType="begin"/>
            </w:r>
            <w:r w:rsidR="000E3ECE">
              <w:rPr>
                <w:noProof/>
                <w:webHidden/>
              </w:rPr>
              <w:instrText xml:space="preserve"> PAGEREF _Toc481945259 \h </w:instrText>
            </w:r>
            <w:r w:rsidR="000E3ECE">
              <w:rPr>
                <w:noProof/>
                <w:webHidden/>
              </w:rPr>
            </w:r>
            <w:r w:rsidR="000E3ECE">
              <w:rPr>
                <w:noProof/>
                <w:webHidden/>
              </w:rPr>
              <w:fldChar w:fldCharType="separate"/>
            </w:r>
            <w:r w:rsidR="0008247B">
              <w:rPr>
                <w:noProof/>
                <w:webHidden/>
              </w:rPr>
              <w:t>9</w:t>
            </w:r>
            <w:r w:rsidR="000E3ECE">
              <w:rPr>
                <w:noProof/>
                <w:webHidden/>
              </w:rPr>
              <w:fldChar w:fldCharType="end"/>
            </w:r>
          </w:hyperlink>
        </w:p>
        <w:p w14:paraId="26EDCC38" w14:textId="77777777" w:rsidR="000E3ECE" w:rsidRDefault="00052351">
          <w:pPr>
            <w:pStyle w:val="TOC2"/>
            <w:tabs>
              <w:tab w:val="left" w:pos="880"/>
              <w:tab w:val="right" w:leader="dot" w:pos="8921"/>
            </w:tabs>
            <w:rPr>
              <w:rFonts w:asciiTheme="minorHAnsi" w:eastAsiaTheme="minorEastAsia" w:hAnsiTheme="minorHAnsi" w:cstheme="minorBidi"/>
              <w:noProof/>
              <w:lang w:eastAsia="en-AU"/>
            </w:rPr>
          </w:pPr>
          <w:hyperlink w:anchor="_Toc481945260" w:history="1">
            <w:r w:rsidR="000E3ECE" w:rsidRPr="001A7E95">
              <w:rPr>
                <w:rStyle w:val="Hyperlink"/>
                <w:noProof/>
              </w:rPr>
              <w:t>3.3</w:t>
            </w:r>
            <w:r w:rsidR="000E3ECE">
              <w:rPr>
                <w:rFonts w:asciiTheme="minorHAnsi" w:eastAsiaTheme="minorEastAsia" w:hAnsiTheme="minorHAnsi" w:cstheme="minorBidi"/>
                <w:noProof/>
                <w:lang w:eastAsia="en-AU"/>
              </w:rPr>
              <w:tab/>
            </w:r>
            <w:r w:rsidR="000E3ECE" w:rsidRPr="001A7E95">
              <w:rPr>
                <w:rStyle w:val="Hyperlink"/>
                <w:noProof/>
              </w:rPr>
              <w:t>Engagement with people with disability</w:t>
            </w:r>
            <w:r w:rsidR="000E3ECE">
              <w:rPr>
                <w:noProof/>
                <w:webHidden/>
              </w:rPr>
              <w:tab/>
            </w:r>
            <w:r w:rsidR="000E3ECE">
              <w:rPr>
                <w:noProof/>
                <w:webHidden/>
              </w:rPr>
              <w:fldChar w:fldCharType="begin"/>
            </w:r>
            <w:r w:rsidR="000E3ECE">
              <w:rPr>
                <w:noProof/>
                <w:webHidden/>
              </w:rPr>
              <w:instrText xml:space="preserve"> PAGEREF _Toc481945260 \h </w:instrText>
            </w:r>
            <w:r w:rsidR="000E3ECE">
              <w:rPr>
                <w:noProof/>
                <w:webHidden/>
              </w:rPr>
            </w:r>
            <w:r w:rsidR="000E3ECE">
              <w:rPr>
                <w:noProof/>
                <w:webHidden/>
              </w:rPr>
              <w:fldChar w:fldCharType="separate"/>
            </w:r>
            <w:r w:rsidR="0008247B">
              <w:rPr>
                <w:noProof/>
                <w:webHidden/>
              </w:rPr>
              <w:t>14</w:t>
            </w:r>
            <w:r w:rsidR="000E3ECE">
              <w:rPr>
                <w:noProof/>
                <w:webHidden/>
              </w:rPr>
              <w:fldChar w:fldCharType="end"/>
            </w:r>
          </w:hyperlink>
        </w:p>
        <w:p w14:paraId="0BC044AF" w14:textId="77777777" w:rsidR="000E3ECE" w:rsidRDefault="00052351">
          <w:pPr>
            <w:pStyle w:val="TOC2"/>
            <w:tabs>
              <w:tab w:val="left" w:pos="880"/>
              <w:tab w:val="right" w:leader="dot" w:pos="8921"/>
            </w:tabs>
            <w:rPr>
              <w:rFonts w:asciiTheme="minorHAnsi" w:eastAsiaTheme="minorEastAsia" w:hAnsiTheme="minorHAnsi" w:cstheme="minorBidi"/>
              <w:noProof/>
              <w:lang w:eastAsia="en-AU"/>
            </w:rPr>
          </w:pPr>
          <w:hyperlink w:anchor="_Toc481945261" w:history="1">
            <w:r w:rsidR="000E3ECE" w:rsidRPr="001A7E95">
              <w:rPr>
                <w:rStyle w:val="Hyperlink"/>
                <w:noProof/>
              </w:rPr>
              <w:t>3.4</w:t>
            </w:r>
            <w:r w:rsidR="000E3ECE">
              <w:rPr>
                <w:rFonts w:asciiTheme="minorHAnsi" w:eastAsiaTheme="minorEastAsia" w:hAnsiTheme="minorHAnsi" w:cstheme="minorBidi"/>
                <w:noProof/>
                <w:lang w:eastAsia="en-AU"/>
              </w:rPr>
              <w:tab/>
            </w:r>
            <w:r w:rsidR="000E3ECE" w:rsidRPr="001A7E95">
              <w:rPr>
                <w:rStyle w:val="Hyperlink"/>
                <w:noProof/>
              </w:rPr>
              <w:t>Diversity and intersectionality</w:t>
            </w:r>
            <w:r w:rsidR="000E3ECE">
              <w:rPr>
                <w:noProof/>
                <w:webHidden/>
              </w:rPr>
              <w:tab/>
            </w:r>
            <w:r w:rsidR="000E3ECE">
              <w:rPr>
                <w:noProof/>
                <w:webHidden/>
              </w:rPr>
              <w:fldChar w:fldCharType="begin"/>
            </w:r>
            <w:r w:rsidR="000E3ECE">
              <w:rPr>
                <w:noProof/>
                <w:webHidden/>
              </w:rPr>
              <w:instrText xml:space="preserve"> PAGEREF _Toc481945261 \h </w:instrText>
            </w:r>
            <w:r w:rsidR="000E3ECE">
              <w:rPr>
                <w:noProof/>
                <w:webHidden/>
              </w:rPr>
            </w:r>
            <w:r w:rsidR="000E3ECE">
              <w:rPr>
                <w:noProof/>
                <w:webHidden/>
              </w:rPr>
              <w:fldChar w:fldCharType="separate"/>
            </w:r>
            <w:r w:rsidR="0008247B">
              <w:rPr>
                <w:noProof/>
                <w:webHidden/>
              </w:rPr>
              <w:t>16</w:t>
            </w:r>
            <w:r w:rsidR="000E3ECE">
              <w:rPr>
                <w:noProof/>
                <w:webHidden/>
              </w:rPr>
              <w:fldChar w:fldCharType="end"/>
            </w:r>
          </w:hyperlink>
        </w:p>
        <w:p w14:paraId="6A1793DC" w14:textId="77777777" w:rsidR="000E3ECE" w:rsidRDefault="00052351">
          <w:pPr>
            <w:pStyle w:val="TOC1"/>
            <w:tabs>
              <w:tab w:val="left" w:pos="440"/>
              <w:tab w:val="right" w:leader="dot" w:pos="8921"/>
            </w:tabs>
            <w:rPr>
              <w:rFonts w:asciiTheme="minorHAnsi" w:eastAsiaTheme="minorEastAsia" w:hAnsiTheme="minorHAnsi" w:cstheme="minorBidi"/>
              <w:noProof/>
              <w:lang w:eastAsia="en-AU"/>
            </w:rPr>
          </w:pPr>
          <w:hyperlink w:anchor="_Toc481945262" w:history="1">
            <w:r w:rsidR="000E3ECE" w:rsidRPr="001A7E95">
              <w:rPr>
                <w:rStyle w:val="Hyperlink"/>
                <w:noProof/>
              </w:rPr>
              <w:t>4.</w:t>
            </w:r>
            <w:r w:rsidR="000E3ECE">
              <w:rPr>
                <w:rFonts w:asciiTheme="minorHAnsi" w:eastAsiaTheme="minorEastAsia" w:hAnsiTheme="minorHAnsi" w:cstheme="minorBidi"/>
                <w:noProof/>
                <w:lang w:eastAsia="en-AU"/>
              </w:rPr>
              <w:tab/>
            </w:r>
            <w:r w:rsidR="000E3ECE" w:rsidRPr="001A7E95">
              <w:rPr>
                <w:rStyle w:val="Hyperlink"/>
                <w:noProof/>
              </w:rPr>
              <w:t>Inclusive and accessible communities</w:t>
            </w:r>
            <w:r w:rsidR="000E3ECE">
              <w:rPr>
                <w:noProof/>
                <w:webHidden/>
              </w:rPr>
              <w:tab/>
            </w:r>
            <w:r w:rsidR="000E3ECE">
              <w:rPr>
                <w:noProof/>
                <w:webHidden/>
              </w:rPr>
              <w:fldChar w:fldCharType="begin"/>
            </w:r>
            <w:r w:rsidR="000E3ECE">
              <w:rPr>
                <w:noProof/>
                <w:webHidden/>
              </w:rPr>
              <w:instrText xml:space="preserve"> PAGEREF _Toc481945262 \h </w:instrText>
            </w:r>
            <w:r w:rsidR="000E3ECE">
              <w:rPr>
                <w:noProof/>
                <w:webHidden/>
              </w:rPr>
            </w:r>
            <w:r w:rsidR="000E3ECE">
              <w:rPr>
                <w:noProof/>
                <w:webHidden/>
              </w:rPr>
              <w:fldChar w:fldCharType="separate"/>
            </w:r>
            <w:r w:rsidR="0008247B">
              <w:rPr>
                <w:noProof/>
                <w:webHidden/>
              </w:rPr>
              <w:t>18</w:t>
            </w:r>
            <w:r w:rsidR="000E3ECE">
              <w:rPr>
                <w:noProof/>
                <w:webHidden/>
              </w:rPr>
              <w:fldChar w:fldCharType="end"/>
            </w:r>
          </w:hyperlink>
        </w:p>
        <w:p w14:paraId="19A512F2" w14:textId="77777777" w:rsidR="00F5359F" w:rsidRPr="005629B0" w:rsidRDefault="00F5359F" w:rsidP="00F5359F">
          <w:r w:rsidRPr="005629B0">
            <w:rPr>
              <w:b/>
              <w:bCs/>
              <w:noProof/>
            </w:rPr>
            <w:fldChar w:fldCharType="end"/>
          </w:r>
        </w:p>
      </w:sdtContent>
    </w:sdt>
    <w:p w14:paraId="6CD47E17" w14:textId="77777777" w:rsidR="00F5359F" w:rsidRPr="005629B0" w:rsidRDefault="00F5359F" w:rsidP="00F5359F">
      <w:pPr>
        <w:pStyle w:val="NoSpacing"/>
        <w:rPr>
          <w:sz w:val="24"/>
          <w:szCs w:val="24"/>
          <w:lang w:val="en-AU"/>
        </w:rPr>
      </w:pPr>
    </w:p>
    <w:p w14:paraId="2EF630B1" w14:textId="77777777" w:rsidR="00F5359F" w:rsidRPr="005629B0" w:rsidRDefault="00F5359F" w:rsidP="00F5359F">
      <w:pPr>
        <w:rPr>
          <w:sz w:val="24"/>
          <w:szCs w:val="24"/>
        </w:rPr>
      </w:pPr>
    </w:p>
    <w:p w14:paraId="35B6C55A" w14:textId="77777777" w:rsidR="00F5359F" w:rsidRPr="005629B0" w:rsidRDefault="00F5359F" w:rsidP="00F5359F">
      <w:pPr>
        <w:pStyle w:val="NoSpacing"/>
        <w:rPr>
          <w:sz w:val="22"/>
          <w:szCs w:val="22"/>
          <w:lang w:val="en-AU"/>
        </w:rPr>
      </w:pPr>
    </w:p>
    <w:p w14:paraId="3FBDD960" w14:textId="77777777" w:rsidR="00F5359F" w:rsidRPr="005629B0" w:rsidRDefault="00F5359F" w:rsidP="00F5359F"/>
    <w:p w14:paraId="7148FCE2"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181A4F1C"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445992F4"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3B6773CE"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0AD28586"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4959176F"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79E4C82D"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58E051CB" w14:textId="77777777" w:rsidR="00F5359F" w:rsidRPr="005629B0" w:rsidRDefault="00F5359F" w:rsidP="00F5359F">
      <w:pPr>
        <w:rPr>
          <w:rFonts w:asciiTheme="majorHAnsi" w:hAnsiTheme="majorHAnsi" w:cs="Arial"/>
          <w:sz w:val="24"/>
          <w:szCs w:val="24"/>
        </w:rPr>
      </w:pPr>
      <w:r w:rsidRPr="005629B0">
        <w:rPr>
          <w:rFonts w:asciiTheme="majorHAnsi" w:hAnsiTheme="majorHAnsi" w:cs="Arial"/>
          <w:sz w:val="24"/>
          <w:szCs w:val="24"/>
        </w:rPr>
        <w:br w:type="page"/>
      </w:r>
    </w:p>
    <w:p w14:paraId="30AEC4DE" w14:textId="77777777" w:rsidR="00F5359F" w:rsidRPr="005629B0" w:rsidRDefault="00F5359F" w:rsidP="00F5359F">
      <w:pPr>
        <w:pStyle w:val="Heading1"/>
        <w:ind w:left="567" w:hanging="567"/>
      </w:pPr>
      <w:bookmarkStart w:id="1" w:name="_Toc481945255"/>
      <w:r w:rsidRPr="005629B0">
        <w:lastRenderedPageBreak/>
        <w:t>Disabled People’s Organisations Australia (DPO Australia)</w:t>
      </w:r>
      <w:bookmarkEnd w:id="1"/>
    </w:p>
    <w:p w14:paraId="3BC3569C" w14:textId="77777777" w:rsidR="00F5359F" w:rsidRPr="005629B0" w:rsidRDefault="00F5359F" w:rsidP="00F5359F">
      <w:pPr>
        <w:pBdr>
          <w:bottom w:val="single" w:sz="12" w:space="1" w:color="auto"/>
        </w:pBdr>
        <w:rPr>
          <w:sz w:val="16"/>
          <w:szCs w:val="16"/>
        </w:rPr>
      </w:pPr>
    </w:p>
    <w:p w14:paraId="4FDE6FF8" w14:textId="77777777"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r w:rsidRPr="004007B0">
        <w:rPr>
          <w:rFonts w:asciiTheme="majorHAnsi" w:hAnsiTheme="majorHAnsi" w:cs="Arial"/>
          <w:sz w:val="24"/>
          <w:szCs w:val="24"/>
        </w:rPr>
        <w:t>Disabled People’s Organisations Australia (DPO Australia) is an alliance of four national DPOs in Australia.  DPOs are organisations that are governed, led by and constituted of people with disability.</w:t>
      </w:r>
    </w:p>
    <w:p w14:paraId="237A5A02" w14:textId="77777777"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r w:rsidRPr="004007B0">
        <w:rPr>
          <w:rFonts w:asciiTheme="majorHAnsi" w:hAnsiTheme="majorHAnsi" w:cs="Arial"/>
          <w:sz w:val="24"/>
          <w:szCs w:val="24"/>
        </w:rPr>
        <w:t xml:space="preserve">The key purpose of the DPO Australia is to promote, protect and advance the human rights and freedoms of people with disability in Australia by working collaboratively on areas of shared interests, purposes and strategic priorities and opportunities. </w:t>
      </w:r>
    </w:p>
    <w:p w14:paraId="27DBBB32" w14:textId="1F0B48E3"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heme="majorHAnsi" w:hAnsiTheme="majorHAnsi" w:cs="Arial"/>
          <w:sz w:val="24"/>
          <w:szCs w:val="24"/>
        </w:rPr>
      </w:pPr>
      <w:r w:rsidRPr="004007B0">
        <w:rPr>
          <w:rFonts w:asciiTheme="majorHAnsi" w:hAnsiTheme="majorHAnsi" w:cs="Arial"/>
          <w:sz w:val="24"/>
          <w:szCs w:val="24"/>
        </w:rPr>
        <w:t xml:space="preserve">DPO Australia is made up of four national </w:t>
      </w:r>
      <w:proofErr w:type="gramStart"/>
      <w:r w:rsidRPr="004007B0">
        <w:rPr>
          <w:rFonts w:asciiTheme="majorHAnsi" w:hAnsiTheme="majorHAnsi" w:cs="Arial"/>
          <w:sz w:val="24"/>
          <w:szCs w:val="24"/>
        </w:rPr>
        <w:t>population</w:t>
      </w:r>
      <w:proofErr w:type="gramEnd"/>
      <w:r w:rsidRPr="004007B0">
        <w:rPr>
          <w:rFonts w:asciiTheme="majorHAnsi" w:hAnsiTheme="majorHAnsi" w:cs="Arial"/>
          <w:sz w:val="24"/>
          <w:szCs w:val="24"/>
        </w:rPr>
        <w:t xml:space="preserve"> specific and cross-disability DPOs that have been funded by the Australian Government to </w:t>
      </w:r>
      <w:r w:rsidR="000479A5">
        <w:rPr>
          <w:rFonts w:asciiTheme="majorHAnsi" w:hAnsiTheme="majorHAnsi" w:cs="Arial"/>
          <w:sz w:val="24"/>
          <w:szCs w:val="24"/>
        </w:rPr>
        <w:t xml:space="preserve">represent the views of people with disability and provide advice to </w:t>
      </w:r>
      <w:r w:rsidRPr="004007B0">
        <w:rPr>
          <w:rFonts w:asciiTheme="majorHAnsi" w:hAnsiTheme="majorHAnsi" w:cs="Arial"/>
          <w:sz w:val="24"/>
          <w:szCs w:val="24"/>
        </w:rPr>
        <w:t>Government/s and other stakeholders</w:t>
      </w:r>
      <w:r w:rsidR="009C434C">
        <w:rPr>
          <w:rFonts w:asciiTheme="majorHAnsi" w:hAnsiTheme="majorHAnsi" w:cs="Arial"/>
          <w:sz w:val="24"/>
          <w:szCs w:val="24"/>
        </w:rPr>
        <w:t>.</w:t>
      </w:r>
      <w:r w:rsidRPr="004007B0">
        <w:rPr>
          <w:rFonts w:asciiTheme="majorHAnsi" w:hAnsiTheme="majorHAnsi" w:cs="Arial"/>
          <w:sz w:val="24"/>
          <w:szCs w:val="24"/>
        </w:rPr>
        <w:t xml:space="preserve">  </w:t>
      </w:r>
    </w:p>
    <w:p w14:paraId="33A9370B" w14:textId="77777777"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r w:rsidRPr="004007B0">
        <w:rPr>
          <w:rFonts w:asciiTheme="majorHAnsi" w:hAnsiTheme="majorHAnsi" w:cs="Arial"/>
          <w:sz w:val="24"/>
          <w:szCs w:val="24"/>
        </w:rPr>
        <w:t>The four DPO Australia members are:</w:t>
      </w:r>
    </w:p>
    <w:p w14:paraId="7DB17E94" w14:textId="77777777" w:rsidR="00F5359F" w:rsidRPr="004007B0" w:rsidRDefault="00052351"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hyperlink r:id="rId11" w:history="1">
        <w:r w:rsidR="00F5359F" w:rsidRPr="004007B0">
          <w:rPr>
            <w:rStyle w:val="Hyperlink"/>
            <w:rFonts w:asciiTheme="majorHAnsi" w:hAnsiTheme="majorHAnsi" w:cs="Arial"/>
            <w:sz w:val="24"/>
            <w:szCs w:val="24"/>
          </w:rPr>
          <w:t>Women With Disabilities Australia (WWDA)</w:t>
        </w:r>
      </w:hyperlink>
      <w:r w:rsidR="00F5359F" w:rsidRPr="004007B0">
        <w:rPr>
          <w:rFonts w:asciiTheme="majorHAnsi" w:hAnsiTheme="majorHAnsi" w:cs="Arial"/>
          <w:sz w:val="24"/>
          <w:szCs w:val="24"/>
        </w:rPr>
        <w:t xml:space="preserve"> is the national cross-disability DPO for women and girls with all types of disabilities in Australia. It operates as a transnational human rights organisation and is run by women with disabilities, for women with disabilities. WWDA’s work is grounded in a human rights based framework which links gender and disability issues to a full range of civil, political, economic, social and cultural rights.</w:t>
      </w:r>
    </w:p>
    <w:p w14:paraId="1D51EEF3" w14:textId="77777777" w:rsidR="00F5359F" w:rsidRPr="004007B0" w:rsidRDefault="00052351"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hyperlink r:id="rId12" w:history="1">
        <w:r w:rsidR="00F5359F" w:rsidRPr="004007B0">
          <w:rPr>
            <w:rStyle w:val="Hyperlink"/>
            <w:rFonts w:asciiTheme="majorHAnsi" w:hAnsiTheme="majorHAnsi" w:cs="Arial"/>
            <w:sz w:val="24"/>
            <w:szCs w:val="24"/>
          </w:rPr>
          <w:t>First Peoples Disability Network Australia (FPDNA)</w:t>
        </w:r>
      </w:hyperlink>
      <w:r w:rsidR="00F5359F" w:rsidRPr="004007B0">
        <w:rPr>
          <w:rFonts w:asciiTheme="majorHAnsi" w:hAnsiTheme="majorHAnsi" w:cs="Arial"/>
          <w:sz w:val="24"/>
          <w:szCs w:val="24"/>
        </w:rPr>
        <w:t xml:space="preserve"> is the national cross-disability DPO representing Aboriginal and Torres Strait Islander people with disability and their families. FPDNA utilises a range of strategies in its representative role, including through the provision of high-level advice to governments, and educating the government and non-government sectors about how to meet the unmet needs of Aboriginal and Torres Strait Islander people with disability.</w:t>
      </w:r>
    </w:p>
    <w:p w14:paraId="6B48AB6E" w14:textId="77777777" w:rsidR="00F5359F" w:rsidRPr="004007B0" w:rsidRDefault="00052351"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hyperlink r:id="rId13" w:history="1">
        <w:r w:rsidR="00F5359F" w:rsidRPr="004007B0">
          <w:rPr>
            <w:rStyle w:val="Hyperlink"/>
            <w:rFonts w:asciiTheme="majorHAnsi" w:hAnsiTheme="majorHAnsi" w:cs="Arial"/>
            <w:sz w:val="24"/>
            <w:szCs w:val="24"/>
          </w:rPr>
          <w:t>People with Disability Australia (PWDA)</w:t>
        </w:r>
      </w:hyperlink>
      <w:r w:rsidR="00F5359F" w:rsidRPr="004007B0">
        <w:rPr>
          <w:rFonts w:asciiTheme="majorHAnsi" w:hAnsiTheme="majorHAnsi" w:cs="Arial"/>
          <w:sz w:val="24"/>
          <w:szCs w:val="24"/>
        </w:rPr>
        <w:t xml:space="preserve"> is the national cross disability rights and advocacy organisation run by and for people with disability. Working within a human rights framework, PWDA represents the interests of people with all kinds of disability. Its primary membership is made up of people with disability and organisations primarily constituted by people with disability. It also has a large associate membership of other individuals and organisations committed to the disability rights movement.</w:t>
      </w:r>
    </w:p>
    <w:p w14:paraId="5DE57BEB" w14:textId="77777777" w:rsidR="00F5359F" w:rsidRPr="00FB002E" w:rsidRDefault="00052351"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hyperlink r:id="rId14" w:history="1">
        <w:r w:rsidR="00F5359F" w:rsidRPr="004007B0">
          <w:rPr>
            <w:rStyle w:val="Hyperlink"/>
            <w:rFonts w:asciiTheme="majorHAnsi" w:hAnsiTheme="majorHAnsi" w:cs="Arial"/>
            <w:sz w:val="24"/>
            <w:szCs w:val="24"/>
          </w:rPr>
          <w:t>National Ethnic Disability Alliance (NEDA)</w:t>
        </w:r>
      </w:hyperlink>
      <w:r w:rsidR="00F5359F" w:rsidRPr="004007B0">
        <w:rPr>
          <w:rFonts w:asciiTheme="majorHAnsi" w:hAnsiTheme="majorHAnsi" w:cs="Arial"/>
          <w:sz w:val="24"/>
          <w:szCs w:val="24"/>
        </w:rPr>
        <w:t xml:space="preserve"> is the national peak organisation representing the rights and interests of people from Culturally and Linguistically Diverse (CALD/NESB) people with disability, their families and carers throughout Australia. NEDA advocates at the federal level so that CALD/NESB people with disability can participate fully in all aspects of social, economic, political and cultural life.</w:t>
      </w:r>
      <w:r w:rsidR="00F5359F" w:rsidRPr="005629B0">
        <w:br w:type="page"/>
      </w:r>
    </w:p>
    <w:p w14:paraId="47CFC202" w14:textId="77777777" w:rsidR="00F5359F" w:rsidRPr="005629B0" w:rsidRDefault="00F5359F" w:rsidP="00F5359F">
      <w:pPr>
        <w:pStyle w:val="Heading1"/>
        <w:ind w:left="567" w:hanging="567"/>
      </w:pPr>
      <w:bookmarkStart w:id="2" w:name="_Toc481945256"/>
      <w:r w:rsidRPr="005629B0">
        <w:lastRenderedPageBreak/>
        <w:t>Introduction</w:t>
      </w:r>
      <w:bookmarkEnd w:id="2"/>
    </w:p>
    <w:p w14:paraId="0852A630" w14:textId="77777777" w:rsidR="00F5359F" w:rsidRPr="005629B0" w:rsidRDefault="00F5359F" w:rsidP="00F5359F">
      <w:pPr>
        <w:pBdr>
          <w:bottom w:val="single" w:sz="12" w:space="1" w:color="auto"/>
        </w:pBdr>
        <w:jc w:val="right"/>
        <w:rPr>
          <w:sz w:val="16"/>
          <w:szCs w:val="16"/>
        </w:rPr>
      </w:pPr>
    </w:p>
    <w:p w14:paraId="66631C26" w14:textId="7A1A5772" w:rsidR="005D20AB" w:rsidRDefault="00D25936" w:rsidP="00D25936">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 xml:space="preserve">2.1 </w:t>
      </w:r>
      <w:r>
        <w:rPr>
          <w:rFonts w:cs="Calibri"/>
          <w:sz w:val="24"/>
          <w:szCs w:val="24"/>
        </w:rPr>
        <w:tab/>
      </w:r>
      <w:r w:rsidR="00C61EF4">
        <w:rPr>
          <w:rFonts w:cs="Calibri"/>
          <w:sz w:val="24"/>
          <w:szCs w:val="24"/>
        </w:rPr>
        <w:t xml:space="preserve">DPO Australia </w:t>
      </w:r>
      <w:r w:rsidR="005D20AB">
        <w:rPr>
          <w:rFonts w:cs="Calibri"/>
          <w:sz w:val="24"/>
          <w:szCs w:val="24"/>
        </w:rPr>
        <w:t>welcomes</w:t>
      </w:r>
      <w:r w:rsidR="005D20AB" w:rsidRPr="0079699A">
        <w:rPr>
          <w:rFonts w:cs="Calibri"/>
          <w:sz w:val="24"/>
          <w:szCs w:val="24"/>
        </w:rPr>
        <w:t xml:space="preserve"> the opportunity to </w:t>
      </w:r>
      <w:r w:rsidR="005D20AB">
        <w:rPr>
          <w:rFonts w:cs="Calibri"/>
          <w:sz w:val="24"/>
          <w:szCs w:val="24"/>
        </w:rPr>
        <w:t xml:space="preserve">provide </w:t>
      </w:r>
      <w:r w:rsidR="005971F6">
        <w:rPr>
          <w:rFonts w:cs="Calibri"/>
          <w:sz w:val="24"/>
          <w:szCs w:val="24"/>
        </w:rPr>
        <w:t xml:space="preserve">this submission </w:t>
      </w:r>
      <w:r w:rsidR="005D20AB">
        <w:rPr>
          <w:rFonts w:cs="Calibri"/>
          <w:sz w:val="24"/>
          <w:szCs w:val="24"/>
        </w:rPr>
        <w:t xml:space="preserve">to the </w:t>
      </w:r>
      <w:r w:rsidR="005971F6">
        <w:rPr>
          <w:rFonts w:cs="Calibri"/>
          <w:sz w:val="24"/>
          <w:szCs w:val="24"/>
        </w:rPr>
        <w:t>Senate Community Affairs References Commi</w:t>
      </w:r>
      <w:r w:rsidR="00A44BB3">
        <w:rPr>
          <w:rFonts w:cs="Calibri"/>
          <w:sz w:val="24"/>
          <w:szCs w:val="24"/>
        </w:rPr>
        <w:t>ttee inquiry into the delivery of</w:t>
      </w:r>
      <w:r w:rsidR="005971F6">
        <w:rPr>
          <w:rFonts w:cs="Calibri"/>
          <w:sz w:val="24"/>
          <w:szCs w:val="24"/>
        </w:rPr>
        <w:t xml:space="preserve"> outcomes under the National Disability Strategy 2010-2010 </w:t>
      </w:r>
      <w:r w:rsidR="00B96649">
        <w:rPr>
          <w:rFonts w:cs="Calibri"/>
          <w:sz w:val="24"/>
          <w:szCs w:val="24"/>
        </w:rPr>
        <w:t xml:space="preserve">(NDS) </w:t>
      </w:r>
      <w:r w:rsidR="005971F6">
        <w:rPr>
          <w:rFonts w:cs="Calibri"/>
          <w:sz w:val="24"/>
          <w:szCs w:val="24"/>
        </w:rPr>
        <w:t xml:space="preserve">to build inclusive and accessible communities.  </w:t>
      </w:r>
    </w:p>
    <w:p w14:paraId="3C39BC53" w14:textId="021A5396" w:rsidR="00042B65" w:rsidRDefault="00D25936" w:rsidP="00341A16">
      <w:pPr>
        <w:widowControl w:val="0"/>
        <w:tabs>
          <w:tab w:val="left" w:pos="567"/>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sidRPr="00341A16">
        <w:rPr>
          <w:rFonts w:cs="Calibri"/>
          <w:sz w:val="24"/>
          <w:szCs w:val="24"/>
        </w:rPr>
        <w:t>2.2</w:t>
      </w:r>
      <w:r w:rsidRPr="00341A16">
        <w:rPr>
          <w:rFonts w:cs="Calibri"/>
          <w:sz w:val="24"/>
          <w:szCs w:val="24"/>
        </w:rPr>
        <w:tab/>
      </w:r>
      <w:r w:rsidR="00042B65">
        <w:rPr>
          <w:rFonts w:cs="Calibri"/>
          <w:sz w:val="24"/>
          <w:szCs w:val="24"/>
        </w:rPr>
        <w:t>DPO Australia notes that there is no comprehensive legislative, administrative, judicial or other protection of human rights in Australian domestic law</w:t>
      </w:r>
      <w:r w:rsidR="000D1904">
        <w:rPr>
          <w:rFonts w:cs="Calibri"/>
          <w:sz w:val="24"/>
          <w:szCs w:val="24"/>
        </w:rPr>
        <w:t>,</w:t>
      </w:r>
      <w:r w:rsidR="00042B65">
        <w:rPr>
          <w:rStyle w:val="FootnoteReference"/>
          <w:rFonts w:cs="Calibri"/>
          <w:sz w:val="24"/>
          <w:szCs w:val="24"/>
        </w:rPr>
        <w:footnoteReference w:id="1"/>
      </w:r>
      <w:r w:rsidR="000D1904">
        <w:rPr>
          <w:rFonts w:cs="Calibri"/>
          <w:sz w:val="24"/>
          <w:szCs w:val="24"/>
        </w:rPr>
        <w:t xml:space="preserve"> such as a Bill of Rights. </w:t>
      </w:r>
      <w:r w:rsidR="00042B65">
        <w:rPr>
          <w:rFonts w:cs="Calibri"/>
          <w:sz w:val="24"/>
          <w:szCs w:val="24"/>
        </w:rPr>
        <w:t xml:space="preserve"> The </w:t>
      </w:r>
      <w:r w:rsidR="00042B65" w:rsidRPr="00341A16">
        <w:rPr>
          <w:rFonts w:cs="Calibri"/>
          <w:sz w:val="24"/>
          <w:szCs w:val="24"/>
        </w:rPr>
        <w:t xml:space="preserve">NDS </w:t>
      </w:r>
      <w:r w:rsidR="00042B65">
        <w:rPr>
          <w:rFonts w:cs="Calibri"/>
          <w:sz w:val="24"/>
          <w:szCs w:val="24"/>
        </w:rPr>
        <w:t>is</w:t>
      </w:r>
      <w:r w:rsidR="00042B65" w:rsidRPr="00341A16">
        <w:rPr>
          <w:rFonts w:cs="Calibri"/>
          <w:sz w:val="24"/>
          <w:szCs w:val="24"/>
        </w:rPr>
        <w:t xml:space="preserve"> the principal national strategic plan</w:t>
      </w:r>
      <w:r w:rsidR="00042B65">
        <w:rPr>
          <w:rFonts w:cs="Calibri"/>
          <w:sz w:val="24"/>
          <w:szCs w:val="24"/>
        </w:rPr>
        <w:t>,</w:t>
      </w:r>
      <w:r w:rsidR="00042B65" w:rsidRPr="00341A16">
        <w:rPr>
          <w:rFonts w:cs="Calibri"/>
          <w:sz w:val="24"/>
          <w:szCs w:val="24"/>
        </w:rPr>
        <w:t xml:space="preserve"> </w:t>
      </w:r>
      <w:r w:rsidR="00042B65">
        <w:rPr>
          <w:rFonts w:cs="Calibri"/>
          <w:sz w:val="24"/>
          <w:szCs w:val="24"/>
        </w:rPr>
        <w:t xml:space="preserve">agreed by all Australian governments, </w:t>
      </w:r>
      <w:r w:rsidR="00042B65" w:rsidRPr="00341A16">
        <w:rPr>
          <w:rFonts w:cs="Calibri"/>
          <w:sz w:val="24"/>
          <w:szCs w:val="24"/>
        </w:rPr>
        <w:t xml:space="preserve">to implement the United Nations </w:t>
      </w:r>
      <w:r w:rsidR="00042B65" w:rsidRPr="00341A16">
        <w:rPr>
          <w:rFonts w:cs="Calibri"/>
          <w:i/>
          <w:sz w:val="24"/>
          <w:szCs w:val="24"/>
        </w:rPr>
        <w:t>Convention on the Rights of Persons with Disabilities</w:t>
      </w:r>
      <w:r w:rsidR="00042B65" w:rsidRPr="00341A16">
        <w:rPr>
          <w:rFonts w:cs="Calibri"/>
          <w:sz w:val="24"/>
          <w:szCs w:val="24"/>
        </w:rPr>
        <w:t xml:space="preserve"> (CRPD)</w:t>
      </w:r>
      <w:r w:rsidR="000D1904">
        <w:rPr>
          <w:rFonts w:cs="Calibri"/>
          <w:sz w:val="24"/>
          <w:szCs w:val="24"/>
        </w:rPr>
        <w:t xml:space="preserve">.  The </w:t>
      </w:r>
      <w:r w:rsidR="00042B65">
        <w:rPr>
          <w:rFonts w:cs="Calibri"/>
          <w:sz w:val="24"/>
          <w:szCs w:val="24"/>
        </w:rPr>
        <w:t xml:space="preserve">NDS is critical to the realisation of the </w:t>
      </w:r>
      <w:r w:rsidR="00042B65" w:rsidRPr="00341A16">
        <w:rPr>
          <w:rFonts w:cs="Calibri"/>
          <w:sz w:val="24"/>
          <w:szCs w:val="24"/>
        </w:rPr>
        <w:t xml:space="preserve">human rights of people with disability in Australia. </w:t>
      </w:r>
      <w:r w:rsidR="00042B65">
        <w:rPr>
          <w:rFonts w:cs="Calibri"/>
          <w:sz w:val="24"/>
          <w:szCs w:val="24"/>
        </w:rPr>
        <w:t xml:space="preserve"> </w:t>
      </w:r>
    </w:p>
    <w:p w14:paraId="44DBBB59" w14:textId="0FF8BE59" w:rsidR="00CF3781" w:rsidRDefault="00042B65" w:rsidP="00042B65">
      <w:pPr>
        <w:widowControl w:val="0"/>
        <w:tabs>
          <w:tab w:val="left" w:pos="567"/>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2.3</w:t>
      </w:r>
      <w:r>
        <w:rPr>
          <w:rFonts w:cs="Calibri"/>
          <w:sz w:val="24"/>
          <w:szCs w:val="24"/>
        </w:rPr>
        <w:tab/>
      </w:r>
      <w:r w:rsidR="00CF3781">
        <w:rPr>
          <w:rFonts w:cs="Calibri"/>
          <w:sz w:val="24"/>
          <w:szCs w:val="24"/>
        </w:rPr>
        <w:t xml:space="preserve">The NDS was developed following a public consultation process conducted across Australia and resulting in the 2009 report, </w:t>
      </w:r>
      <w:r w:rsidR="00CF3781" w:rsidRPr="00CF3781">
        <w:rPr>
          <w:rFonts w:cs="Calibri"/>
          <w:i/>
          <w:sz w:val="24"/>
          <w:szCs w:val="24"/>
        </w:rPr>
        <w:t>Shut Out: The Experience of People with Disabilities and their Families in Australia</w:t>
      </w:r>
      <w:r w:rsidR="00CF3781">
        <w:rPr>
          <w:rFonts w:cs="Calibri"/>
          <w:sz w:val="24"/>
          <w:szCs w:val="24"/>
        </w:rPr>
        <w:t>.</w:t>
      </w:r>
      <w:r w:rsidR="00CF3781">
        <w:rPr>
          <w:rStyle w:val="FootnoteReference"/>
          <w:rFonts w:cs="Calibri"/>
          <w:sz w:val="24"/>
          <w:szCs w:val="24"/>
        </w:rPr>
        <w:footnoteReference w:id="2"/>
      </w:r>
      <w:r w:rsidR="00CF3781">
        <w:rPr>
          <w:rFonts w:cs="Calibri"/>
          <w:sz w:val="24"/>
          <w:szCs w:val="24"/>
        </w:rPr>
        <w:t xml:space="preserve">  This report exposed the daily experiences of stigma, discrimination, disadvantage and human rights violations that are faced by people with disability, and it underscored the critical need for the NDS as a human rights focused national strategy.</w:t>
      </w:r>
    </w:p>
    <w:p w14:paraId="7ECA6972" w14:textId="33CE6FB4" w:rsidR="00CF3781" w:rsidRDefault="00CF3781" w:rsidP="00042B65">
      <w:pPr>
        <w:widowControl w:val="0"/>
        <w:tabs>
          <w:tab w:val="left" w:pos="567"/>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2.4</w:t>
      </w:r>
      <w:r>
        <w:rPr>
          <w:rFonts w:cs="Calibri"/>
          <w:sz w:val="24"/>
          <w:szCs w:val="24"/>
        </w:rPr>
        <w:tab/>
        <w:t>In 2012, DPOs and other disability representative and advocacy organisations prepared a report</w:t>
      </w:r>
      <w:r w:rsidR="00357956">
        <w:rPr>
          <w:rFonts w:cs="Calibri"/>
          <w:sz w:val="24"/>
          <w:szCs w:val="24"/>
        </w:rPr>
        <w:t>,</w:t>
      </w:r>
      <w:r>
        <w:rPr>
          <w:rFonts w:cs="Calibri"/>
          <w:sz w:val="24"/>
          <w:szCs w:val="24"/>
        </w:rPr>
        <w:t xml:space="preserve"> </w:t>
      </w:r>
      <w:r w:rsidR="00357956" w:rsidRPr="00CF3781">
        <w:rPr>
          <w:rFonts w:cs="Calibri"/>
          <w:i/>
          <w:sz w:val="24"/>
          <w:szCs w:val="24"/>
        </w:rPr>
        <w:t>Disability Rights Now</w:t>
      </w:r>
      <w:r w:rsidR="00357956">
        <w:rPr>
          <w:rStyle w:val="FootnoteReference"/>
          <w:rFonts w:cs="Calibri"/>
          <w:i/>
          <w:sz w:val="24"/>
          <w:szCs w:val="24"/>
        </w:rPr>
        <w:footnoteReference w:id="3"/>
      </w:r>
      <w:r w:rsidR="00357956">
        <w:rPr>
          <w:rFonts w:cs="Calibri"/>
          <w:sz w:val="24"/>
          <w:szCs w:val="24"/>
        </w:rPr>
        <w:t xml:space="preserve"> </w:t>
      </w:r>
      <w:r>
        <w:rPr>
          <w:rFonts w:cs="Calibri"/>
          <w:sz w:val="24"/>
          <w:szCs w:val="24"/>
        </w:rPr>
        <w:t>for the United Nations (UN)</w:t>
      </w:r>
      <w:r w:rsidR="00357956">
        <w:rPr>
          <w:rFonts w:cs="Calibri"/>
          <w:sz w:val="24"/>
          <w:szCs w:val="24"/>
        </w:rPr>
        <w:t xml:space="preserve"> review of Australia under the CRPD.  Based </w:t>
      </w:r>
      <w:r>
        <w:rPr>
          <w:rFonts w:cs="Calibri"/>
          <w:sz w:val="24"/>
          <w:szCs w:val="24"/>
        </w:rPr>
        <w:t>on consultations across Australia with people with disability and their representative organisations</w:t>
      </w:r>
      <w:r w:rsidR="00357956">
        <w:rPr>
          <w:rFonts w:cs="Calibri"/>
          <w:sz w:val="24"/>
          <w:szCs w:val="24"/>
        </w:rPr>
        <w:t xml:space="preserve">, this </w:t>
      </w:r>
      <w:r>
        <w:rPr>
          <w:rFonts w:cs="Calibri"/>
          <w:sz w:val="24"/>
          <w:szCs w:val="24"/>
        </w:rPr>
        <w:t xml:space="preserve">report </w:t>
      </w:r>
      <w:r w:rsidR="00357956">
        <w:rPr>
          <w:rFonts w:cs="Calibri"/>
          <w:sz w:val="24"/>
          <w:szCs w:val="24"/>
        </w:rPr>
        <w:t xml:space="preserve">also </w:t>
      </w:r>
      <w:r>
        <w:rPr>
          <w:rFonts w:cs="Calibri"/>
          <w:sz w:val="24"/>
          <w:szCs w:val="24"/>
        </w:rPr>
        <w:t xml:space="preserve">highlighted </w:t>
      </w:r>
      <w:r w:rsidR="00357956">
        <w:rPr>
          <w:rFonts w:cs="Calibri"/>
          <w:sz w:val="24"/>
          <w:szCs w:val="24"/>
        </w:rPr>
        <w:t xml:space="preserve">the </w:t>
      </w:r>
      <w:r w:rsidR="00357956" w:rsidRPr="00357956">
        <w:rPr>
          <w:rFonts w:cs="Calibri"/>
          <w:sz w:val="24"/>
          <w:szCs w:val="24"/>
        </w:rPr>
        <w:t xml:space="preserve">stigma, discrimination, disadvantage and human rights violations </w:t>
      </w:r>
      <w:r w:rsidR="00357956">
        <w:rPr>
          <w:rFonts w:cs="Calibri"/>
          <w:sz w:val="24"/>
          <w:szCs w:val="24"/>
        </w:rPr>
        <w:t xml:space="preserve">experienced by people with disability in relation to the CRPD. </w:t>
      </w:r>
    </w:p>
    <w:p w14:paraId="04B1609F" w14:textId="4BC9B7D2" w:rsidR="0072456F" w:rsidRDefault="00357956" w:rsidP="00357956">
      <w:pPr>
        <w:widowControl w:val="0"/>
        <w:tabs>
          <w:tab w:val="left" w:pos="567"/>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2.5</w:t>
      </w:r>
      <w:r>
        <w:rPr>
          <w:rFonts w:cs="Calibri"/>
          <w:sz w:val="24"/>
          <w:szCs w:val="24"/>
        </w:rPr>
        <w:tab/>
        <w:t xml:space="preserve">While the NDS has brought improvements, </w:t>
      </w:r>
      <w:r w:rsidR="0072456F">
        <w:rPr>
          <w:rFonts w:cs="Calibri"/>
          <w:sz w:val="24"/>
          <w:szCs w:val="24"/>
        </w:rPr>
        <w:t xml:space="preserve">commitment to NDS implementation continues to be critical in addressing the issues contained in both the Shut Out and Disability Rights Now reports.  </w:t>
      </w:r>
    </w:p>
    <w:p w14:paraId="0E101D53" w14:textId="67AD7E8E" w:rsidR="00341A16" w:rsidRDefault="0072456F" w:rsidP="00357956">
      <w:pPr>
        <w:widowControl w:val="0"/>
        <w:tabs>
          <w:tab w:val="left" w:pos="567"/>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2.6</w:t>
      </w:r>
      <w:r w:rsidR="00357956">
        <w:rPr>
          <w:rFonts w:cs="Calibri"/>
          <w:sz w:val="24"/>
          <w:szCs w:val="24"/>
        </w:rPr>
        <w:t xml:space="preserve"> </w:t>
      </w:r>
      <w:r w:rsidR="00357956">
        <w:rPr>
          <w:rFonts w:cs="Calibri"/>
          <w:sz w:val="24"/>
          <w:szCs w:val="24"/>
        </w:rPr>
        <w:tab/>
      </w:r>
      <w:r w:rsidR="00341A16" w:rsidRPr="00341A16">
        <w:rPr>
          <w:rFonts w:cs="Calibri"/>
          <w:sz w:val="24"/>
          <w:szCs w:val="24"/>
        </w:rPr>
        <w:t xml:space="preserve">The member organisations of DPO Australia have all engaged in the </w:t>
      </w:r>
      <w:r w:rsidR="005677EF">
        <w:rPr>
          <w:rFonts w:cs="Calibri"/>
          <w:sz w:val="24"/>
          <w:szCs w:val="24"/>
        </w:rPr>
        <w:t xml:space="preserve">initial </w:t>
      </w:r>
      <w:r w:rsidR="00341A16" w:rsidRPr="00341A16">
        <w:rPr>
          <w:rFonts w:cs="Calibri"/>
          <w:sz w:val="24"/>
          <w:szCs w:val="24"/>
        </w:rPr>
        <w:t>development of the National Disability Strategy (NDS)</w:t>
      </w:r>
      <w:r w:rsidR="00341A16">
        <w:rPr>
          <w:rFonts w:cs="Calibri"/>
          <w:sz w:val="24"/>
          <w:szCs w:val="24"/>
        </w:rPr>
        <w:t xml:space="preserve">, provided feedback </w:t>
      </w:r>
      <w:r w:rsidR="005677EF">
        <w:rPr>
          <w:rFonts w:cs="Calibri"/>
          <w:sz w:val="24"/>
          <w:szCs w:val="24"/>
        </w:rPr>
        <w:t xml:space="preserve">and submissions for the </w:t>
      </w:r>
      <w:r w:rsidR="00341A16">
        <w:rPr>
          <w:rFonts w:cs="Calibri"/>
          <w:sz w:val="24"/>
          <w:szCs w:val="24"/>
        </w:rPr>
        <w:t xml:space="preserve">NDS </w:t>
      </w:r>
      <w:r w:rsidR="00341A16" w:rsidRPr="00341A16">
        <w:rPr>
          <w:rFonts w:cs="Calibri"/>
          <w:sz w:val="24"/>
          <w:szCs w:val="24"/>
        </w:rPr>
        <w:t xml:space="preserve">progress </w:t>
      </w:r>
      <w:r w:rsidR="002A5C23">
        <w:rPr>
          <w:rFonts w:cs="Calibri"/>
          <w:sz w:val="24"/>
          <w:szCs w:val="24"/>
        </w:rPr>
        <w:t>reports</w:t>
      </w:r>
      <w:r w:rsidR="00341A16">
        <w:rPr>
          <w:rFonts w:cs="Calibri"/>
          <w:sz w:val="24"/>
          <w:szCs w:val="24"/>
        </w:rPr>
        <w:t xml:space="preserve"> and </w:t>
      </w:r>
      <w:r w:rsidR="005677EF">
        <w:rPr>
          <w:rFonts w:cs="Calibri"/>
          <w:sz w:val="24"/>
          <w:szCs w:val="24"/>
        </w:rPr>
        <w:t xml:space="preserve">provided input into the development </w:t>
      </w:r>
      <w:r w:rsidR="005677EF">
        <w:rPr>
          <w:rFonts w:cs="Calibri"/>
          <w:sz w:val="24"/>
          <w:szCs w:val="24"/>
        </w:rPr>
        <w:lastRenderedPageBreak/>
        <w:t>of the Second Implementation P</w:t>
      </w:r>
      <w:r w:rsidR="00341A16">
        <w:rPr>
          <w:rFonts w:cs="Calibri"/>
          <w:sz w:val="24"/>
          <w:szCs w:val="24"/>
        </w:rPr>
        <w:t>lan</w:t>
      </w:r>
      <w:r w:rsidR="005677EF">
        <w:rPr>
          <w:rFonts w:cs="Calibri"/>
          <w:sz w:val="24"/>
          <w:szCs w:val="24"/>
        </w:rPr>
        <w:t xml:space="preserve">, </w:t>
      </w:r>
      <w:r w:rsidR="005677EF" w:rsidRPr="00042B65">
        <w:rPr>
          <w:rFonts w:cs="Calibri"/>
          <w:i/>
          <w:sz w:val="24"/>
          <w:szCs w:val="24"/>
        </w:rPr>
        <w:t>Driving Action 2015-2018</w:t>
      </w:r>
      <w:r w:rsidR="00341A16" w:rsidRPr="00341A16">
        <w:rPr>
          <w:rFonts w:cs="Calibri"/>
          <w:sz w:val="24"/>
          <w:szCs w:val="24"/>
        </w:rPr>
        <w:t>.</w:t>
      </w:r>
      <w:r w:rsidR="00D60A11">
        <w:rPr>
          <w:rStyle w:val="FootnoteReference"/>
          <w:rFonts w:cs="Calibri"/>
          <w:sz w:val="24"/>
          <w:szCs w:val="24"/>
        </w:rPr>
        <w:footnoteReference w:id="4"/>
      </w:r>
      <w:r w:rsidR="00341A16" w:rsidRPr="00341A16">
        <w:rPr>
          <w:rFonts w:cs="Calibri"/>
          <w:sz w:val="24"/>
          <w:szCs w:val="24"/>
        </w:rPr>
        <w:t xml:space="preserve">  </w:t>
      </w:r>
    </w:p>
    <w:p w14:paraId="2206BC06" w14:textId="756B723E" w:rsidR="00B96649" w:rsidRDefault="0072456F" w:rsidP="00367817">
      <w:pPr>
        <w:widowControl w:val="0"/>
        <w:tabs>
          <w:tab w:val="left" w:pos="567"/>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7" w:hanging="567"/>
        <w:rPr>
          <w:rFonts w:cs="Calibri"/>
          <w:sz w:val="24"/>
          <w:szCs w:val="24"/>
        </w:rPr>
      </w:pPr>
      <w:r>
        <w:rPr>
          <w:rFonts w:cs="Calibri"/>
          <w:sz w:val="24"/>
          <w:szCs w:val="24"/>
        </w:rPr>
        <w:t>2.7</w:t>
      </w:r>
      <w:r w:rsidR="00341A16">
        <w:rPr>
          <w:rFonts w:cs="Calibri"/>
          <w:sz w:val="24"/>
          <w:szCs w:val="24"/>
        </w:rPr>
        <w:tab/>
      </w:r>
      <w:r w:rsidR="00B96649">
        <w:rPr>
          <w:rFonts w:cs="Calibri"/>
          <w:sz w:val="24"/>
          <w:szCs w:val="24"/>
        </w:rPr>
        <w:t xml:space="preserve">The member organisations that make up DPO Australia engage in a range of law and policy reform projects, advocacy activities, meetings, reference groups, inquiries and committees that cover issues and concerns directly related to the six policy </w:t>
      </w:r>
      <w:r w:rsidR="00226846">
        <w:rPr>
          <w:rFonts w:cs="Calibri"/>
          <w:sz w:val="24"/>
          <w:szCs w:val="24"/>
        </w:rPr>
        <w:t xml:space="preserve">outcome </w:t>
      </w:r>
      <w:r w:rsidR="00B96649">
        <w:rPr>
          <w:rFonts w:cs="Calibri"/>
          <w:sz w:val="24"/>
          <w:szCs w:val="24"/>
        </w:rPr>
        <w:t>areas outlined in the NDS:</w:t>
      </w:r>
    </w:p>
    <w:p w14:paraId="7767FC48" w14:textId="77777777" w:rsidR="00B96649" w:rsidRDefault="00B96649" w:rsidP="00B96649">
      <w:pPr>
        <w:pStyle w:val="ListParagraph"/>
        <w:widowControl w:val="0"/>
        <w:numPr>
          <w:ilvl w:val="0"/>
          <w:numId w:val="1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firstLine="0"/>
        <w:rPr>
          <w:rFonts w:cs="Calibri"/>
          <w:sz w:val="24"/>
          <w:szCs w:val="24"/>
        </w:rPr>
      </w:pPr>
      <w:r>
        <w:rPr>
          <w:rFonts w:cs="Calibri"/>
          <w:sz w:val="24"/>
          <w:szCs w:val="24"/>
        </w:rPr>
        <w:t>Inclusive and accessible communities</w:t>
      </w:r>
    </w:p>
    <w:p w14:paraId="6B4648A5" w14:textId="77777777" w:rsidR="00B96649" w:rsidRDefault="00B96649" w:rsidP="00B96649">
      <w:pPr>
        <w:pStyle w:val="ListParagraph"/>
        <w:widowControl w:val="0"/>
        <w:numPr>
          <w:ilvl w:val="0"/>
          <w:numId w:val="1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firstLine="0"/>
        <w:rPr>
          <w:rFonts w:cs="Calibri"/>
          <w:sz w:val="24"/>
          <w:szCs w:val="24"/>
        </w:rPr>
      </w:pPr>
      <w:r>
        <w:rPr>
          <w:rFonts w:cs="Calibri"/>
          <w:sz w:val="24"/>
          <w:szCs w:val="24"/>
        </w:rPr>
        <w:t>Rights protection, justice and legislation</w:t>
      </w:r>
    </w:p>
    <w:p w14:paraId="025DD0C4" w14:textId="77777777" w:rsidR="00B96649" w:rsidRDefault="00B96649" w:rsidP="00B96649">
      <w:pPr>
        <w:pStyle w:val="ListParagraph"/>
        <w:widowControl w:val="0"/>
        <w:numPr>
          <w:ilvl w:val="0"/>
          <w:numId w:val="1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firstLine="0"/>
        <w:rPr>
          <w:rFonts w:cs="Calibri"/>
          <w:sz w:val="24"/>
          <w:szCs w:val="24"/>
        </w:rPr>
      </w:pPr>
      <w:r>
        <w:rPr>
          <w:rFonts w:cs="Calibri"/>
          <w:sz w:val="24"/>
          <w:szCs w:val="24"/>
        </w:rPr>
        <w:t>Economic security</w:t>
      </w:r>
    </w:p>
    <w:p w14:paraId="641E9531" w14:textId="77777777" w:rsidR="00B96649" w:rsidRDefault="00B96649" w:rsidP="00B96649">
      <w:pPr>
        <w:pStyle w:val="ListParagraph"/>
        <w:widowControl w:val="0"/>
        <w:numPr>
          <w:ilvl w:val="0"/>
          <w:numId w:val="1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firstLine="0"/>
        <w:rPr>
          <w:rFonts w:cs="Calibri"/>
          <w:sz w:val="24"/>
          <w:szCs w:val="24"/>
        </w:rPr>
      </w:pPr>
      <w:r>
        <w:rPr>
          <w:rFonts w:cs="Calibri"/>
          <w:sz w:val="24"/>
          <w:szCs w:val="24"/>
        </w:rPr>
        <w:t>Personal and community support</w:t>
      </w:r>
    </w:p>
    <w:p w14:paraId="044E562B" w14:textId="77777777" w:rsidR="00B96649" w:rsidRDefault="00B96649" w:rsidP="00B96649">
      <w:pPr>
        <w:pStyle w:val="ListParagraph"/>
        <w:widowControl w:val="0"/>
        <w:numPr>
          <w:ilvl w:val="0"/>
          <w:numId w:val="1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firstLine="0"/>
        <w:rPr>
          <w:rFonts w:cs="Calibri"/>
          <w:sz w:val="24"/>
          <w:szCs w:val="24"/>
        </w:rPr>
      </w:pPr>
      <w:r>
        <w:rPr>
          <w:rFonts w:cs="Calibri"/>
          <w:sz w:val="24"/>
          <w:szCs w:val="24"/>
        </w:rPr>
        <w:t>Learning and skills</w:t>
      </w:r>
    </w:p>
    <w:p w14:paraId="4C4C602D" w14:textId="77777777" w:rsidR="00B96649" w:rsidRDefault="00B96649" w:rsidP="00B96649">
      <w:pPr>
        <w:pStyle w:val="ListParagraph"/>
        <w:widowControl w:val="0"/>
        <w:numPr>
          <w:ilvl w:val="0"/>
          <w:numId w:val="1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firstLine="0"/>
        <w:contextualSpacing w:val="0"/>
        <w:rPr>
          <w:rFonts w:cs="Calibri"/>
          <w:sz w:val="24"/>
          <w:szCs w:val="24"/>
        </w:rPr>
      </w:pPr>
      <w:r>
        <w:rPr>
          <w:rFonts w:cs="Calibri"/>
          <w:sz w:val="24"/>
          <w:szCs w:val="24"/>
        </w:rPr>
        <w:t>Health and wellbeing</w:t>
      </w:r>
    </w:p>
    <w:p w14:paraId="29126CCD" w14:textId="63236014" w:rsidR="00B96649" w:rsidRDefault="008F708C" w:rsidP="0072456F">
      <w:pPr>
        <w:pStyle w:val="ListParagraph"/>
        <w:widowControl w:val="0"/>
        <w:numPr>
          <w:ilvl w:val="1"/>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sidRPr="0072456F">
        <w:rPr>
          <w:rFonts w:cs="Calibri"/>
          <w:sz w:val="24"/>
          <w:szCs w:val="24"/>
        </w:rPr>
        <w:t>We</w:t>
      </w:r>
      <w:r w:rsidR="00B96649" w:rsidRPr="0072456F">
        <w:rPr>
          <w:rFonts w:cs="Calibri"/>
          <w:sz w:val="24"/>
          <w:szCs w:val="24"/>
        </w:rPr>
        <w:t xml:space="preserve"> have strong grassroots connections to people with disability and are constantly receiving feedback, supporting people to access disability supports, undertaking the role of Disability Support Organisations (DSOs)</w:t>
      </w:r>
      <w:r w:rsidR="00B96649">
        <w:rPr>
          <w:rStyle w:val="FootnoteReference"/>
          <w:rFonts w:cs="Calibri"/>
          <w:sz w:val="24"/>
          <w:szCs w:val="24"/>
        </w:rPr>
        <w:footnoteReference w:id="5"/>
      </w:r>
      <w:r w:rsidR="00B96649" w:rsidRPr="0072456F">
        <w:rPr>
          <w:rFonts w:cs="Calibri"/>
          <w:sz w:val="24"/>
          <w:szCs w:val="24"/>
        </w:rPr>
        <w:t xml:space="preserve">, resourcing local support networks and facilitating engagement and consultation with people with disability. </w:t>
      </w:r>
    </w:p>
    <w:p w14:paraId="12313CA5" w14:textId="77777777" w:rsidR="0072456F" w:rsidRPr="0072456F" w:rsidRDefault="0072456F" w:rsidP="0072456F">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rPr>
          <w:rFonts w:cs="Calibri"/>
          <w:sz w:val="24"/>
          <w:szCs w:val="24"/>
        </w:rPr>
      </w:pPr>
    </w:p>
    <w:p w14:paraId="22943BD9" w14:textId="73A62DD2" w:rsidR="00E24313" w:rsidRDefault="008F708C" w:rsidP="00B96649">
      <w:pPr>
        <w:pStyle w:val="ListParagraph"/>
        <w:widowControl w:val="0"/>
        <w:numPr>
          <w:ilvl w:val="1"/>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rPr>
          <w:rFonts w:cs="Calibri"/>
          <w:sz w:val="24"/>
          <w:szCs w:val="24"/>
        </w:rPr>
      </w:pPr>
      <w:r>
        <w:rPr>
          <w:rFonts w:cs="Calibri"/>
          <w:sz w:val="24"/>
          <w:szCs w:val="24"/>
        </w:rPr>
        <w:t xml:space="preserve">We </w:t>
      </w:r>
      <w:r w:rsidR="00E57B9F">
        <w:rPr>
          <w:rFonts w:cs="Calibri"/>
          <w:sz w:val="24"/>
          <w:szCs w:val="24"/>
        </w:rPr>
        <w:t xml:space="preserve">also engage with UN human rights mechanisms, including civil society parallel reporting processes to UN Treaty bodies and the Human Rights Council to assist with UN reviews of human rights in Australia. </w:t>
      </w:r>
    </w:p>
    <w:p w14:paraId="5A117B2E" w14:textId="6284AD15" w:rsidR="00B96649" w:rsidRDefault="00B96649" w:rsidP="00B96649">
      <w:pPr>
        <w:pStyle w:val="ListParagraph"/>
        <w:widowControl w:val="0"/>
        <w:numPr>
          <w:ilvl w:val="1"/>
          <w:numId w:val="1"/>
        </w:numPr>
        <w:tabs>
          <w:tab w:val="left" w:pos="567"/>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rPr>
          <w:rFonts w:cs="Calibri"/>
          <w:sz w:val="24"/>
          <w:szCs w:val="24"/>
        </w:rPr>
      </w:pPr>
      <w:r>
        <w:rPr>
          <w:rFonts w:cs="Calibri"/>
          <w:sz w:val="24"/>
          <w:szCs w:val="24"/>
        </w:rPr>
        <w:t>This</w:t>
      </w:r>
      <w:r w:rsidRPr="00746965">
        <w:rPr>
          <w:rFonts w:cs="Calibri"/>
          <w:sz w:val="24"/>
          <w:szCs w:val="24"/>
        </w:rPr>
        <w:t xml:space="preserve"> submission draws on our law and policy </w:t>
      </w:r>
      <w:r w:rsidR="00EC524C">
        <w:rPr>
          <w:rFonts w:cs="Calibri"/>
          <w:sz w:val="24"/>
          <w:szCs w:val="24"/>
        </w:rPr>
        <w:t xml:space="preserve">reform </w:t>
      </w:r>
      <w:r w:rsidRPr="00746965">
        <w:rPr>
          <w:rFonts w:cs="Calibri"/>
          <w:sz w:val="24"/>
          <w:szCs w:val="24"/>
        </w:rPr>
        <w:t>expertise</w:t>
      </w:r>
      <w:r w:rsidR="00E57B9F">
        <w:rPr>
          <w:rFonts w:cs="Calibri"/>
          <w:sz w:val="24"/>
          <w:szCs w:val="24"/>
        </w:rPr>
        <w:t>, our</w:t>
      </w:r>
      <w:r w:rsidRPr="00746965">
        <w:rPr>
          <w:rFonts w:cs="Calibri"/>
          <w:sz w:val="24"/>
          <w:szCs w:val="24"/>
        </w:rPr>
        <w:t xml:space="preserve"> grassroots connection to people with disability </w:t>
      </w:r>
      <w:r w:rsidR="00E57B9F">
        <w:rPr>
          <w:rFonts w:cs="Calibri"/>
          <w:sz w:val="24"/>
          <w:szCs w:val="24"/>
        </w:rPr>
        <w:t xml:space="preserve">and our engagement with UN human rights mechanisms </w:t>
      </w:r>
      <w:r w:rsidRPr="00746965">
        <w:rPr>
          <w:rFonts w:cs="Calibri"/>
          <w:sz w:val="24"/>
          <w:szCs w:val="24"/>
        </w:rPr>
        <w:t xml:space="preserve">to provide our key comments in response to the inquiry’s terms of reference.  </w:t>
      </w:r>
    </w:p>
    <w:p w14:paraId="6BAF75B7" w14:textId="4C894ADB" w:rsidR="00B96649" w:rsidRDefault="00B96649" w:rsidP="00B96649">
      <w:pPr>
        <w:pStyle w:val="ListParagraph"/>
        <w:widowControl w:val="0"/>
        <w:numPr>
          <w:ilvl w:val="1"/>
          <w:numId w:val="1"/>
        </w:numPr>
        <w:tabs>
          <w:tab w:val="left" w:pos="567"/>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rPr>
          <w:rFonts w:cs="Calibri"/>
          <w:sz w:val="24"/>
          <w:szCs w:val="24"/>
        </w:rPr>
      </w:pPr>
      <w:r w:rsidRPr="00746965">
        <w:rPr>
          <w:rFonts w:cs="Calibri"/>
          <w:sz w:val="24"/>
          <w:szCs w:val="24"/>
        </w:rPr>
        <w:t>We note that the</w:t>
      </w:r>
      <w:r w:rsidR="00341A16">
        <w:rPr>
          <w:rFonts w:cs="Calibri"/>
          <w:sz w:val="24"/>
          <w:szCs w:val="24"/>
        </w:rPr>
        <w:t xml:space="preserve"> inquiry</w:t>
      </w:r>
      <w:r w:rsidRPr="00746965">
        <w:rPr>
          <w:rFonts w:cs="Calibri"/>
          <w:sz w:val="24"/>
          <w:szCs w:val="24"/>
        </w:rPr>
        <w:t xml:space="preserve"> terms of reference focus </w:t>
      </w:r>
      <w:r>
        <w:rPr>
          <w:rFonts w:cs="Calibri"/>
          <w:sz w:val="24"/>
          <w:szCs w:val="24"/>
        </w:rPr>
        <w:t xml:space="preserve">primarily </w:t>
      </w:r>
      <w:r w:rsidRPr="00746965">
        <w:rPr>
          <w:rFonts w:cs="Calibri"/>
          <w:sz w:val="24"/>
          <w:szCs w:val="24"/>
        </w:rPr>
        <w:t xml:space="preserve">on NDS policy </w:t>
      </w:r>
      <w:r w:rsidR="00226846">
        <w:rPr>
          <w:rFonts w:cs="Calibri"/>
          <w:sz w:val="24"/>
          <w:szCs w:val="24"/>
        </w:rPr>
        <w:t xml:space="preserve">outcome </w:t>
      </w:r>
      <w:r w:rsidRPr="00746965">
        <w:rPr>
          <w:rFonts w:cs="Calibri"/>
          <w:sz w:val="24"/>
          <w:szCs w:val="24"/>
        </w:rPr>
        <w:t xml:space="preserve">area 1, ‘Inclusive and accessible communities’, but our submission is written in the context that the six policy </w:t>
      </w:r>
      <w:r w:rsidR="00226846">
        <w:rPr>
          <w:rFonts w:cs="Calibri"/>
          <w:sz w:val="24"/>
          <w:szCs w:val="24"/>
        </w:rPr>
        <w:t xml:space="preserve">outcome </w:t>
      </w:r>
      <w:r w:rsidRPr="00746965">
        <w:rPr>
          <w:rFonts w:cs="Calibri"/>
          <w:sz w:val="24"/>
          <w:szCs w:val="24"/>
        </w:rPr>
        <w:t xml:space="preserve">areas </w:t>
      </w:r>
      <w:r>
        <w:rPr>
          <w:rFonts w:cs="Calibri"/>
          <w:sz w:val="24"/>
          <w:szCs w:val="24"/>
        </w:rPr>
        <w:t xml:space="preserve">of the NDS </w:t>
      </w:r>
      <w:r w:rsidRPr="00746965">
        <w:rPr>
          <w:rFonts w:cs="Calibri"/>
          <w:sz w:val="24"/>
          <w:szCs w:val="24"/>
        </w:rPr>
        <w:t>are inter-connected</w:t>
      </w:r>
      <w:r w:rsidR="00341A16">
        <w:rPr>
          <w:rFonts w:cs="Calibri"/>
          <w:sz w:val="24"/>
          <w:szCs w:val="24"/>
        </w:rPr>
        <w:t xml:space="preserve"> and inter-dependent</w:t>
      </w:r>
      <w:r w:rsidRPr="00746965">
        <w:rPr>
          <w:rFonts w:cs="Calibri"/>
          <w:sz w:val="24"/>
          <w:szCs w:val="24"/>
        </w:rPr>
        <w:t>, and require concerted action simultaneously in order to build inclusive and accessible communities.</w:t>
      </w:r>
      <w:r>
        <w:rPr>
          <w:rFonts w:cs="Calibri"/>
          <w:sz w:val="24"/>
          <w:szCs w:val="24"/>
        </w:rPr>
        <w:t xml:space="preserve"> </w:t>
      </w:r>
      <w:r w:rsidRPr="00746965">
        <w:rPr>
          <w:rFonts w:cs="Calibri"/>
          <w:sz w:val="24"/>
          <w:szCs w:val="24"/>
        </w:rPr>
        <w:t xml:space="preserve">  </w:t>
      </w:r>
    </w:p>
    <w:p w14:paraId="3349E97A" w14:textId="4A09A42D" w:rsidR="00E24313" w:rsidRDefault="00E57B9F" w:rsidP="00B96649">
      <w:pPr>
        <w:pStyle w:val="ListParagraph"/>
        <w:widowControl w:val="0"/>
        <w:numPr>
          <w:ilvl w:val="1"/>
          <w:numId w:val="1"/>
        </w:numPr>
        <w:tabs>
          <w:tab w:val="left" w:pos="567"/>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rPr>
          <w:rFonts w:cs="Calibri"/>
          <w:sz w:val="24"/>
          <w:szCs w:val="24"/>
        </w:rPr>
      </w:pPr>
      <w:r>
        <w:rPr>
          <w:rFonts w:cs="Calibri"/>
          <w:sz w:val="24"/>
          <w:szCs w:val="24"/>
        </w:rPr>
        <w:t>W</w:t>
      </w:r>
      <w:r w:rsidR="00DC4D68">
        <w:rPr>
          <w:rFonts w:cs="Calibri"/>
          <w:sz w:val="24"/>
          <w:szCs w:val="24"/>
        </w:rPr>
        <w:t xml:space="preserve">hile there has been progress and critical reform under </w:t>
      </w:r>
      <w:r>
        <w:rPr>
          <w:rFonts w:cs="Calibri"/>
          <w:sz w:val="24"/>
          <w:szCs w:val="24"/>
        </w:rPr>
        <w:t xml:space="preserve">the NDS, most notably with the implementation of the National Disability Insurance Scheme (NDIS), </w:t>
      </w:r>
      <w:r w:rsidR="00E24313">
        <w:rPr>
          <w:rFonts w:cs="Calibri"/>
          <w:sz w:val="24"/>
          <w:szCs w:val="24"/>
        </w:rPr>
        <w:t xml:space="preserve">DPO Australia is concerned that </w:t>
      </w:r>
      <w:r w:rsidR="00341A16">
        <w:rPr>
          <w:rFonts w:cs="Calibri"/>
          <w:sz w:val="24"/>
          <w:szCs w:val="24"/>
        </w:rPr>
        <w:t xml:space="preserve">after six and half years, </w:t>
      </w:r>
      <w:r w:rsidR="00E24313">
        <w:rPr>
          <w:rFonts w:cs="Calibri"/>
          <w:sz w:val="24"/>
          <w:szCs w:val="24"/>
        </w:rPr>
        <w:t xml:space="preserve">the NDS </w:t>
      </w:r>
      <w:r w:rsidR="00EC524C">
        <w:rPr>
          <w:rFonts w:cs="Calibri"/>
          <w:sz w:val="24"/>
          <w:szCs w:val="24"/>
        </w:rPr>
        <w:t xml:space="preserve">is not being driven </w:t>
      </w:r>
      <w:r w:rsidR="000D1904">
        <w:rPr>
          <w:rFonts w:cs="Calibri"/>
          <w:sz w:val="24"/>
          <w:szCs w:val="24"/>
        </w:rPr>
        <w:t xml:space="preserve">consistently </w:t>
      </w:r>
      <w:r w:rsidR="00EC524C">
        <w:rPr>
          <w:rFonts w:cs="Calibri"/>
          <w:sz w:val="24"/>
          <w:szCs w:val="24"/>
        </w:rPr>
        <w:t xml:space="preserve">across government and jurisdictions nor </w:t>
      </w:r>
      <w:r>
        <w:rPr>
          <w:rFonts w:cs="Calibri"/>
          <w:sz w:val="24"/>
          <w:szCs w:val="24"/>
        </w:rPr>
        <w:t xml:space="preserve">does </w:t>
      </w:r>
      <w:r w:rsidR="00EC524C">
        <w:rPr>
          <w:rFonts w:cs="Calibri"/>
          <w:sz w:val="24"/>
          <w:szCs w:val="24"/>
        </w:rPr>
        <w:t xml:space="preserve">it </w:t>
      </w:r>
      <w:r>
        <w:rPr>
          <w:rFonts w:cs="Calibri"/>
          <w:sz w:val="24"/>
          <w:szCs w:val="24"/>
        </w:rPr>
        <w:t xml:space="preserve">have the investment or concrete measures </w:t>
      </w:r>
      <w:r w:rsidR="00EC524C">
        <w:rPr>
          <w:rFonts w:cs="Calibri"/>
          <w:sz w:val="24"/>
          <w:szCs w:val="24"/>
        </w:rPr>
        <w:t xml:space="preserve">needed </w:t>
      </w:r>
      <w:r w:rsidR="00DB202E">
        <w:rPr>
          <w:rFonts w:cs="Calibri"/>
          <w:sz w:val="24"/>
          <w:szCs w:val="24"/>
        </w:rPr>
        <w:t xml:space="preserve">to deliver solid outcomes under the six policy </w:t>
      </w:r>
      <w:r w:rsidR="00226846">
        <w:rPr>
          <w:rFonts w:cs="Calibri"/>
          <w:sz w:val="24"/>
          <w:szCs w:val="24"/>
        </w:rPr>
        <w:t xml:space="preserve">outcome </w:t>
      </w:r>
      <w:r w:rsidR="00DB202E">
        <w:rPr>
          <w:rFonts w:cs="Calibri"/>
          <w:sz w:val="24"/>
          <w:szCs w:val="24"/>
        </w:rPr>
        <w:t>areas</w:t>
      </w:r>
      <w:r>
        <w:rPr>
          <w:rFonts w:cs="Calibri"/>
          <w:sz w:val="24"/>
          <w:szCs w:val="24"/>
        </w:rPr>
        <w:t xml:space="preserve">.  </w:t>
      </w:r>
    </w:p>
    <w:p w14:paraId="73D7C75E" w14:textId="75709EB8" w:rsidR="00D0502A" w:rsidRDefault="00D0502A" w:rsidP="00B96649">
      <w:pPr>
        <w:pStyle w:val="ListParagraph"/>
        <w:widowControl w:val="0"/>
        <w:numPr>
          <w:ilvl w:val="1"/>
          <w:numId w:val="1"/>
        </w:numPr>
        <w:tabs>
          <w:tab w:val="left" w:pos="567"/>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rPr>
          <w:rFonts w:cs="Calibri"/>
          <w:sz w:val="24"/>
          <w:szCs w:val="24"/>
        </w:rPr>
      </w:pPr>
      <w:r>
        <w:rPr>
          <w:rFonts w:cs="Calibri"/>
          <w:sz w:val="24"/>
          <w:szCs w:val="24"/>
        </w:rPr>
        <w:lastRenderedPageBreak/>
        <w:t>In responding to the terms of reference, o</w:t>
      </w:r>
      <w:r w:rsidR="00820868">
        <w:rPr>
          <w:rFonts w:cs="Calibri"/>
          <w:sz w:val="24"/>
          <w:szCs w:val="24"/>
        </w:rPr>
        <w:t xml:space="preserve">ur submission </w:t>
      </w:r>
      <w:r w:rsidR="00DC4D68">
        <w:rPr>
          <w:rFonts w:cs="Calibri"/>
          <w:sz w:val="24"/>
          <w:szCs w:val="24"/>
        </w:rPr>
        <w:t xml:space="preserve">firstly </w:t>
      </w:r>
      <w:r w:rsidR="00820868">
        <w:rPr>
          <w:rFonts w:cs="Calibri"/>
          <w:sz w:val="24"/>
          <w:szCs w:val="24"/>
        </w:rPr>
        <w:t xml:space="preserve">outlines our </w:t>
      </w:r>
      <w:r w:rsidR="00DC4D68">
        <w:rPr>
          <w:rFonts w:cs="Calibri"/>
          <w:sz w:val="24"/>
          <w:szCs w:val="24"/>
        </w:rPr>
        <w:t xml:space="preserve">key </w:t>
      </w:r>
      <w:r w:rsidR="00820868">
        <w:rPr>
          <w:rFonts w:cs="Calibri"/>
          <w:sz w:val="24"/>
          <w:szCs w:val="24"/>
        </w:rPr>
        <w:t xml:space="preserve">concerns </w:t>
      </w:r>
      <w:r>
        <w:rPr>
          <w:rFonts w:cs="Calibri"/>
          <w:sz w:val="24"/>
          <w:szCs w:val="24"/>
        </w:rPr>
        <w:t xml:space="preserve">and recommendations </w:t>
      </w:r>
      <w:r w:rsidR="00DC4D68">
        <w:rPr>
          <w:rFonts w:cs="Calibri"/>
          <w:sz w:val="24"/>
          <w:szCs w:val="24"/>
        </w:rPr>
        <w:t xml:space="preserve">in relation to the </w:t>
      </w:r>
      <w:r>
        <w:rPr>
          <w:rFonts w:cs="Calibri"/>
          <w:sz w:val="24"/>
          <w:szCs w:val="24"/>
        </w:rPr>
        <w:t xml:space="preserve">delivery </w:t>
      </w:r>
      <w:r w:rsidR="00A44BB3">
        <w:rPr>
          <w:rFonts w:cs="Calibri"/>
          <w:sz w:val="24"/>
          <w:szCs w:val="24"/>
        </w:rPr>
        <w:t>of</w:t>
      </w:r>
      <w:r>
        <w:rPr>
          <w:rFonts w:cs="Calibri"/>
          <w:sz w:val="24"/>
          <w:szCs w:val="24"/>
        </w:rPr>
        <w:t xml:space="preserve"> outcomes under the </w:t>
      </w:r>
      <w:r w:rsidR="00DC4D68">
        <w:rPr>
          <w:rFonts w:cs="Calibri"/>
          <w:sz w:val="24"/>
          <w:szCs w:val="24"/>
        </w:rPr>
        <w:t xml:space="preserve">NDS </w:t>
      </w:r>
      <w:r>
        <w:rPr>
          <w:rFonts w:cs="Calibri"/>
          <w:sz w:val="24"/>
          <w:szCs w:val="24"/>
        </w:rPr>
        <w:t xml:space="preserve">as a whole, and then addresses </w:t>
      </w:r>
      <w:r w:rsidR="00226846">
        <w:rPr>
          <w:rFonts w:cs="Calibri"/>
          <w:sz w:val="24"/>
          <w:szCs w:val="24"/>
        </w:rPr>
        <w:t xml:space="preserve">key </w:t>
      </w:r>
      <w:r>
        <w:rPr>
          <w:rFonts w:cs="Calibri"/>
          <w:sz w:val="24"/>
          <w:szCs w:val="24"/>
        </w:rPr>
        <w:t xml:space="preserve">specific concerns in relation to NDS policy </w:t>
      </w:r>
      <w:r w:rsidR="00226846">
        <w:rPr>
          <w:rFonts w:cs="Calibri"/>
          <w:sz w:val="24"/>
          <w:szCs w:val="24"/>
        </w:rPr>
        <w:t xml:space="preserve">outcome </w:t>
      </w:r>
      <w:r>
        <w:rPr>
          <w:rFonts w:cs="Calibri"/>
          <w:sz w:val="24"/>
          <w:szCs w:val="24"/>
        </w:rPr>
        <w:t xml:space="preserve">area 1, ‘Inclusive and accessible communities’. </w:t>
      </w:r>
    </w:p>
    <w:p w14:paraId="27F04DF1" w14:textId="3E672C40" w:rsidR="00903839" w:rsidRDefault="00903839" w:rsidP="00B96649">
      <w:pPr>
        <w:pStyle w:val="ListParagraph"/>
        <w:widowControl w:val="0"/>
        <w:numPr>
          <w:ilvl w:val="1"/>
          <w:numId w:val="1"/>
        </w:numPr>
        <w:tabs>
          <w:tab w:val="left" w:pos="567"/>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rPr>
          <w:rFonts w:cs="Calibri"/>
          <w:sz w:val="24"/>
          <w:szCs w:val="24"/>
        </w:rPr>
      </w:pPr>
      <w:r>
        <w:rPr>
          <w:rFonts w:cs="Calibri"/>
          <w:sz w:val="24"/>
          <w:szCs w:val="24"/>
        </w:rPr>
        <w:t xml:space="preserve">DPO Australia would welcome the opportunity to elaborate on our issues with the Senate Community Affairs References Committee. </w:t>
      </w:r>
    </w:p>
    <w:p w14:paraId="20568288" w14:textId="02954103" w:rsidR="00CF2781" w:rsidRPr="005629B0" w:rsidRDefault="003A52C6" w:rsidP="00CF2781">
      <w:pPr>
        <w:pStyle w:val="Heading1"/>
        <w:ind w:hanging="720"/>
      </w:pPr>
      <w:bookmarkStart w:id="3" w:name="_Toc481945257"/>
      <w:r>
        <w:t>National Disability Strategy</w:t>
      </w:r>
      <w:bookmarkEnd w:id="3"/>
    </w:p>
    <w:p w14:paraId="2E13DCC5" w14:textId="77777777" w:rsidR="00F5359F" w:rsidRPr="005629B0" w:rsidRDefault="00F5359F" w:rsidP="00F5359F">
      <w:pPr>
        <w:pBdr>
          <w:bottom w:val="single" w:sz="12" w:space="1" w:color="auto"/>
        </w:pBdr>
        <w:rPr>
          <w:sz w:val="16"/>
          <w:szCs w:val="16"/>
        </w:rPr>
      </w:pPr>
    </w:p>
    <w:p w14:paraId="73F82326" w14:textId="740B9F17" w:rsidR="003A52C6" w:rsidRDefault="003A52C6" w:rsidP="003A52C6">
      <w:pPr>
        <w:pStyle w:val="Heading2"/>
      </w:pPr>
      <w:bookmarkStart w:id="4" w:name="_Toc481945258"/>
      <w:r>
        <w:t>3.1</w:t>
      </w:r>
      <w:r>
        <w:tab/>
        <w:t>Human Rights Framework</w:t>
      </w:r>
      <w:bookmarkEnd w:id="4"/>
    </w:p>
    <w:p w14:paraId="04552BDC" w14:textId="187FFD2B" w:rsidR="00573E02" w:rsidRDefault="001C06A9" w:rsidP="003A52C6">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asciiTheme="minorHAnsi" w:hAnsiTheme="minorHAnsi" w:cs="Arial"/>
          <w:sz w:val="24"/>
          <w:szCs w:val="24"/>
          <w:lang w:val="en-US"/>
        </w:rPr>
      </w:pPr>
      <w:r w:rsidRPr="000D432E">
        <w:rPr>
          <w:rFonts w:asciiTheme="minorHAnsi" w:hAnsiTheme="minorHAnsi" w:cs="Calibri"/>
          <w:sz w:val="24"/>
          <w:szCs w:val="24"/>
        </w:rPr>
        <w:t>3.1</w:t>
      </w:r>
      <w:r w:rsidR="003A52C6">
        <w:rPr>
          <w:rFonts w:asciiTheme="minorHAnsi" w:hAnsiTheme="minorHAnsi" w:cs="Calibri"/>
          <w:sz w:val="24"/>
          <w:szCs w:val="24"/>
        </w:rPr>
        <w:t>.1</w:t>
      </w:r>
      <w:r w:rsidRPr="000D432E">
        <w:rPr>
          <w:rFonts w:asciiTheme="minorHAnsi" w:hAnsiTheme="minorHAnsi" w:cs="Calibri"/>
          <w:sz w:val="24"/>
          <w:szCs w:val="24"/>
        </w:rPr>
        <w:tab/>
      </w:r>
      <w:r w:rsidR="00086427" w:rsidRPr="000D432E">
        <w:rPr>
          <w:rFonts w:asciiTheme="minorHAnsi" w:hAnsiTheme="minorHAnsi" w:cs="Arial"/>
          <w:sz w:val="24"/>
          <w:szCs w:val="24"/>
          <w:lang w:val="en-US"/>
        </w:rPr>
        <w:t xml:space="preserve">The NDS is </w:t>
      </w:r>
      <w:r w:rsidR="00912B28" w:rsidRPr="000D432E">
        <w:rPr>
          <w:rFonts w:asciiTheme="minorHAnsi" w:hAnsiTheme="minorHAnsi" w:cs="Arial"/>
          <w:sz w:val="24"/>
          <w:szCs w:val="24"/>
          <w:lang w:val="en-US"/>
        </w:rPr>
        <w:t>the key national policy framework for “protecting, promoting and fulfilling the human rights of people with disability”.</w:t>
      </w:r>
      <w:r w:rsidR="00912B28" w:rsidRPr="000D432E">
        <w:rPr>
          <w:rStyle w:val="FootnoteReference"/>
          <w:rFonts w:asciiTheme="minorHAnsi" w:hAnsiTheme="minorHAnsi" w:cs="Arial"/>
          <w:sz w:val="24"/>
          <w:szCs w:val="24"/>
          <w:lang w:val="en-US"/>
        </w:rPr>
        <w:footnoteReference w:id="6"/>
      </w:r>
      <w:r w:rsidR="00912B28" w:rsidRPr="000D432E">
        <w:rPr>
          <w:rFonts w:asciiTheme="minorHAnsi" w:hAnsiTheme="minorHAnsi" w:cs="Arial"/>
          <w:sz w:val="24"/>
          <w:szCs w:val="24"/>
          <w:lang w:val="en-US"/>
        </w:rPr>
        <w:t xml:space="preserve">  It has been </w:t>
      </w:r>
      <w:r w:rsidR="00086427" w:rsidRPr="000D432E">
        <w:rPr>
          <w:rFonts w:asciiTheme="minorHAnsi" w:hAnsiTheme="minorHAnsi" w:cs="Arial"/>
          <w:sz w:val="24"/>
          <w:szCs w:val="24"/>
          <w:lang w:val="en-US"/>
        </w:rPr>
        <w:t>agree</w:t>
      </w:r>
      <w:r w:rsidR="00A248C1" w:rsidRPr="000D432E">
        <w:rPr>
          <w:rFonts w:asciiTheme="minorHAnsi" w:hAnsiTheme="minorHAnsi" w:cs="Arial"/>
          <w:sz w:val="24"/>
          <w:szCs w:val="24"/>
          <w:lang w:val="en-US"/>
        </w:rPr>
        <w:t xml:space="preserve">d by all Australian governments as the strategy </w:t>
      </w:r>
      <w:r w:rsidR="00086427" w:rsidRPr="000D432E">
        <w:rPr>
          <w:rFonts w:asciiTheme="minorHAnsi" w:hAnsiTheme="minorHAnsi" w:cs="Arial"/>
          <w:sz w:val="24"/>
          <w:szCs w:val="24"/>
          <w:lang w:val="en-US"/>
        </w:rPr>
        <w:t xml:space="preserve">to implement </w:t>
      </w:r>
      <w:r w:rsidR="00FF43A4" w:rsidRPr="000D432E">
        <w:rPr>
          <w:rFonts w:asciiTheme="minorHAnsi" w:hAnsiTheme="minorHAnsi" w:cs="Arial"/>
          <w:sz w:val="24"/>
          <w:szCs w:val="24"/>
          <w:lang w:val="en-US"/>
        </w:rPr>
        <w:t xml:space="preserve">the </w:t>
      </w:r>
      <w:r w:rsidR="00E24313" w:rsidRPr="000D432E">
        <w:rPr>
          <w:rFonts w:asciiTheme="minorHAnsi" w:hAnsiTheme="minorHAnsi" w:cs="Arial"/>
          <w:sz w:val="24"/>
          <w:szCs w:val="24"/>
          <w:lang w:val="en-US"/>
        </w:rPr>
        <w:t xml:space="preserve">CRPD </w:t>
      </w:r>
      <w:r w:rsidR="00086427" w:rsidRPr="000D432E">
        <w:rPr>
          <w:rFonts w:asciiTheme="minorHAnsi" w:hAnsiTheme="minorHAnsi" w:cs="Arial"/>
          <w:sz w:val="24"/>
          <w:szCs w:val="24"/>
          <w:lang w:val="en-US"/>
        </w:rPr>
        <w:t xml:space="preserve">and </w:t>
      </w:r>
      <w:r w:rsidR="00FF43A4" w:rsidRPr="000D432E">
        <w:rPr>
          <w:rFonts w:asciiTheme="minorHAnsi" w:hAnsiTheme="minorHAnsi" w:cs="Arial"/>
          <w:sz w:val="24"/>
          <w:szCs w:val="24"/>
          <w:lang w:val="en-US"/>
        </w:rPr>
        <w:t xml:space="preserve">to </w:t>
      </w:r>
      <w:r w:rsidR="00086427" w:rsidRPr="000D432E">
        <w:rPr>
          <w:rFonts w:asciiTheme="minorHAnsi" w:hAnsiTheme="minorHAnsi" w:cs="Arial"/>
          <w:sz w:val="24"/>
          <w:szCs w:val="24"/>
          <w:lang w:val="en-US"/>
        </w:rPr>
        <w:t>report to the United Nations (UN) against progress in achieving</w:t>
      </w:r>
      <w:r w:rsidR="00FF43A4" w:rsidRPr="000D432E">
        <w:rPr>
          <w:rFonts w:asciiTheme="minorHAnsi" w:hAnsiTheme="minorHAnsi" w:cs="Arial"/>
          <w:sz w:val="24"/>
          <w:szCs w:val="24"/>
          <w:lang w:val="en-US"/>
        </w:rPr>
        <w:t xml:space="preserve"> the CRPD.</w:t>
      </w:r>
      <w:r w:rsidR="00086427" w:rsidRPr="000D432E">
        <w:rPr>
          <w:rStyle w:val="FootnoteReference"/>
          <w:rFonts w:asciiTheme="minorHAnsi" w:hAnsiTheme="minorHAnsi" w:cs="Arial"/>
          <w:sz w:val="24"/>
          <w:szCs w:val="24"/>
          <w:lang w:val="en-US"/>
        </w:rPr>
        <w:footnoteReference w:id="7"/>
      </w:r>
      <w:r w:rsidR="00086427" w:rsidRPr="000D432E">
        <w:rPr>
          <w:rFonts w:asciiTheme="minorHAnsi" w:hAnsiTheme="minorHAnsi" w:cs="Arial"/>
          <w:sz w:val="24"/>
          <w:szCs w:val="24"/>
          <w:lang w:val="en-US"/>
        </w:rPr>
        <w:t xml:space="preserve">  The NDS “adopts the principles set out in Article 3 of the CRPD”</w:t>
      </w:r>
      <w:r w:rsidR="00086427" w:rsidRPr="000D432E">
        <w:rPr>
          <w:rStyle w:val="FootnoteReference"/>
          <w:rFonts w:asciiTheme="minorHAnsi" w:hAnsiTheme="minorHAnsi" w:cs="Arial"/>
          <w:sz w:val="24"/>
          <w:szCs w:val="24"/>
          <w:lang w:val="en-US"/>
        </w:rPr>
        <w:footnoteReference w:id="8"/>
      </w:r>
      <w:r w:rsidR="00086427" w:rsidRPr="000D432E">
        <w:rPr>
          <w:rFonts w:asciiTheme="minorHAnsi" w:hAnsiTheme="minorHAnsi" w:cs="Arial"/>
          <w:sz w:val="24"/>
          <w:szCs w:val="24"/>
          <w:lang w:val="en-US"/>
        </w:rPr>
        <w:t xml:space="preserve"> and </w:t>
      </w:r>
      <w:r w:rsidR="00FF43A4" w:rsidRPr="000D432E">
        <w:rPr>
          <w:rFonts w:asciiTheme="minorHAnsi" w:hAnsiTheme="minorHAnsi" w:cs="Arial"/>
          <w:sz w:val="24"/>
          <w:szCs w:val="24"/>
          <w:lang w:val="en-US"/>
        </w:rPr>
        <w:t xml:space="preserve">the “six policy areas of the Strategy are </w:t>
      </w:r>
      <w:r w:rsidR="00086427" w:rsidRPr="000D432E">
        <w:rPr>
          <w:rFonts w:asciiTheme="minorHAnsi" w:hAnsiTheme="minorHAnsi" w:cs="Arial"/>
          <w:sz w:val="24"/>
          <w:szCs w:val="24"/>
          <w:lang w:val="en-US"/>
        </w:rPr>
        <w:t>align</w:t>
      </w:r>
      <w:r w:rsidR="00FF43A4" w:rsidRPr="000D432E">
        <w:rPr>
          <w:rFonts w:asciiTheme="minorHAnsi" w:hAnsiTheme="minorHAnsi" w:cs="Arial"/>
          <w:sz w:val="24"/>
          <w:szCs w:val="24"/>
          <w:lang w:val="en-US"/>
        </w:rPr>
        <w:t>ed</w:t>
      </w:r>
      <w:r w:rsidR="00086427" w:rsidRPr="000D432E">
        <w:rPr>
          <w:rFonts w:asciiTheme="minorHAnsi" w:hAnsiTheme="minorHAnsi" w:cs="Arial"/>
          <w:sz w:val="24"/>
          <w:szCs w:val="24"/>
          <w:lang w:val="en-US"/>
        </w:rPr>
        <w:t xml:space="preserve"> to the </w:t>
      </w:r>
      <w:r w:rsidR="00FF43A4" w:rsidRPr="000D432E">
        <w:rPr>
          <w:rFonts w:asciiTheme="minorHAnsi" w:hAnsiTheme="minorHAnsi" w:cs="Arial"/>
          <w:sz w:val="24"/>
          <w:szCs w:val="24"/>
          <w:lang w:val="en-US"/>
        </w:rPr>
        <w:t xml:space="preserve">articles of the </w:t>
      </w:r>
      <w:r w:rsidR="00086427" w:rsidRPr="000D432E">
        <w:rPr>
          <w:rFonts w:asciiTheme="minorHAnsi" w:hAnsiTheme="minorHAnsi" w:cs="Arial"/>
          <w:sz w:val="24"/>
          <w:szCs w:val="24"/>
          <w:lang w:val="en-US"/>
        </w:rPr>
        <w:t>CRPD</w:t>
      </w:r>
      <w:r w:rsidR="00FF43A4" w:rsidRPr="000D432E">
        <w:rPr>
          <w:rFonts w:asciiTheme="minorHAnsi" w:hAnsiTheme="minorHAnsi" w:cs="Arial"/>
          <w:sz w:val="24"/>
          <w:szCs w:val="24"/>
          <w:lang w:val="en-US"/>
        </w:rPr>
        <w:t>”</w:t>
      </w:r>
      <w:r w:rsidR="00086427" w:rsidRPr="000D432E">
        <w:rPr>
          <w:rFonts w:asciiTheme="minorHAnsi" w:hAnsiTheme="minorHAnsi" w:cs="Arial"/>
          <w:sz w:val="24"/>
          <w:szCs w:val="24"/>
          <w:lang w:val="en-US"/>
        </w:rPr>
        <w:t>.</w:t>
      </w:r>
      <w:r w:rsidR="00086427" w:rsidRPr="000D432E">
        <w:rPr>
          <w:rStyle w:val="FootnoteReference"/>
          <w:rFonts w:asciiTheme="minorHAnsi" w:hAnsiTheme="minorHAnsi" w:cs="Arial"/>
          <w:sz w:val="24"/>
          <w:szCs w:val="24"/>
          <w:lang w:val="en-US"/>
        </w:rPr>
        <w:footnoteReference w:id="9"/>
      </w:r>
      <w:r w:rsidR="00086427" w:rsidRPr="000D432E">
        <w:rPr>
          <w:rFonts w:asciiTheme="minorHAnsi" w:hAnsiTheme="minorHAnsi" w:cs="Arial"/>
          <w:sz w:val="24"/>
          <w:szCs w:val="24"/>
          <w:lang w:val="en-US"/>
        </w:rPr>
        <w:t xml:space="preserve">  </w:t>
      </w:r>
    </w:p>
    <w:p w14:paraId="03AF51B6" w14:textId="10C36B28" w:rsidR="00184B28" w:rsidRDefault="003A52C6" w:rsidP="003A52C6">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cs="Calibri"/>
          <w:bCs/>
          <w:sz w:val="24"/>
          <w:szCs w:val="24"/>
        </w:rPr>
      </w:pPr>
      <w:r>
        <w:rPr>
          <w:rFonts w:asciiTheme="minorHAnsi" w:hAnsiTheme="minorHAnsi" w:cs="Calibri"/>
          <w:sz w:val="24"/>
          <w:szCs w:val="24"/>
        </w:rPr>
        <w:t>3.1.2</w:t>
      </w:r>
      <w:r>
        <w:rPr>
          <w:rFonts w:asciiTheme="minorHAnsi" w:hAnsiTheme="minorHAnsi" w:cs="Arial"/>
          <w:sz w:val="24"/>
          <w:szCs w:val="24"/>
          <w:lang w:val="en-US"/>
        </w:rPr>
        <w:tab/>
      </w:r>
      <w:r w:rsidR="00712237">
        <w:rPr>
          <w:rFonts w:cs="Calibri"/>
          <w:bCs/>
          <w:sz w:val="24"/>
          <w:szCs w:val="24"/>
        </w:rPr>
        <w:t>Despite the NDS being a strategy to report to the UN</w:t>
      </w:r>
      <w:r w:rsidR="00F51595">
        <w:rPr>
          <w:rFonts w:cs="Calibri"/>
          <w:bCs/>
          <w:sz w:val="24"/>
          <w:szCs w:val="24"/>
        </w:rPr>
        <w:t xml:space="preserve"> against progress against the CRPD</w:t>
      </w:r>
      <w:r w:rsidR="00712237">
        <w:rPr>
          <w:rFonts w:cs="Calibri"/>
          <w:bCs/>
          <w:sz w:val="24"/>
          <w:szCs w:val="24"/>
        </w:rPr>
        <w:t>, the N</w:t>
      </w:r>
      <w:r w:rsidR="00CF1A4D">
        <w:rPr>
          <w:rFonts w:cs="Calibri"/>
          <w:bCs/>
          <w:sz w:val="24"/>
          <w:szCs w:val="24"/>
        </w:rPr>
        <w:t xml:space="preserve">DS </w:t>
      </w:r>
      <w:r w:rsidR="005466D3">
        <w:rPr>
          <w:rFonts w:cs="Calibri"/>
          <w:bCs/>
          <w:sz w:val="24"/>
          <w:szCs w:val="24"/>
        </w:rPr>
        <w:t xml:space="preserve">does not reflect engagement </w:t>
      </w:r>
      <w:r w:rsidR="00F51595">
        <w:rPr>
          <w:rFonts w:cs="Calibri"/>
          <w:bCs/>
          <w:sz w:val="24"/>
          <w:szCs w:val="24"/>
        </w:rPr>
        <w:t xml:space="preserve">with </w:t>
      </w:r>
      <w:r w:rsidR="005209EA">
        <w:rPr>
          <w:rFonts w:cs="Calibri"/>
          <w:bCs/>
          <w:sz w:val="24"/>
          <w:szCs w:val="24"/>
        </w:rPr>
        <w:t xml:space="preserve">the </w:t>
      </w:r>
      <w:r w:rsidR="00712237">
        <w:rPr>
          <w:rFonts w:cs="Calibri"/>
          <w:bCs/>
          <w:sz w:val="24"/>
          <w:szCs w:val="24"/>
        </w:rPr>
        <w:t xml:space="preserve">UN </w:t>
      </w:r>
      <w:r w:rsidR="005209EA">
        <w:rPr>
          <w:rFonts w:cs="Calibri"/>
          <w:bCs/>
          <w:sz w:val="24"/>
          <w:szCs w:val="24"/>
        </w:rPr>
        <w:t xml:space="preserve">CRPD </w:t>
      </w:r>
      <w:r w:rsidR="00712237">
        <w:rPr>
          <w:rFonts w:cs="Calibri"/>
          <w:bCs/>
          <w:sz w:val="24"/>
          <w:szCs w:val="24"/>
        </w:rPr>
        <w:t xml:space="preserve">review of Australia.  </w:t>
      </w:r>
      <w:r w:rsidR="005466D3">
        <w:rPr>
          <w:rFonts w:cs="Calibri"/>
          <w:bCs/>
          <w:sz w:val="24"/>
          <w:szCs w:val="24"/>
        </w:rPr>
        <w:t>The</w:t>
      </w:r>
      <w:r w:rsidR="008F708C">
        <w:rPr>
          <w:rFonts w:cs="Calibri"/>
          <w:bCs/>
          <w:sz w:val="24"/>
          <w:szCs w:val="24"/>
        </w:rPr>
        <w:t xml:space="preserve"> first CRPD review took place in September 2013, </w:t>
      </w:r>
      <w:r w:rsidR="005466D3">
        <w:rPr>
          <w:rFonts w:cs="Calibri"/>
          <w:bCs/>
          <w:sz w:val="24"/>
          <w:szCs w:val="24"/>
        </w:rPr>
        <w:t xml:space="preserve">and </w:t>
      </w:r>
      <w:r w:rsidR="008F708C">
        <w:rPr>
          <w:rFonts w:cs="Calibri"/>
          <w:bCs/>
          <w:sz w:val="24"/>
          <w:szCs w:val="24"/>
        </w:rPr>
        <w:t>the UN Committee on the Rights of Persons with Disabilities (CRPD Committee) commended Australia for the “adoption of the National Disability Strategy 2010-2020 to implement the Convention across all jurisdictions”.</w:t>
      </w:r>
      <w:r w:rsidR="00BF4DD6">
        <w:rPr>
          <w:rStyle w:val="FootnoteReference"/>
          <w:rFonts w:cs="Calibri"/>
          <w:bCs/>
          <w:sz w:val="24"/>
          <w:szCs w:val="24"/>
        </w:rPr>
        <w:footnoteReference w:id="10"/>
      </w:r>
      <w:r w:rsidR="008F708C">
        <w:rPr>
          <w:rFonts w:cs="Calibri"/>
          <w:bCs/>
          <w:sz w:val="24"/>
          <w:szCs w:val="24"/>
        </w:rPr>
        <w:t xml:space="preserve">  However, the </w:t>
      </w:r>
      <w:r w:rsidR="00184B28">
        <w:rPr>
          <w:rFonts w:cs="Calibri"/>
          <w:bCs/>
          <w:sz w:val="24"/>
          <w:szCs w:val="24"/>
        </w:rPr>
        <w:t xml:space="preserve">concluding observations or recommendations from this review have not been incorporated into concrete actions within the NDS, nor is it clear if States, Territories and Local Governments are aware of or </w:t>
      </w:r>
      <w:r w:rsidR="00103BCD">
        <w:rPr>
          <w:rFonts w:cs="Calibri"/>
          <w:bCs/>
          <w:sz w:val="24"/>
          <w:szCs w:val="24"/>
        </w:rPr>
        <w:t xml:space="preserve">have </w:t>
      </w:r>
      <w:r w:rsidR="00184B28">
        <w:rPr>
          <w:rFonts w:cs="Calibri"/>
          <w:bCs/>
          <w:sz w:val="24"/>
          <w:szCs w:val="24"/>
        </w:rPr>
        <w:t xml:space="preserve">responded to the UN CRPD </w:t>
      </w:r>
      <w:r w:rsidR="005209EA">
        <w:rPr>
          <w:rFonts w:cs="Calibri"/>
          <w:bCs/>
          <w:sz w:val="24"/>
          <w:szCs w:val="24"/>
        </w:rPr>
        <w:t>recommendations in their</w:t>
      </w:r>
      <w:r w:rsidR="005466D3">
        <w:rPr>
          <w:rFonts w:cs="Calibri"/>
          <w:bCs/>
          <w:sz w:val="24"/>
          <w:szCs w:val="24"/>
        </w:rPr>
        <w:t xml:space="preserve"> respective Disability P</w:t>
      </w:r>
      <w:r w:rsidR="005209EA">
        <w:rPr>
          <w:rFonts w:cs="Calibri"/>
          <w:bCs/>
          <w:sz w:val="24"/>
          <w:szCs w:val="24"/>
        </w:rPr>
        <w:t xml:space="preserve">lans. </w:t>
      </w:r>
    </w:p>
    <w:p w14:paraId="11544758" w14:textId="1877B1BF" w:rsidR="00712237" w:rsidRDefault="003A52C6" w:rsidP="003A52C6">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cs="Calibri"/>
          <w:bCs/>
          <w:sz w:val="24"/>
          <w:szCs w:val="24"/>
        </w:rPr>
      </w:pPr>
      <w:r>
        <w:rPr>
          <w:rFonts w:cs="Calibri"/>
          <w:bCs/>
          <w:sz w:val="24"/>
          <w:szCs w:val="24"/>
        </w:rPr>
        <w:t>3.1.3</w:t>
      </w:r>
      <w:r>
        <w:rPr>
          <w:rFonts w:cs="Calibri"/>
          <w:bCs/>
          <w:sz w:val="24"/>
          <w:szCs w:val="24"/>
        </w:rPr>
        <w:tab/>
      </w:r>
      <w:r w:rsidR="005209EA">
        <w:rPr>
          <w:rFonts w:cs="Calibri"/>
          <w:bCs/>
          <w:sz w:val="24"/>
          <w:szCs w:val="24"/>
        </w:rPr>
        <w:t xml:space="preserve">The 2014 NDS </w:t>
      </w:r>
      <w:r w:rsidR="005209EA" w:rsidRPr="005466D3">
        <w:rPr>
          <w:rFonts w:cs="Calibri"/>
          <w:bCs/>
          <w:i/>
          <w:sz w:val="24"/>
          <w:szCs w:val="24"/>
        </w:rPr>
        <w:t xml:space="preserve">Progress Report </w:t>
      </w:r>
      <w:r w:rsidR="005466D3" w:rsidRPr="005466D3">
        <w:rPr>
          <w:rFonts w:cs="Calibri"/>
          <w:bCs/>
          <w:i/>
          <w:sz w:val="24"/>
          <w:szCs w:val="24"/>
        </w:rPr>
        <w:t>to the Council of Australian Governments</w:t>
      </w:r>
      <w:r w:rsidR="005466D3">
        <w:rPr>
          <w:rFonts w:cs="Calibri"/>
          <w:bCs/>
          <w:sz w:val="24"/>
          <w:szCs w:val="24"/>
        </w:rPr>
        <w:t xml:space="preserve"> </w:t>
      </w:r>
      <w:r w:rsidR="008C3601">
        <w:rPr>
          <w:rFonts w:cs="Calibri"/>
          <w:bCs/>
          <w:sz w:val="24"/>
          <w:szCs w:val="24"/>
        </w:rPr>
        <w:t xml:space="preserve">(2014 Progress Report) </w:t>
      </w:r>
      <w:r w:rsidR="005209EA">
        <w:rPr>
          <w:rFonts w:cs="Calibri"/>
          <w:bCs/>
          <w:sz w:val="24"/>
          <w:szCs w:val="24"/>
        </w:rPr>
        <w:t xml:space="preserve">does </w:t>
      </w:r>
      <w:r w:rsidR="00172F3D">
        <w:rPr>
          <w:rFonts w:cs="Calibri"/>
          <w:bCs/>
          <w:sz w:val="24"/>
          <w:szCs w:val="24"/>
        </w:rPr>
        <w:t>outline</w:t>
      </w:r>
      <w:r w:rsidR="005466D3">
        <w:rPr>
          <w:rFonts w:cs="Calibri"/>
          <w:bCs/>
          <w:sz w:val="24"/>
          <w:szCs w:val="24"/>
        </w:rPr>
        <w:t xml:space="preserve"> that Australia participated in the </w:t>
      </w:r>
      <w:r w:rsidR="005209EA">
        <w:rPr>
          <w:rFonts w:cs="Calibri"/>
          <w:bCs/>
          <w:sz w:val="24"/>
          <w:szCs w:val="24"/>
        </w:rPr>
        <w:t>UN CRPD review</w:t>
      </w:r>
      <w:r w:rsidR="005466D3">
        <w:rPr>
          <w:rFonts w:cs="Calibri"/>
          <w:bCs/>
          <w:sz w:val="24"/>
          <w:szCs w:val="24"/>
        </w:rPr>
        <w:t xml:space="preserve">, but only </w:t>
      </w:r>
      <w:r w:rsidR="005209EA">
        <w:rPr>
          <w:rFonts w:cs="Calibri"/>
          <w:bCs/>
          <w:sz w:val="24"/>
          <w:szCs w:val="24"/>
        </w:rPr>
        <w:t xml:space="preserve">notes some recommendations from that review, </w:t>
      </w:r>
      <w:r w:rsidR="005466D3">
        <w:rPr>
          <w:rFonts w:cs="Calibri"/>
          <w:bCs/>
          <w:sz w:val="24"/>
          <w:szCs w:val="24"/>
        </w:rPr>
        <w:t xml:space="preserve">and </w:t>
      </w:r>
      <w:r w:rsidR="005209EA">
        <w:rPr>
          <w:rFonts w:cs="Calibri"/>
          <w:bCs/>
          <w:sz w:val="24"/>
          <w:szCs w:val="24"/>
        </w:rPr>
        <w:t xml:space="preserve">only does this under policy </w:t>
      </w:r>
      <w:r w:rsidR="00226846">
        <w:rPr>
          <w:rFonts w:cs="Calibri"/>
          <w:bCs/>
          <w:sz w:val="24"/>
          <w:szCs w:val="24"/>
        </w:rPr>
        <w:t xml:space="preserve">outcome </w:t>
      </w:r>
      <w:r w:rsidR="005209EA">
        <w:rPr>
          <w:rFonts w:cs="Calibri"/>
          <w:bCs/>
          <w:sz w:val="24"/>
          <w:szCs w:val="24"/>
        </w:rPr>
        <w:t>area 2, ‘Rights protec</w:t>
      </w:r>
      <w:r w:rsidR="00172F3D">
        <w:rPr>
          <w:rFonts w:cs="Calibri"/>
          <w:bCs/>
          <w:sz w:val="24"/>
          <w:szCs w:val="24"/>
        </w:rPr>
        <w:t>tion, justice and legislation’.</w:t>
      </w:r>
      <w:r w:rsidR="005466D3">
        <w:rPr>
          <w:rStyle w:val="FootnoteReference"/>
          <w:rFonts w:cs="Calibri"/>
          <w:bCs/>
          <w:sz w:val="24"/>
          <w:szCs w:val="24"/>
        </w:rPr>
        <w:footnoteReference w:id="11"/>
      </w:r>
      <w:r w:rsidR="00172F3D">
        <w:rPr>
          <w:rFonts w:cs="Calibri"/>
          <w:bCs/>
          <w:sz w:val="24"/>
          <w:szCs w:val="24"/>
        </w:rPr>
        <w:t xml:space="preserve">  This implies a lack of understanding about the </w:t>
      </w:r>
      <w:r w:rsidR="0043577A">
        <w:rPr>
          <w:rFonts w:cs="Calibri"/>
          <w:bCs/>
          <w:sz w:val="24"/>
          <w:szCs w:val="24"/>
        </w:rPr>
        <w:t xml:space="preserve">integral </w:t>
      </w:r>
      <w:r w:rsidR="00172F3D">
        <w:rPr>
          <w:rFonts w:cs="Calibri"/>
          <w:bCs/>
          <w:sz w:val="24"/>
          <w:szCs w:val="24"/>
        </w:rPr>
        <w:t xml:space="preserve">relationship between the UN CRPD </w:t>
      </w:r>
      <w:r w:rsidR="00172F3D">
        <w:rPr>
          <w:rFonts w:cs="Calibri"/>
          <w:bCs/>
          <w:sz w:val="24"/>
          <w:szCs w:val="24"/>
        </w:rPr>
        <w:lastRenderedPageBreak/>
        <w:t xml:space="preserve">review and the NDS: the UN CRPD review is relevant to the entirety of the NDS, not just one policy </w:t>
      </w:r>
      <w:r w:rsidR="00226846">
        <w:rPr>
          <w:rFonts w:cs="Calibri"/>
          <w:bCs/>
          <w:sz w:val="24"/>
          <w:szCs w:val="24"/>
        </w:rPr>
        <w:t xml:space="preserve">outcome </w:t>
      </w:r>
      <w:r w:rsidR="00172F3D">
        <w:rPr>
          <w:rFonts w:cs="Calibri"/>
          <w:bCs/>
          <w:sz w:val="24"/>
          <w:szCs w:val="24"/>
        </w:rPr>
        <w:t xml:space="preserve">area, and the recommendations from this review </w:t>
      </w:r>
      <w:r w:rsidR="005209EA">
        <w:rPr>
          <w:rFonts w:cs="Calibri"/>
          <w:bCs/>
          <w:sz w:val="24"/>
          <w:szCs w:val="24"/>
        </w:rPr>
        <w:t xml:space="preserve">cover all six policy </w:t>
      </w:r>
      <w:r w:rsidR="00226846">
        <w:rPr>
          <w:rFonts w:cs="Calibri"/>
          <w:bCs/>
          <w:sz w:val="24"/>
          <w:szCs w:val="24"/>
        </w:rPr>
        <w:t xml:space="preserve">outcome </w:t>
      </w:r>
      <w:r w:rsidR="005209EA">
        <w:rPr>
          <w:rFonts w:cs="Calibri"/>
          <w:bCs/>
          <w:sz w:val="24"/>
          <w:szCs w:val="24"/>
        </w:rPr>
        <w:t>areas of the NDS.  In addition, NDS progress reports aim to “inform the further development and implementation of the strategy over its ten-year life span”,</w:t>
      </w:r>
      <w:r w:rsidR="0043577A">
        <w:rPr>
          <w:rStyle w:val="FootnoteReference"/>
          <w:rFonts w:cs="Calibri"/>
          <w:bCs/>
          <w:sz w:val="24"/>
          <w:szCs w:val="24"/>
        </w:rPr>
        <w:footnoteReference w:id="12"/>
      </w:r>
      <w:r w:rsidR="005209EA">
        <w:rPr>
          <w:rFonts w:cs="Calibri"/>
          <w:bCs/>
          <w:sz w:val="24"/>
          <w:szCs w:val="24"/>
        </w:rPr>
        <w:t xml:space="preserve"> but the NDS Second Implementation Plan, </w:t>
      </w:r>
      <w:r w:rsidR="005209EA" w:rsidRPr="005209EA">
        <w:rPr>
          <w:rFonts w:cs="Calibri"/>
          <w:bCs/>
          <w:i/>
          <w:sz w:val="24"/>
          <w:szCs w:val="24"/>
        </w:rPr>
        <w:t>Driving Action 2015-2018</w:t>
      </w:r>
      <w:r w:rsidR="005209EA">
        <w:rPr>
          <w:rFonts w:cs="Calibri"/>
          <w:bCs/>
          <w:sz w:val="24"/>
          <w:szCs w:val="24"/>
        </w:rPr>
        <w:t xml:space="preserve"> </w:t>
      </w:r>
      <w:r w:rsidR="008C3601">
        <w:rPr>
          <w:rFonts w:cs="Calibri"/>
          <w:bCs/>
          <w:sz w:val="24"/>
          <w:szCs w:val="24"/>
        </w:rPr>
        <w:t xml:space="preserve">(Second Implementation Plan) </w:t>
      </w:r>
      <w:r w:rsidR="005209EA">
        <w:rPr>
          <w:rFonts w:cs="Calibri"/>
          <w:bCs/>
          <w:sz w:val="24"/>
          <w:szCs w:val="24"/>
        </w:rPr>
        <w:t xml:space="preserve">does not propose concrete measures across the six policy </w:t>
      </w:r>
      <w:r w:rsidR="00226846">
        <w:rPr>
          <w:rFonts w:cs="Calibri"/>
          <w:bCs/>
          <w:sz w:val="24"/>
          <w:szCs w:val="24"/>
        </w:rPr>
        <w:t xml:space="preserve">outcome </w:t>
      </w:r>
      <w:r w:rsidR="005209EA">
        <w:rPr>
          <w:rFonts w:cs="Calibri"/>
          <w:bCs/>
          <w:sz w:val="24"/>
          <w:szCs w:val="24"/>
        </w:rPr>
        <w:t xml:space="preserve">areas that </w:t>
      </w:r>
      <w:r w:rsidR="00172F3D">
        <w:rPr>
          <w:rFonts w:cs="Calibri"/>
          <w:bCs/>
          <w:sz w:val="24"/>
          <w:szCs w:val="24"/>
        </w:rPr>
        <w:t xml:space="preserve">would </w:t>
      </w:r>
      <w:r w:rsidR="00F51595">
        <w:rPr>
          <w:rFonts w:cs="Calibri"/>
          <w:bCs/>
          <w:sz w:val="24"/>
          <w:szCs w:val="24"/>
        </w:rPr>
        <w:t>specifically</w:t>
      </w:r>
      <w:r w:rsidR="005209EA">
        <w:rPr>
          <w:rFonts w:cs="Calibri"/>
          <w:bCs/>
          <w:sz w:val="24"/>
          <w:szCs w:val="24"/>
        </w:rPr>
        <w:t xml:space="preserve"> respond to UN recommendations from the </w:t>
      </w:r>
      <w:r w:rsidR="00F51595">
        <w:rPr>
          <w:rFonts w:cs="Calibri"/>
          <w:bCs/>
          <w:sz w:val="24"/>
          <w:szCs w:val="24"/>
        </w:rPr>
        <w:t xml:space="preserve">CRPD </w:t>
      </w:r>
      <w:r w:rsidR="005209EA">
        <w:rPr>
          <w:rFonts w:cs="Calibri"/>
          <w:bCs/>
          <w:sz w:val="24"/>
          <w:szCs w:val="24"/>
        </w:rPr>
        <w:t xml:space="preserve">review.  </w:t>
      </w:r>
    </w:p>
    <w:p w14:paraId="6941B7CF" w14:textId="367D9D07" w:rsidR="00712237" w:rsidRDefault="003A52C6" w:rsidP="003A52C6">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cs="Calibri"/>
          <w:bCs/>
          <w:sz w:val="24"/>
          <w:szCs w:val="24"/>
        </w:rPr>
      </w:pPr>
      <w:r>
        <w:rPr>
          <w:rFonts w:cs="Calibri"/>
          <w:bCs/>
          <w:sz w:val="24"/>
          <w:szCs w:val="24"/>
        </w:rPr>
        <w:t>3.1.4</w:t>
      </w:r>
      <w:r>
        <w:rPr>
          <w:rFonts w:cs="Calibri"/>
          <w:bCs/>
          <w:sz w:val="24"/>
          <w:szCs w:val="24"/>
        </w:rPr>
        <w:tab/>
      </w:r>
      <w:r w:rsidR="0043577A">
        <w:rPr>
          <w:rFonts w:cs="Calibri"/>
          <w:bCs/>
          <w:sz w:val="24"/>
          <w:szCs w:val="24"/>
        </w:rPr>
        <w:t>T</w:t>
      </w:r>
      <w:r w:rsidR="00867654">
        <w:rPr>
          <w:rFonts w:cs="Calibri"/>
          <w:bCs/>
          <w:sz w:val="24"/>
          <w:szCs w:val="24"/>
        </w:rPr>
        <w:t>he NDS sh</w:t>
      </w:r>
      <w:r w:rsidR="00F51595">
        <w:rPr>
          <w:rFonts w:cs="Calibri"/>
          <w:bCs/>
          <w:sz w:val="24"/>
          <w:szCs w:val="24"/>
        </w:rPr>
        <w:t xml:space="preserve">ould also integrate the recommendations from </w:t>
      </w:r>
      <w:r w:rsidR="00712237">
        <w:rPr>
          <w:rFonts w:cs="Calibri"/>
          <w:bCs/>
          <w:sz w:val="24"/>
          <w:szCs w:val="24"/>
        </w:rPr>
        <w:t xml:space="preserve">other </w:t>
      </w:r>
      <w:r w:rsidR="00F51595">
        <w:rPr>
          <w:rFonts w:cs="Calibri"/>
          <w:bCs/>
          <w:sz w:val="24"/>
          <w:szCs w:val="24"/>
        </w:rPr>
        <w:t xml:space="preserve">UN treaty body reviews of Australia, </w:t>
      </w:r>
      <w:r w:rsidR="00712237">
        <w:rPr>
          <w:rFonts w:cs="Calibri"/>
          <w:bCs/>
          <w:sz w:val="24"/>
          <w:szCs w:val="24"/>
        </w:rPr>
        <w:t xml:space="preserve">such as </w:t>
      </w:r>
      <w:r w:rsidR="00F51595">
        <w:rPr>
          <w:rFonts w:cs="Calibri"/>
          <w:bCs/>
          <w:sz w:val="24"/>
          <w:szCs w:val="24"/>
        </w:rPr>
        <w:t xml:space="preserve">those by </w:t>
      </w:r>
      <w:r w:rsidR="00712237">
        <w:rPr>
          <w:rFonts w:cs="Calibri"/>
          <w:bCs/>
          <w:sz w:val="24"/>
          <w:szCs w:val="24"/>
        </w:rPr>
        <w:t>the Committee on the Rights of the Child, the Committee on the Elimination of Discrimination against Women and the Committee against Torture</w:t>
      </w:r>
      <w:r w:rsidR="00F51595">
        <w:rPr>
          <w:rFonts w:cs="Calibri"/>
          <w:bCs/>
          <w:sz w:val="24"/>
          <w:szCs w:val="24"/>
        </w:rPr>
        <w:t xml:space="preserve">.  </w:t>
      </w:r>
      <w:r w:rsidR="00FD2BF6">
        <w:rPr>
          <w:rFonts w:cs="Calibri"/>
          <w:bCs/>
          <w:sz w:val="24"/>
          <w:szCs w:val="24"/>
        </w:rPr>
        <w:t>DPOs and disability organisations actively participate in these reviews, and t</w:t>
      </w:r>
      <w:r w:rsidR="00F51595">
        <w:rPr>
          <w:rFonts w:cs="Calibri"/>
          <w:bCs/>
          <w:sz w:val="24"/>
          <w:szCs w:val="24"/>
        </w:rPr>
        <w:t>he concluding observations from these treaty bodies include recommendations relevant to people with disability</w:t>
      </w:r>
      <w:r w:rsidR="00FD2BF6">
        <w:rPr>
          <w:rFonts w:cs="Calibri"/>
          <w:bCs/>
          <w:sz w:val="24"/>
          <w:szCs w:val="24"/>
        </w:rPr>
        <w:t xml:space="preserve">.  These </w:t>
      </w:r>
      <w:r w:rsidR="00F51595">
        <w:rPr>
          <w:rFonts w:cs="Calibri"/>
          <w:bCs/>
          <w:sz w:val="24"/>
          <w:szCs w:val="24"/>
        </w:rPr>
        <w:t xml:space="preserve">should </w:t>
      </w:r>
      <w:r w:rsidR="000A08D4">
        <w:rPr>
          <w:rFonts w:cs="Calibri"/>
          <w:bCs/>
          <w:sz w:val="24"/>
          <w:szCs w:val="24"/>
        </w:rPr>
        <w:t xml:space="preserve">inform and </w:t>
      </w:r>
      <w:r w:rsidR="00F51595">
        <w:rPr>
          <w:rFonts w:cs="Calibri"/>
          <w:bCs/>
          <w:sz w:val="24"/>
          <w:szCs w:val="24"/>
        </w:rPr>
        <w:t>be integrated into</w:t>
      </w:r>
      <w:r w:rsidR="005209EA">
        <w:rPr>
          <w:rFonts w:cs="Calibri"/>
          <w:bCs/>
          <w:sz w:val="24"/>
          <w:szCs w:val="24"/>
        </w:rPr>
        <w:t xml:space="preserve"> the d</w:t>
      </w:r>
      <w:r w:rsidR="00813634">
        <w:rPr>
          <w:rFonts w:cs="Calibri"/>
          <w:bCs/>
          <w:sz w:val="24"/>
          <w:szCs w:val="24"/>
        </w:rPr>
        <w:t>evelopment of</w:t>
      </w:r>
      <w:r w:rsidR="00712237">
        <w:rPr>
          <w:rFonts w:cs="Calibri"/>
          <w:bCs/>
          <w:sz w:val="24"/>
          <w:szCs w:val="24"/>
        </w:rPr>
        <w:t xml:space="preserve"> NDS </w:t>
      </w:r>
      <w:r w:rsidR="00813634">
        <w:rPr>
          <w:rFonts w:cs="Calibri"/>
          <w:bCs/>
          <w:sz w:val="24"/>
          <w:szCs w:val="24"/>
        </w:rPr>
        <w:t xml:space="preserve">progress reports </w:t>
      </w:r>
      <w:r w:rsidR="00712237">
        <w:rPr>
          <w:rFonts w:cs="Calibri"/>
          <w:bCs/>
          <w:sz w:val="24"/>
          <w:szCs w:val="24"/>
        </w:rPr>
        <w:t xml:space="preserve">and implementation plans.  </w:t>
      </w:r>
    </w:p>
    <w:p w14:paraId="19356CEC" w14:textId="2DDF42E9" w:rsidR="00712237" w:rsidRDefault="003A52C6" w:rsidP="003A52C6">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cs="Calibri"/>
          <w:bCs/>
          <w:sz w:val="24"/>
          <w:szCs w:val="24"/>
        </w:rPr>
      </w:pPr>
      <w:r>
        <w:rPr>
          <w:rFonts w:cs="Calibri"/>
          <w:bCs/>
          <w:sz w:val="24"/>
          <w:szCs w:val="24"/>
        </w:rPr>
        <w:t>3.1.5</w:t>
      </w:r>
      <w:r>
        <w:rPr>
          <w:rFonts w:cs="Calibri"/>
          <w:bCs/>
          <w:sz w:val="24"/>
          <w:szCs w:val="24"/>
        </w:rPr>
        <w:tab/>
      </w:r>
      <w:r w:rsidR="00712237">
        <w:rPr>
          <w:rFonts w:cs="Calibri"/>
          <w:bCs/>
          <w:sz w:val="24"/>
          <w:szCs w:val="24"/>
        </w:rPr>
        <w:t>The Second Implementation Plan states that the NDS “is also responsive to the recommendations of the Universal Periodic Review (UPR)”,</w:t>
      </w:r>
      <w:r w:rsidR="000A08D4">
        <w:rPr>
          <w:rStyle w:val="FootnoteReference"/>
          <w:rFonts w:cs="Calibri"/>
          <w:bCs/>
          <w:sz w:val="24"/>
          <w:szCs w:val="24"/>
        </w:rPr>
        <w:footnoteReference w:id="13"/>
      </w:r>
      <w:r w:rsidR="00712237">
        <w:rPr>
          <w:rFonts w:cs="Calibri"/>
          <w:bCs/>
          <w:sz w:val="24"/>
          <w:szCs w:val="24"/>
        </w:rPr>
        <w:t xml:space="preserve"> which is a human rights review conducted by the UN Human Rights Council.  However, the Second Implementation Plan does not outline concrete actions to address the UPR recommendations</w:t>
      </w:r>
      <w:r w:rsidR="00A3120E">
        <w:rPr>
          <w:rFonts w:cs="Calibri"/>
          <w:bCs/>
          <w:sz w:val="24"/>
          <w:szCs w:val="24"/>
        </w:rPr>
        <w:t xml:space="preserve"> that were provided to Australia following</w:t>
      </w:r>
      <w:r w:rsidR="00F14502">
        <w:rPr>
          <w:rFonts w:cs="Calibri"/>
          <w:bCs/>
          <w:sz w:val="24"/>
          <w:szCs w:val="24"/>
        </w:rPr>
        <w:t xml:space="preserve"> the November 2015 review</w:t>
      </w:r>
      <w:r w:rsidR="00710493">
        <w:rPr>
          <w:rFonts w:cs="Calibri"/>
          <w:bCs/>
          <w:sz w:val="24"/>
          <w:szCs w:val="24"/>
        </w:rPr>
        <w:t>, and it is not clear how this Plan is responsive to UPR recommendations</w:t>
      </w:r>
      <w:r w:rsidR="00F14502">
        <w:rPr>
          <w:rFonts w:cs="Calibri"/>
          <w:bCs/>
          <w:sz w:val="24"/>
          <w:szCs w:val="24"/>
        </w:rPr>
        <w:t xml:space="preserve">. </w:t>
      </w:r>
      <w:r w:rsidR="00712237">
        <w:rPr>
          <w:rFonts w:cs="Calibri"/>
          <w:bCs/>
          <w:sz w:val="24"/>
          <w:szCs w:val="24"/>
        </w:rPr>
        <w:t xml:space="preserve"> </w:t>
      </w:r>
    </w:p>
    <w:p w14:paraId="13652632" w14:textId="2E5C46D0" w:rsidR="0020430A" w:rsidRDefault="003A52C6" w:rsidP="003A52C6">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cs="Calibri"/>
          <w:bCs/>
          <w:sz w:val="24"/>
          <w:szCs w:val="24"/>
        </w:rPr>
      </w:pPr>
      <w:r>
        <w:rPr>
          <w:rFonts w:cs="Calibri"/>
          <w:bCs/>
          <w:sz w:val="24"/>
          <w:szCs w:val="24"/>
        </w:rPr>
        <w:t>3.1.6</w:t>
      </w:r>
      <w:r>
        <w:rPr>
          <w:rFonts w:asciiTheme="minorHAnsi" w:hAnsiTheme="minorHAnsi" w:cs="Arial"/>
          <w:sz w:val="24"/>
          <w:szCs w:val="24"/>
          <w:lang w:val="en-US"/>
        </w:rPr>
        <w:tab/>
      </w:r>
      <w:r w:rsidR="00CA240C">
        <w:rPr>
          <w:rFonts w:cs="Calibri"/>
          <w:bCs/>
          <w:sz w:val="24"/>
          <w:szCs w:val="24"/>
        </w:rPr>
        <w:t>While the concluding observations of UN human rights reviews are not enforceable, the lack of respons</w:t>
      </w:r>
      <w:r w:rsidR="00103BCD">
        <w:rPr>
          <w:rFonts w:cs="Calibri"/>
          <w:bCs/>
          <w:sz w:val="24"/>
          <w:szCs w:val="24"/>
        </w:rPr>
        <w:t>iv</w:t>
      </w:r>
      <w:r w:rsidR="00CA240C">
        <w:rPr>
          <w:rFonts w:cs="Calibri"/>
          <w:bCs/>
          <w:sz w:val="24"/>
          <w:szCs w:val="24"/>
        </w:rPr>
        <w:t xml:space="preserve">e </w:t>
      </w:r>
      <w:r w:rsidR="00103BCD">
        <w:rPr>
          <w:rFonts w:cs="Calibri"/>
          <w:bCs/>
          <w:sz w:val="24"/>
          <w:szCs w:val="24"/>
        </w:rPr>
        <w:t xml:space="preserve">measures </w:t>
      </w:r>
      <w:r w:rsidR="00CA240C">
        <w:rPr>
          <w:rFonts w:cs="Calibri"/>
          <w:bCs/>
          <w:sz w:val="24"/>
          <w:szCs w:val="24"/>
        </w:rPr>
        <w:t xml:space="preserve">to UN Review processes undermines the </w:t>
      </w:r>
      <w:r w:rsidR="00103BCD">
        <w:rPr>
          <w:rFonts w:cs="Calibri"/>
          <w:bCs/>
          <w:sz w:val="24"/>
          <w:szCs w:val="24"/>
        </w:rPr>
        <w:t xml:space="preserve">role of the </w:t>
      </w:r>
      <w:r w:rsidR="00CA240C">
        <w:rPr>
          <w:rFonts w:cs="Calibri"/>
          <w:bCs/>
          <w:sz w:val="24"/>
          <w:szCs w:val="24"/>
        </w:rPr>
        <w:t xml:space="preserve">NDS </w:t>
      </w:r>
      <w:r w:rsidR="00103BCD">
        <w:rPr>
          <w:rFonts w:cs="Calibri"/>
          <w:bCs/>
          <w:sz w:val="24"/>
          <w:szCs w:val="24"/>
        </w:rPr>
        <w:t>in implementing the CRPD.  CRPD implementation involves</w:t>
      </w:r>
      <w:r w:rsidR="00710493">
        <w:rPr>
          <w:rFonts w:cs="Calibri"/>
          <w:bCs/>
          <w:sz w:val="24"/>
          <w:szCs w:val="24"/>
        </w:rPr>
        <w:t>, at a minimum,</w:t>
      </w:r>
      <w:r w:rsidR="00103BCD">
        <w:rPr>
          <w:rFonts w:cs="Calibri"/>
          <w:bCs/>
          <w:sz w:val="24"/>
          <w:szCs w:val="24"/>
        </w:rPr>
        <w:t xml:space="preserve"> engagement with the CRPD treaty body that provides expertise and direction to governments for effective CRPD interpretation and implementation. </w:t>
      </w:r>
      <w:r w:rsidR="000A08D4">
        <w:rPr>
          <w:rFonts w:cs="Calibri"/>
          <w:bCs/>
          <w:sz w:val="24"/>
          <w:szCs w:val="24"/>
        </w:rPr>
        <w:t xml:space="preserve">This not only includes periodic reviews of Australia but also guidance on specific aspects of CRPD implementation through a range of </w:t>
      </w:r>
      <w:r w:rsidR="00D818B0">
        <w:rPr>
          <w:rFonts w:cs="Calibri"/>
          <w:bCs/>
          <w:sz w:val="24"/>
          <w:szCs w:val="24"/>
        </w:rPr>
        <w:t xml:space="preserve">General Comments issued regularly by the </w:t>
      </w:r>
      <w:r w:rsidR="000A08D4">
        <w:rPr>
          <w:rFonts w:cs="Calibri"/>
          <w:bCs/>
          <w:sz w:val="24"/>
          <w:szCs w:val="24"/>
        </w:rPr>
        <w:t xml:space="preserve">CRPD Committee.  To date, the CRPD Committee has issued </w:t>
      </w:r>
      <w:r w:rsidR="00D818B0">
        <w:rPr>
          <w:rFonts w:cs="Calibri"/>
          <w:bCs/>
          <w:sz w:val="24"/>
          <w:szCs w:val="24"/>
        </w:rPr>
        <w:t>four General Comments on articles 6 (Women and girls with disabilities), 9 (Accessibility), 12 (Equal Recognition before the law) and 24 (Right to inclusive education).</w:t>
      </w:r>
      <w:r w:rsidR="00D818B0">
        <w:rPr>
          <w:rStyle w:val="FootnoteReference"/>
          <w:rFonts w:cs="Calibri"/>
          <w:bCs/>
          <w:sz w:val="24"/>
          <w:szCs w:val="24"/>
        </w:rPr>
        <w:footnoteReference w:id="14"/>
      </w:r>
      <w:r w:rsidR="00D818B0">
        <w:rPr>
          <w:rFonts w:cs="Calibri"/>
          <w:bCs/>
          <w:sz w:val="24"/>
          <w:szCs w:val="24"/>
        </w:rPr>
        <w:t xml:space="preserve">  </w:t>
      </w:r>
      <w:r w:rsidR="00DD48B8">
        <w:rPr>
          <w:rFonts w:cs="Calibri"/>
          <w:bCs/>
          <w:sz w:val="24"/>
          <w:szCs w:val="24"/>
        </w:rPr>
        <w:t xml:space="preserve">It is not </w:t>
      </w:r>
      <w:r w:rsidR="0078694D">
        <w:rPr>
          <w:rFonts w:cs="Calibri"/>
          <w:bCs/>
          <w:sz w:val="24"/>
          <w:szCs w:val="24"/>
        </w:rPr>
        <w:t xml:space="preserve">evident that </w:t>
      </w:r>
      <w:r w:rsidR="00DD48B8">
        <w:rPr>
          <w:rFonts w:cs="Calibri"/>
          <w:bCs/>
          <w:sz w:val="24"/>
          <w:szCs w:val="24"/>
        </w:rPr>
        <w:t>these General Comments are guiding action across the NDS at all levels of government.</w:t>
      </w:r>
    </w:p>
    <w:p w14:paraId="29161C18" w14:textId="6489D12D" w:rsidR="00EC0E2B" w:rsidRDefault="003A52C6" w:rsidP="003A52C6">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cs="Calibri"/>
          <w:bCs/>
          <w:sz w:val="24"/>
          <w:szCs w:val="24"/>
        </w:rPr>
      </w:pPr>
      <w:r>
        <w:rPr>
          <w:rFonts w:cs="Calibri"/>
          <w:bCs/>
          <w:sz w:val="24"/>
          <w:szCs w:val="24"/>
        </w:rPr>
        <w:t>3.1.7</w:t>
      </w:r>
      <w:r>
        <w:rPr>
          <w:rFonts w:cs="Calibri"/>
          <w:bCs/>
          <w:sz w:val="24"/>
          <w:szCs w:val="24"/>
        </w:rPr>
        <w:tab/>
      </w:r>
      <w:r w:rsidR="00103BCD">
        <w:rPr>
          <w:rFonts w:cs="Calibri"/>
          <w:bCs/>
          <w:sz w:val="24"/>
          <w:szCs w:val="24"/>
        </w:rPr>
        <w:t>The CRPD review process</w:t>
      </w:r>
      <w:r w:rsidR="00C219C8">
        <w:rPr>
          <w:rFonts w:cs="Calibri"/>
          <w:bCs/>
          <w:sz w:val="24"/>
          <w:szCs w:val="24"/>
        </w:rPr>
        <w:t>, as well as the UPR and other treaty body reviews,</w:t>
      </w:r>
      <w:r w:rsidR="00103BCD">
        <w:rPr>
          <w:rFonts w:cs="Calibri"/>
          <w:bCs/>
          <w:sz w:val="24"/>
          <w:szCs w:val="24"/>
        </w:rPr>
        <w:t xml:space="preserve"> includes the active participation of DPOs and civil society to ensure that the views </w:t>
      </w:r>
      <w:r w:rsidR="00103BCD">
        <w:rPr>
          <w:rFonts w:cs="Calibri"/>
          <w:bCs/>
          <w:sz w:val="24"/>
          <w:szCs w:val="24"/>
        </w:rPr>
        <w:lastRenderedPageBreak/>
        <w:t xml:space="preserve">of people with disability </w:t>
      </w:r>
      <w:r w:rsidR="00003D2A">
        <w:rPr>
          <w:rFonts w:cs="Calibri"/>
          <w:bCs/>
          <w:sz w:val="24"/>
          <w:szCs w:val="24"/>
        </w:rPr>
        <w:t xml:space="preserve">across all CRPD articles </w:t>
      </w:r>
      <w:r w:rsidR="00103BCD">
        <w:rPr>
          <w:rFonts w:cs="Calibri"/>
          <w:bCs/>
          <w:sz w:val="24"/>
          <w:szCs w:val="24"/>
        </w:rPr>
        <w:t>are incorporated into the CRPD Committee</w:t>
      </w:r>
      <w:r w:rsidR="0020430A">
        <w:rPr>
          <w:rFonts w:cs="Calibri"/>
          <w:bCs/>
          <w:sz w:val="24"/>
          <w:szCs w:val="24"/>
        </w:rPr>
        <w:t>’</w:t>
      </w:r>
      <w:r w:rsidR="00103BCD">
        <w:rPr>
          <w:rFonts w:cs="Calibri"/>
          <w:bCs/>
          <w:sz w:val="24"/>
          <w:szCs w:val="24"/>
        </w:rPr>
        <w:t xml:space="preserve">s deliberations.  </w:t>
      </w:r>
      <w:r w:rsidR="0020430A">
        <w:rPr>
          <w:rFonts w:cs="Calibri"/>
          <w:bCs/>
          <w:sz w:val="24"/>
          <w:szCs w:val="24"/>
        </w:rPr>
        <w:t>These views are compiled following a range of consultation and evidence gathering methods, and prepared into shadow or parallel reports</w:t>
      </w:r>
      <w:r w:rsidR="00003D2A">
        <w:rPr>
          <w:rFonts w:cs="Calibri"/>
          <w:bCs/>
          <w:sz w:val="24"/>
          <w:szCs w:val="24"/>
        </w:rPr>
        <w:t xml:space="preserve"> to the UN</w:t>
      </w:r>
      <w:r w:rsidR="00394836">
        <w:rPr>
          <w:rFonts w:cs="Calibri"/>
          <w:bCs/>
          <w:sz w:val="24"/>
          <w:szCs w:val="24"/>
        </w:rPr>
        <w:t xml:space="preserve"> (see 2.4)</w:t>
      </w:r>
      <w:r w:rsidR="00C219C8">
        <w:rPr>
          <w:rFonts w:cs="Calibri"/>
          <w:bCs/>
          <w:sz w:val="24"/>
          <w:szCs w:val="24"/>
        </w:rPr>
        <w:t xml:space="preserve">.  These parallel reports </w:t>
      </w:r>
      <w:r w:rsidR="00003D2A">
        <w:rPr>
          <w:rFonts w:cs="Calibri"/>
          <w:bCs/>
          <w:sz w:val="24"/>
          <w:szCs w:val="24"/>
        </w:rPr>
        <w:t>sh</w:t>
      </w:r>
      <w:r w:rsidR="00EC0E2B">
        <w:rPr>
          <w:rFonts w:cs="Calibri"/>
          <w:bCs/>
          <w:sz w:val="24"/>
          <w:szCs w:val="24"/>
        </w:rPr>
        <w:t>ould be used domestically to inform the NDS</w:t>
      </w:r>
      <w:r w:rsidR="0020430A">
        <w:rPr>
          <w:rFonts w:cs="Calibri"/>
          <w:bCs/>
          <w:sz w:val="24"/>
          <w:szCs w:val="24"/>
        </w:rPr>
        <w:t xml:space="preserve">.  However, there is little evidence that the views of people with disability contained in these reports inform the implementation of the NDS.  </w:t>
      </w:r>
    </w:p>
    <w:p w14:paraId="19334511" w14:textId="2D9BA6DA" w:rsidR="00C31F7A" w:rsidRDefault="003A52C6" w:rsidP="003A52C6">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cs="Calibri"/>
          <w:bCs/>
          <w:sz w:val="24"/>
          <w:szCs w:val="24"/>
        </w:rPr>
      </w:pPr>
      <w:r>
        <w:rPr>
          <w:rFonts w:cs="Calibri"/>
          <w:bCs/>
          <w:sz w:val="24"/>
          <w:szCs w:val="24"/>
        </w:rPr>
        <w:t>3.1.8</w:t>
      </w:r>
      <w:r>
        <w:rPr>
          <w:rFonts w:cs="Calibri"/>
          <w:bCs/>
          <w:sz w:val="24"/>
          <w:szCs w:val="24"/>
        </w:rPr>
        <w:tab/>
      </w:r>
      <w:r w:rsidR="003D0B24">
        <w:rPr>
          <w:rFonts w:cs="Calibri"/>
          <w:bCs/>
          <w:sz w:val="24"/>
          <w:szCs w:val="24"/>
        </w:rPr>
        <w:t>UN recommendations and DPO and civil society concerns are often focused on grave and systemic human rights violations</w:t>
      </w:r>
      <w:r w:rsidR="000D0DC6">
        <w:rPr>
          <w:rFonts w:cs="Calibri"/>
          <w:bCs/>
          <w:sz w:val="24"/>
          <w:szCs w:val="24"/>
        </w:rPr>
        <w:t xml:space="preserve">.  </w:t>
      </w:r>
      <w:r w:rsidR="00C31F7A">
        <w:rPr>
          <w:rFonts w:cs="Calibri"/>
          <w:bCs/>
          <w:sz w:val="24"/>
          <w:szCs w:val="24"/>
        </w:rPr>
        <w:t>These concerns include the ongoing practice of</w:t>
      </w:r>
      <w:r w:rsidR="00F14502">
        <w:rPr>
          <w:rFonts w:cs="Calibri"/>
          <w:bCs/>
          <w:sz w:val="24"/>
          <w:szCs w:val="24"/>
        </w:rPr>
        <w:t xml:space="preserve"> forced sterilisation, forced and compulsory treatment, indefinite detention of people with disability without conviction, the lack of recognition of legal capacity and violence against people with disability, particularly women and children with disability. </w:t>
      </w:r>
      <w:r w:rsidR="00C31F7A">
        <w:rPr>
          <w:rFonts w:cs="Calibri"/>
          <w:bCs/>
          <w:sz w:val="24"/>
          <w:szCs w:val="24"/>
        </w:rPr>
        <w:t xml:space="preserve"> </w:t>
      </w:r>
      <w:r w:rsidR="000D0DC6">
        <w:rPr>
          <w:rFonts w:cs="Calibri"/>
          <w:bCs/>
          <w:sz w:val="24"/>
          <w:szCs w:val="24"/>
        </w:rPr>
        <w:t>Although urgent action needs to be implemented to address these issues, the</w:t>
      </w:r>
      <w:r w:rsidR="00985C98">
        <w:rPr>
          <w:rFonts w:cs="Calibri"/>
          <w:bCs/>
          <w:sz w:val="24"/>
          <w:szCs w:val="24"/>
        </w:rPr>
        <w:t xml:space="preserve"> NDS, and its Second Implementation Plan, </w:t>
      </w:r>
      <w:r w:rsidR="000D0DC6">
        <w:rPr>
          <w:rFonts w:cs="Calibri"/>
          <w:bCs/>
          <w:sz w:val="24"/>
          <w:szCs w:val="24"/>
        </w:rPr>
        <w:t xml:space="preserve">contains few to no actions to address these issues.  </w:t>
      </w:r>
    </w:p>
    <w:p w14:paraId="7B3F94BC" w14:textId="715A9F33" w:rsidR="00D774D8" w:rsidRDefault="003A52C6" w:rsidP="003A52C6">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cs="Calibri"/>
          <w:bCs/>
          <w:sz w:val="24"/>
          <w:szCs w:val="24"/>
        </w:rPr>
      </w:pPr>
      <w:r>
        <w:rPr>
          <w:rFonts w:cs="Calibri"/>
          <w:bCs/>
          <w:sz w:val="24"/>
          <w:szCs w:val="24"/>
        </w:rPr>
        <w:t>3.1.9</w:t>
      </w:r>
      <w:r>
        <w:rPr>
          <w:rFonts w:cs="Calibri"/>
          <w:bCs/>
          <w:sz w:val="24"/>
          <w:szCs w:val="24"/>
        </w:rPr>
        <w:tab/>
      </w:r>
      <w:r w:rsidR="00D774D8">
        <w:rPr>
          <w:rFonts w:cs="Calibri"/>
          <w:bCs/>
          <w:sz w:val="24"/>
          <w:szCs w:val="24"/>
        </w:rPr>
        <w:t xml:space="preserve">Under CRPD article 33, </w:t>
      </w:r>
      <w:r w:rsidR="00D774D8" w:rsidRPr="00B875E6">
        <w:rPr>
          <w:rFonts w:cs="Calibri"/>
          <w:bCs/>
          <w:i/>
          <w:sz w:val="24"/>
          <w:szCs w:val="24"/>
        </w:rPr>
        <w:t>National implementation and monitoring</w:t>
      </w:r>
      <w:r w:rsidR="00D774D8">
        <w:rPr>
          <w:rFonts w:cs="Calibri"/>
          <w:bCs/>
          <w:sz w:val="24"/>
          <w:szCs w:val="24"/>
        </w:rPr>
        <w:t xml:space="preserve">, </w:t>
      </w:r>
      <w:r w:rsidR="007443AC">
        <w:rPr>
          <w:rFonts w:cs="Calibri"/>
          <w:bCs/>
          <w:sz w:val="24"/>
          <w:szCs w:val="24"/>
        </w:rPr>
        <w:t xml:space="preserve">the </w:t>
      </w:r>
      <w:r w:rsidR="00D774D8">
        <w:rPr>
          <w:rFonts w:cs="Calibri"/>
          <w:bCs/>
          <w:sz w:val="24"/>
          <w:szCs w:val="24"/>
        </w:rPr>
        <w:t>D</w:t>
      </w:r>
      <w:r w:rsidR="007443AC">
        <w:rPr>
          <w:rFonts w:cs="Calibri"/>
          <w:bCs/>
          <w:sz w:val="24"/>
          <w:szCs w:val="24"/>
        </w:rPr>
        <w:t>epartment of Social Services (D</w:t>
      </w:r>
      <w:r w:rsidR="00D774D8">
        <w:rPr>
          <w:rFonts w:cs="Calibri"/>
          <w:bCs/>
          <w:sz w:val="24"/>
          <w:szCs w:val="24"/>
        </w:rPr>
        <w:t>SS</w:t>
      </w:r>
      <w:r w:rsidR="007443AC">
        <w:rPr>
          <w:rFonts w:cs="Calibri"/>
          <w:bCs/>
          <w:sz w:val="24"/>
          <w:szCs w:val="24"/>
        </w:rPr>
        <w:t>)</w:t>
      </w:r>
      <w:r w:rsidR="00D774D8">
        <w:rPr>
          <w:rFonts w:cs="Calibri"/>
          <w:bCs/>
          <w:sz w:val="24"/>
          <w:szCs w:val="24"/>
        </w:rPr>
        <w:t xml:space="preserve"> and the Attorney-General’s Department (AGD) have been designated as the joint focal point within the </w:t>
      </w:r>
      <w:r w:rsidR="007443AC">
        <w:rPr>
          <w:rFonts w:cs="Calibri"/>
          <w:bCs/>
          <w:sz w:val="24"/>
          <w:szCs w:val="24"/>
        </w:rPr>
        <w:t>Australian</w:t>
      </w:r>
      <w:r w:rsidR="00D774D8">
        <w:rPr>
          <w:rFonts w:cs="Calibri"/>
          <w:bCs/>
          <w:sz w:val="24"/>
          <w:szCs w:val="24"/>
        </w:rPr>
        <w:t xml:space="preserve"> Government to coordinate implementation of the CRPD.  However, operational responsibility for the NDS lies with DSS and it is unclear how this responsibility is connected to the clear human rights mandate and focus of the AGD.  The AGD </w:t>
      </w:r>
      <w:r w:rsidR="00784E25">
        <w:rPr>
          <w:rFonts w:cs="Calibri"/>
          <w:bCs/>
          <w:sz w:val="24"/>
          <w:szCs w:val="24"/>
        </w:rPr>
        <w:t xml:space="preserve">“has portfolio responsibility for driving the implementation of the government’s human rights policy agenda”, </w:t>
      </w:r>
      <w:r w:rsidR="00755E61">
        <w:rPr>
          <w:rFonts w:cs="Calibri"/>
          <w:bCs/>
          <w:sz w:val="24"/>
          <w:szCs w:val="24"/>
        </w:rPr>
        <w:t>it “provides legal advice to the Australian Government on international human rights matters, including human rights treaties to which Australia is a party”, it engages “with the United Nations human rights treaty body system” and leads “engagement with the Universal Periodic Review process”.</w:t>
      </w:r>
      <w:r w:rsidR="00755E61">
        <w:rPr>
          <w:rStyle w:val="FootnoteReference"/>
          <w:rFonts w:cs="Calibri"/>
          <w:bCs/>
          <w:sz w:val="24"/>
          <w:szCs w:val="24"/>
        </w:rPr>
        <w:footnoteReference w:id="15"/>
      </w:r>
      <w:r w:rsidR="00755E61">
        <w:rPr>
          <w:rFonts w:cs="Calibri"/>
          <w:bCs/>
          <w:sz w:val="24"/>
          <w:szCs w:val="24"/>
        </w:rPr>
        <w:t xml:space="preserve">  </w:t>
      </w:r>
    </w:p>
    <w:p w14:paraId="7763BBD0" w14:textId="6E1407C5" w:rsidR="007443AC" w:rsidRDefault="003A52C6" w:rsidP="003A52C6">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cs="Calibri"/>
          <w:bCs/>
          <w:sz w:val="24"/>
          <w:szCs w:val="24"/>
        </w:rPr>
      </w:pPr>
      <w:r>
        <w:rPr>
          <w:rFonts w:cs="Calibri"/>
          <w:bCs/>
          <w:sz w:val="24"/>
          <w:szCs w:val="24"/>
        </w:rPr>
        <w:t>3.1.10</w:t>
      </w:r>
      <w:r>
        <w:rPr>
          <w:rFonts w:cs="Calibri"/>
          <w:bCs/>
          <w:sz w:val="24"/>
          <w:szCs w:val="24"/>
        </w:rPr>
        <w:tab/>
      </w:r>
      <w:r w:rsidR="007443AC">
        <w:rPr>
          <w:rFonts w:cs="Calibri"/>
          <w:bCs/>
          <w:sz w:val="24"/>
          <w:szCs w:val="24"/>
        </w:rPr>
        <w:t>The Second Implementation Plan appears to be a document that highlights existing priorities within the remit of DSS</w:t>
      </w:r>
      <w:r w:rsidR="0036765E">
        <w:rPr>
          <w:rFonts w:cs="Calibri"/>
          <w:bCs/>
          <w:sz w:val="24"/>
          <w:szCs w:val="24"/>
        </w:rPr>
        <w:t xml:space="preserve"> (see </w:t>
      </w:r>
      <w:r w:rsidR="00FB2B5A">
        <w:rPr>
          <w:rFonts w:cs="Calibri"/>
          <w:bCs/>
          <w:sz w:val="24"/>
          <w:szCs w:val="24"/>
        </w:rPr>
        <w:t>point 3.2.9</w:t>
      </w:r>
      <w:r w:rsidR="0036765E">
        <w:rPr>
          <w:rFonts w:cs="Calibri"/>
          <w:bCs/>
          <w:sz w:val="24"/>
          <w:szCs w:val="24"/>
        </w:rPr>
        <w:t>)</w:t>
      </w:r>
      <w:r w:rsidR="007443AC">
        <w:rPr>
          <w:rFonts w:cs="Calibri"/>
          <w:bCs/>
          <w:sz w:val="24"/>
          <w:szCs w:val="24"/>
        </w:rPr>
        <w:t xml:space="preserve">.  This has created the very real risk that the NDS has become a welfare focused strategy rather than a mechanism to drive CRPD implementation across government agencies and between jurisdictions.   </w:t>
      </w:r>
    </w:p>
    <w:p w14:paraId="322ECF01" w14:textId="46D8DB07" w:rsidR="007443AC" w:rsidRDefault="003A52C6" w:rsidP="003A52C6">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cs="Calibri"/>
          <w:bCs/>
          <w:sz w:val="24"/>
          <w:szCs w:val="24"/>
        </w:rPr>
      </w:pPr>
      <w:r>
        <w:rPr>
          <w:rFonts w:cs="Calibri"/>
          <w:bCs/>
          <w:sz w:val="24"/>
          <w:szCs w:val="24"/>
        </w:rPr>
        <w:t>3.1.11</w:t>
      </w:r>
      <w:r>
        <w:rPr>
          <w:rFonts w:cs="Calibri"/>
          <w:bCs/>
          <w:sz w:val="24"/>
          <w:szCs w:val="24"/>
        </w:rPr>
        <w:tab/>
      </w:r>
      <w:r w:rsidR="00072711">
        <w:rPr>
          <w:rFonts w:cs="Calibri"/>
          <w:bCs/>
          <w:sz w:val="24"/>
          <w:szCs w:val="24"/>
        </w:rPr>
        <w:t>In March 2017, the Disability Reform Council (DRC) of the Council of Australian Governments (COAG) reaffirmed its commitment “to drive progress under the National Disability Strategy 2010-2010”, and to address additional focus areas within the NDS – mental health, health and the criminal justice systems</w:t>
      </w:r>
      <w:r w:rsidR="004F0D6A">
        <w:rPr>
          <w:rFonts w:cs="Calibri"/>
          <w:bCs/>
          <w:sz w:val="24"/>
          <w:szCs w:val="24"/>
        </w:rPr>
        <w:t xml:space="preserve"> – “to ensure </w:t>
      </w:r>
      <w:r w:rsidR="004F0D6A" w:rsidRPr="004F0D6A">
        <w:rPr>
          <w:rFonts w:cs="Calibri"/>
          <w:bCs/>
          <w:sz w:val="24"/>
          <w:szCs w:val="24"/>
        </w:rPr>
        <w:t xml:space="preserve">that these systems are effectively supporting all people with a disability in </w:t>
      </w:r>
      <w:r w:rsidR="004F0D6A" w:rsidRPr="004F0D6A">
        <w:rPr>
          <w:rFonts w:cs="Calibri"/>
          <w:bCs/>
          <w:sz w:val="24"/>
          <w:szCs w:val="24"/>
        </w:rPr>
        <w:lastRenderedPageBreak/>
        <w:t>Australia</w:t>
      </w:r>
      <w:r w:rsidR="004F0D6A">
        <w:rPr>
          <w:rFonts w:cs="Calibri"/>
          <w:bCs/>
          <w:sz w:val="24"/>
          <w:szCs w:val="24"/>
        </w:rPr>
        <w:t>”</w:t>
      </w:r>
      <w:r w:rsidR="004F0D6A" w:rsidRPr="004F0D6A">
        <w:rPr>
          <w:rFonts w:cs="Calibri"/>
          <w:bCs/>
          <w:sz w:val="24"/>
          <w:szCs w:val="24"/>
        </w:rPr>
        <w:t>.</w:t>
      </w:r>
      <w:r w:rsidR="004F0D6A">
        <w:rPr>
          <w:rStyle w:val="FootnoteReference"/>
          <w:rFonts w:cs="Calibri"/>
          <w:bCs/>
          <w:sz w:val="24"/>
          <w:szCs w:val="24"/>
        </w:rPr>
        <w:footnoteReference w:id="16"/>
      </w:r>
      <w:r w:rsidR="004F0D6A">
        <w:rPr>
          <w:rFonts w:cs="Calibri"/>
          <w:bCs/>
          <w:sz w:val="24"/>
          <w:szCs w:val="24"/>
        </w:rPr>
        <w:t xml:space="preserve"> </w:t>
      </w:r>
      <w:r w:rsidR="00072711">
        <w:rPr>
          <w:rFonts w:cs="Calibri"/>
          <w:bCs/>
          <w:sz w:val="24"/>
          <w:szCs w:val="24"/>
        </w:rPr>
        <w:t xml:space="preserve"> While this is very welcome, DPO Australia remains concerned that </w:t>
      </w:r>
      <w:r w:rsidR="0036765E">
        <w:rPr>
          <w:rFonts w:cs="Calibri"/>
          <w:bCs/>
          <w:sz w:val="24"/>
          <w:szCs w:val="24"/>
        </w:rPr>
        <w:t xml:space="preserve">the NDS </w:t>
      </w:r>
      <w:r w:rsidR="004F0D6A">
        <w:rPr>
          <w:rFonts w:cs="Calibri"/>
          <w:bCs/>
          <w:sz w:val="24"/>
          <w:szCs w:val="24"/>
        </w:rPr>
        <w:t>appears to be confined to a</w:t>
      </w:r>
      <w:r w:rsidR="0036765E">
        <w:rPr>
          <w:rFonts w:cs="Calibri"/>
          <w:bCs/>
          <w:sz w:val="24"/>
          <w:szCs w:val="24"/>
        </w:rPr>
        <w:t xml:space="preserve"> disability policy responsibility</w:t>
      </w:r>
      <w:r w:rsidR="004F0D6A">
        <w:rPr>
          <w:rFonts w:cs="Calibri"/>
          <w:bCs/>
          <w:sz w:val="24"/>
          <w:szCs w:val="24"/>
        </w:rPr>
        <w:t xml:space="preserve"> within DSS</w:t>
      </w:r>
      <w:r w:rsidR="0036765E">
        <w:rPr>
          <w:rFonts w:cs="Calibri"/>
          <w:bCs/>
          <w:sz w:val="24"/>
          <w:szCs w:val="24"/>
        </w:rPr>
        <w:t xml:space="preserve">, and that </w:t>
      </w:r>
      <w:r w:rsidR="00072711">
        <w:rPr>
          <w:rFonts w:cs="Calibri"/>
          <w:bCs/>
          <w:sz w:val="24"/>
          <w:szCs w:val="24"/>
        </w:rPr>
        <w:t xml:space="preserve">DSS has no authority to </w:t>
      </w:r>
      <w:r w:rsidR="0036765E">
        <w:rPr>
          <w:rFonts w:cs="Calibri"/>
          <w:bCs/>
          <w:sz w:val="24"/>
          <w:szCs w:val="24"/>
        </w:rPr>
        <w:t>leverage change across Commonwealth agencies, or across different State and Territory jurisdictions.</w:t>
      </w:r>
    </w:p>
    <w:p w14:paraId="7D5B6B9E" w14:textId="46BF8597" w:rsidR="0036765E" w:rsidRPr="003A52C6" w:rsidRDefault="003A52C6" w:rsidP="003A52C6">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asciiTheme="minorHAnsi" w:hAnsiTheme="minorHAnsi" w:cs="Arial"/>
          <w:sz w:val="24"/>
          <w:szCs w:val="24"/>
          <w:lang w:val="en-US"/>
        </w:rPr>
      </w:pPr>
      <w:r>
        <w:rPr>
          <w:rFonts w:cs="Calibri"/>
          <w:bCs/>
          <w:sz w:val="24"/>
          <w:szCs w:val="24"/>
        </w:rPr>
        <w:t>3.1.12</w:t>
      </w:r>
      <w:r>
        <w:rPr>
          <w:rFonts w:cs="Calibri"/>
          <w:bCs/>
          <w:sz w:val="24"/>
          <w:szCs w:val="24"/>
        </w:rPr>
        <w:tab/>
      </w:r>
      <w:r w:rsidR="0036765E">
        <w:rPr>
          <w:rFonts w:cs="Calibri"/>
          <w:bCs/>
          <w:sz w:val="24"/>
          <w:szCs w:val="24"/>
        </w:rPr>
        <w:t xml:space="preserve">Regardless of the rhetoric, it is difficult to conclude that the NDS is </w:t>
      </w:r>
      <w:r w:rsidR="00394836">
        <w:rPr>
          <w:rFonts w:cs="Calibri"/>
          <w:bCs/>
          <w:sz w:val="24"/>
          <w:szCs w:val="24"/>
        </w:rPr>
        <w:t xml:space="preserve">being implemented as </w:t>
      </w:r>
      <w:r w:rsidR="0036765E">
        <w:rPr>
          <w:rFonts w:cs="Calibri"/>
          <w:bCs/>
          <w:sz w:val="24"/>
          <w:szCs w:val="24"/>
        </w:rPr>
        <w:t xml:space="preserve">a human rights policy framework that aims to implement the CRPD.  </w:t>
      </w:r>
    </w:p>
    <w:p w14:paraId="389950B7" w14:textId="26B99905" w:rsidR="006B7F90" w:rsidRPr="00850045" w:rsidRDefault="006B7F90" w:rsidP="00850045">
      <w:pPr>
        <w:pStyle w:val="ListParagraph"/>
        <w:widowControl w:val="0"/>
        <w:numPr>
          <w:ilvl w:val="2"/>
          <w:numId w:val="33"/>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077" w:hanging="1077"/>
        <w:contextualSpacing w:val="0"/>
        <w:rPr>
          <w:rFonts w:cs="Calibri"/>
          <w:bCs/>
          <w:sz w:val="24"/>
          <w:szCs w:val="24"/>
        </w:rPr>
      </w:pPr>
      <w:r w:rsidRPr="00850045">
        <w:rPr>
          <w:rFonts w:cs="Calibri"/>
          <w:bCs/>
          <w:sz w:val="24"/>
          <w:szCs w:val="24"/>
        </w:rPr>
        <w:t>Recommendation</w:t>
      </w:r>
      <w:r w:rsidR="00114425" w:rsidRPr="00850045">
        <w:rPr>
          <w:rFonts w:cs="Calibri"/>
          <w:bCs/>
          <w:sz w:val="24"/>
          <w:szCs w:val="24"/>
        </w:rPr>
        <w:t>:</w:t>
      </w:r>
    </w:p>
    <w:p w14:paraId="6217266A" w14:textId="2978E6E5" w:rsidR="00BC13E3" w:rsidRPr="00850045" w:rsidRDefault="00BC13E3" w:rsidP="0085004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851"/>
        <w:rPr>
          <w:rFonts w:cs="Calibri"/>
          <w:b/>
          <w:bCs/>
          <w:i/>
          <w:sz w:val="24"/>
          <w:szCs w:val="24"/>
        </w:rPr>
      </w:pPr>
      <w:r w:rsidRPr="00850045">
        <w:rPr>
          <w:rFonts w:cs="Calibri"/>
          <w:b/>
          <w:bCs/>
          <w:i/>
          <w:sz w:val="24"/>
          <w:szCs w:val="24"/>
        </w:rPr>
        <w:t xml:space="preserve">Establish a </w:t>
      </w:r>
      <w:r w:rsidR="00114425" w:rsidRPr="00850045">
        <w:rPr>
          <w:rFonts w:cs="Calibri"/>
          <w:b/>
          <w:bCs/>
          <w:i/>
          <w:sz w:val="24"/>
          <w:szCs w:val="24"/>
        </w:rPr>
        <w:t xml:space="preserve">high-level executive mechanism, such as a </w:t>
      </w:r>
      <w:r w:rsidRPr="00850045">
        <w:rPr>
          <w:rFonts w:eastAsia="Times New Roman" w:cs="Arial"/>
          <w:b/>
          <w:bCs/>
          <w:i/>
          <w:sz w:val="24"/>
          <w:szCs w:val="24"/>
        </w:rPr>
        <w:t>‘National Office of Disability Policy Coordination’ within the Department of Prime Minister and Cabinet</w:t>
      </w:r>
      <w:r w:rsidR="00114425" w:rsidRPr="00850045">
        <w:rPr>
          <w:rFonts w:eastAsia="Times New Roman" w:cs="Arial"/>
          <w:b/>
          <w:bCs/>
          <w:i/>
          <w:sz w:val="24"/>
          <w:szCs w:val="24"/>
        </w:rPr>
        <w:t>, to hold</w:t>
      </w:r>
      <w:r w:rsidRPr="00850045">
        <w:rPr>
          <w:rFonts w:eastAsia="Times New Roman" w:cs="Arial"/>
          <w:b/>
          <w:bCs/>
          <w:i/>
          <w:sz w:val="24"/>
          <w:szCs w:val="24"/>
        </w:rPr>
        <w:t xml:space="preserve"> strategic operational responsibility for the NDS</w:t>
      </w:r>
      <w:r w:rsidR="00114425" w:rsidRPr="00850045">
        <w:rPr>
          <w:rFonts w:eastAsia="Times New Roman" w:cs="Arial"/>
          <w:b/>
          <w:bCs/>
          <w:i/>
          <w:sz w:val="24"/>
          <w:szCs w:val="24"/>
        </w:rPr>
        <w:t xml:space="preserve">; and </w:t>
      </w:r>
      <w:r w:rsidRPr="00850045">
        <w:rPr>
          <w:rFonts w:eastAsia="Times New Roman" w:cs="Arial"/>
          <w:b/>
          <w:bCs/>
          <w:i/>
          <w:sz w:val="24"/>
          <w:szCs w:val="24"/>
        </w:rPr>
        <w:t>t</w:t>
      </w:r>
      <w:r w:rsidR="009B62F8" w:rsidRPr="00850045">
        <w:rPr>
          <w:rFonts w:eastAsia="Times New Roman" w:cs="Arial"/>
          <w:b/>
          <w:bCs/>
          <w:i/>
          <w:sz w:val="24"/>
          <w:szCs w:val="24"/>
        </w:rPr>
        <w:t>o leverage reform across Commonwealth agencies and in relation to the States and Territories</w:t>
      </w:r>
      <w:r w:rsidR="00114425" w:rsidRPr="00850045">
        <w:rPr>
          <w:rFonts w:eastAsia="Times New Roman" w:cs="Arial"/>
          <w:b/>
          <w:bCs/>
          <w:i/>
          <w:sz w:val="24"/>
          <w:szCs w:val="24"/>
        </w:rPr>
        <w:t>.  This mechanism must have built in human rights expertise, including in relation to Australia’s international human rights obligations</w:t>
      </w:r>
      <w:r w:rsidR="00AE60C5">
        <w:rPr>
          <w:rFonts w:eastAsia="Times New Roman" w:cs="Arial"/>
          <w:b/>
          <w:bCs/>
          <w:i/>
          <w:sz w:val="24"/>
          <w:szCs w:val="24"/>
        </w:rPr>
        <w:t xml:space="preserve"> to ensure that the recommendations from UN reviews are incorporated into concrete actions within the NDS.</w:t>
      </w:r>
      <w:r w:rsidR="00114425" w:rsidRPr="00850045">
        <w:rPr>
          <w:rFonts w:cs="Calibri"/>
          <w:b/>
          <w:bCs/>
          <w:i/>
          <w:sz w:val="24"/>
          <w:szCs w:val="24"/>
        </w:rPr>
        <w:t xml:space="preserve"> </w:t>
      </w:r>
    </w:p>
    <w:p w14:paraId="3664AA01" w14:textId="77777777" w:rsidR="00850045" w:rsidRPr="00850045" w:rsidRDefault="00850045" w:rsidP="0085004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b/>
          <w:bCs/>
          <w:i/>
          <w:sz w:val="24"/>
          <w:szCs w:val="24"/>
        </w:rPr>
      </w:pPr>
    </w:p>
    <w:p w14:paraId="0895DF68" w14:textId="5F544040" w:rsidR="002A5A36" w:rsidRDefault="002A5A36" w:rsidP="002A5A36">
      <w:pPr>
        <w:pStyle w:val="Heading2"/>
      </w:pPr>
      <w:bookmarkStart w:id="5" w:name="_Toc481945259"/>
      <w:r>
        <w:t>3.2</w:t>
      </w:r>
      <w:r>
        <w:tab/>
        <w:t>Coordinated investment, concrete actions, accountability</w:t>
      </w:r>
      <w:bookmarkEnd w:id="5"/>
    </w:p>
    <w:p w14:paraId="1BB849AF" w14:textId="42EAAFC0" w:rsidR="00262225" w:rsidRDefault="00262225" w:rsidP="00262225">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cs="Calibri"/>
          <w:sz w:val="24"/>
          <w:szCs w:val="24"/>
        </w:rPr>
      </w:pPr>
      <w:r>
        <w:rPr>
          <w:rFonts w:cs="Calibri"/>
          <w:sz w:val="24"/>
          <w:szCs w:val="24"/>
        </w:rPr>
        <w:t>3.2.1</w:t>
      </w:r>
      <w:r w:rsidR="00086427">
        <w:rPr>
          <w:rFonts w:cs="Calibri"/>
          <w:sz w:val="24"/>
          <w:szCs w:val="24"/>
        </w:rPr>
        <w:tab/>
      </w:r>
      <w:r w:rsidR="00A65C92">
        <w:rPr>
          <w:rFonts w:cs="Calibri"/>
          <w:sz w:val="24"/>
          <w:szCs w:val="24"/>
        </w:rPr>
        <w:t>While the</w:t>
      </w:r>
      <w:r>
        <w:rPr>
          <w:rFonts w:cs="Calibri"/>
          <w:sz w:val="24"/>
          <w:szCs w:val="24"/>
        </w:rPr>
        <w:t xml:space="preserve">re has been action across governments and all jurisdictions under the NDS that has improved the </w:t>
      </w:r>
      <w:r w:rsidR="00A65C92">
        <w:rPr>
          <w:rFonts w:cs="Calibri"/>
          <w:sz w:val="24"/>
          <w:szCs w:val="24"/>
        </w:rPr>
        <w:t xml:space="preserve">human rights </w:t>
      </w:r>
      <w:r w:rsidR="008F6000">
        <w:rPr>
          <w:rFonts w:cs="Calibri"/>
          <w:sz w:val="24"/>
          <w:szCs w:val="24"/>
        </w:rPr>
        <w:t>of</w:t>
      </w:r>
      <w:r>
        <w:rPr>
          <w:rFonts w:cs="Calibri"/>
          <w:sz w:val="24"/>
          <w:szCs w:val="24"/>
        </w:rPr>
        <w:t xml:space="preserve"> people with disability, most </w:t>
      </w:r>
      <w:r w:rsidR="00A65C92" w:rsidRPr="008F6000">
        <w:rPr>
          <w:rFonts w:cs="Calibri"/>
          <w:sz w:val="24"/>
          <w:szCs w:val="24"/>
        </w:rPr>
        <w:t>of</w:t>
      </w:r>
      <w:r w:rsidR="008F6000">
        <w:rPr>
          <w:rFonts w:cs="Calibri"/>
          <w:sz w:val="24"/>
          <w:szCs w:val="24"/>
        </w:rPr>
        <w:t xml:space="preserve"> the focus of disability reform </w:t>
      </w:r>
      <w:r w:rsidR="00A65C92">
        <w:rPr>
          <w:rFonts w:cs="Calibri"/>
          <w:sz w:val="24"/>
          <w:szCs w:val="24"/>
        </w:rPr>
        <w:t xml:space="preserve">has been on policy </w:t>
      </w:r>
      <w:r w:rsidR="00226846">
        <w:rPr>
          <w:rFonts w:cs="Calibri"/>
          <w:sz w:val="24"/>
          <w:szCs w:val="24"/>
        </w:rPr>
        <w:t xml:space="preserve">outcome </w:t>
      </w:r>
      <w:r w:rsidR="00A65C92">
        <w:rPr>
          <w:rFonts w:cs="Calibri"/>
          <w:sz w:val="24"/>
          <w:szCs w:val="24"/>
        </w:rPr>
        <w:t>area 4, ‘Personal and community support’ through the implementation of the N</w:t>
      </w:r>
      <w:r w:rsidR="0017386E">
        <w:rPr>
          <w:rFonts w:cs="Calibri"/>
          <w:sz w:val="24"/>
          <w:szCs w:val="24"/>
        </w:rPr>
        <w:t>DIS.</w:t>
      </w:r>
    </w:p>
    <w:p w14:paraId="440D0BE2" w14:textId="409781C6" w:rsidR="00086427" w:rsidRDefault="00262225" w:rsidP="00262225">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asciiTheme="minorHAnsi" w:hAnsiTheme="minorHAnsi" w:cs="Arial"/>
          <w:sz w:val="24"/>
          <w:szCs w:val="24"/>
        </w:rPr>
      </w:pPr>
      <w:r>
        <w:rPr>
          <w:rFonts w:cs="Calibri"/>
          <w:sz w:val="24"/>
          <w:szCs w:val="24"/>
        </w:rPr>
        <w:t>3.2.2</w:t>
      </w:r>
      <w:r>
        <w:rPr>
          <w:rFonts w:cs="Calibri"/>
          <w:sz w:val="24"/>
          <w:szCs w:val="24"/>
        </w:rPr>
        <w:tab/>
      </w:r>
      <w:r w:rsidR="00FE7A1E">
        <w:rPr>
          <w:rFonts w:cs="Calibri"/>
          <w:sz w:val="24"/>
          <w:szCs w:val="24"/>
        </w:rPr>
        <w:t>The</w:t>
      </w:r>
      <w:r w:rsidR="0055396E">
        <w:rPr>
          <w:rFonts w:cs="Calibri"/>
          <w:sz w:val="24"/>
          <w:szCs w:val="24"/>
        </w:rPr>
        <w:t xml:space="preserve"> NDIS is a critical inv</w:t>
      </w:r>
      <w:r w:rsidR="00FE7A1E">
        <w:rPr>
          <w:rFonts w:cs="Calibri"/>
          <w:sz w:val="24"/>
          <w:szCs w:val="24"/>
        </w:rPr>
        <w:t xml:space="preserve">estment in </w:t>
      </w:r>
      <w:r w:rsidR="00FB71B1">
        <w:rPr>
          <w:rFonts w:cs="Calibri"/>
          <w:sz w:val="24"/>
          <w:szCs w:val="24"/>
        </w:rPr>
        <w:t>enabling</w:t>
      </w:r>
      <w:r w:rsidR="00FE7A1E">
        <w:rPr>
          <w:rFonts w:cs="Calibri"/>
          <w:sz w:val="24"/>
          <w:szCs w:val="24"/>
        </w:rPr>
        <w:t xml:space="preserve"> people with disability </w:t>
      </w:r>
      <w:r w:rsidR="00FB71B1">
        <w:rPr>
          <w:rFonts w:cs="Calibri"/>
          <w:sz w:val="24"/>
          <w:szCs w:val="24"/>
        </w:rPr>
        <w:t xml:space="preserve">to choose the supports they need </w:t>
      </w:r>
      <w:r w:rsidR="00FE7A1E">
        <w:rPr>
          <w:rFonts w:cs="Calibri"/>
          <w:sz w:val="24"/>
          <w:szCs w:val="24"/>
        </w:rPr>
        <w:t>to increase economic, social, cultural, civic and political participation</w:t>
      </w:r>
      <w:r w:rsidR="008F6000">
        <w:rPr>
          <w:rFonts w:cs="Calibri"/>
          <w:sz w:val="24"/>
          <w:szCs w:val="24"/>
        </w:rPr>
        <w:t xml:space="preserve">.  However, </w:t>
      </w:r>
      <w:r w:rsidR="00FE7A1E">
        <w:rPr>
          <w:rFonts w:cs="Calibri"/>
          <w:sz w:val="24"/>
          <w:szCs w:val="24"/>
        </w:rPr>
        <w:t>the success of the NDIS is dependent on parallel success in the other five policy areas of the NDS</w:t>
      </w:r>
      <w:r w:rsidR="00FE7A1E" w:rsidRPr="007B6049">
        <w:rPr>
          <w:rFonts w:asciiTheme="minorHAnsi" w:hAnsiTheme="minorHAnsi" w:cs="Calibri"/>
          <w:sz w:val="24"/>
          <w:szCs w:val="24"/>
        </w:rPr>
        <w:t xml:space="preserve">. </w:t>
      </w:r>
      <w:r w:rsidR="00FE7A1E" w:rsidRPr="007B6049">
        <w:rPr>
          <w:rFonts w:asciiTheme="minorHAnsi" w:hAnsiTheme="minorHAnsi" w:cs="Arial"/>
          <w:sz w:val="24"/>
          <w:szCs w:val="24"/>
        </w:rPr>
        <w:t>For example, without accessible and inclusive transport, employment, education, health services, communications and information access, rights protection and access to justice, a person with disability will not be able to fully benefit from an NDIS funded package; they may have specialist disability supports but they will still have barriers to accessing all areas of community life.</w:t>
      </w:r>
      <w:r w:rsidR="00FE7A1E" w:rsidRPr="007B6049">
        <w:rPr>
          <w:rStyle w:val="FootnoteReference"/>
          <w:rFonts w:asciiTheme="minorHAnsi" w:hAnsiTheme="minorHAnsi" w:cs="Arial"/>
          <w:sz w:val="24"/>
          <w:szCs w:val="24"/>
        </w:rPr>
        <w:footnoteReference w:id="17"/>
      </w:r>
      <w:r w:rsidR="00FE7A1E" w:rsidRPr="007B6049">
        <w:rPr>
          <w:rFonts w:asciiTheme="minorHAnsi" w:hAnsiTheme="minorHAnsi" w:cs="Arial"/>
          <w:sz w:val="24"/>
          <w:szCs w:val="24"/>
        </w:rPr>
        <w:t xml:space="preserve">  </w:t>
      </w:r>
    </w:p>
    <w:p w14:paraId="4C052DDE" w14:textId="641C4D28" w:rsidR="00BB5574" w:rsidRDefault="00262225" w:rsidP="00BB5574">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asciiTheme="minorHAnsi" w:hAnsiTheme="minorHAnsi" w:cs="Arial"/>
          <w:sz w:val="24"/>
          <w:szCs w:val="24"/>
        </w:rPr>
      </w:pPr>
      <w:r>
        <w:rPr>
          <w:rFonts w:asciiTheme="minorHAnsi" w:hAnsiTheme="minorHAnsi" w:cs="Arial"/>
          <w:sz w:val="24"/>
          <w:szCs w:val="24"/>
        </w:rPr>
        <w:t>3.2.3</w:t>
      </w:r>
      <w:r w:rsidR="00BB5574">
        <w:rPr>
          <w:rFonts w:asciiTheme="minorHAnsi" w:hAnsiTheme="minorHAnsi" w:cs="Arial"/>
          <w:sz w:val="24"/>
          <w:szCs w:val="24"/>
        </w:rPr>
        <w:tab/>
      </w:r>
      <w:r w:rsidR="008F6000" w:rsidRPr="007B6049">
        <w:rPr>
          <w:rFonts w:asciiTheme="minorHAnsi" w:hAnsiTheme="minorHAnsi" w:cs="Arial"/>
          <w:sz w:val="24"/>
          <w:szCs w:val="24"/>
        </w:rPr>
        <w:t xml:space="preserve">The significant focus on the NDIS has resulted in </w:t>
      </w:r>
      <w:r w:rsidR="00DD48B8">
        <w:rPr>
          <w:rFonts w:asciiTheme="minorHAnsi" w:hAnsiTheme="minorHAnsi" w:cs="Arial"/>
          <w:sz w:val="24"/>
          <w:szCs w:val="24"/>
        </w:rPr>
        <w:t xml:space="preserve">far </w:t>
      </w:r>
      <w:r w:rsidR="008F6000" w:rsidRPr="007B6049">
        <w:rPr>
          <w:rFonts w:asciiTheme="minorHAnsi" w:hAnsiTheme="minorHAnsi" w:cs="Arial"/>
          <w:sz w:val="24"/>
          <w:szCs w:val="24"/>
        </w:rPr>
        <w:t xml:space="preserve">less investment and action on the five other NDS policy </w:t>
      </w:r>
      <w:r w:rsidR="00226846">
        <w:rPr>
          <w:rFonts w:asciiTheme="minorHAnsi" w:hAnsiTheme="minorHAnsi" w:cs="Arial"/>
          <w:sz w:val="24"/>
          <w:szCs w:val="24"/>
        </w:rPr>
        <w:t xml:space="preserve">outcome </w:t>
      </w:r>
      <w:r w:rsidR="008F6000" w:rsidRPr="007B6049">
        <w:rPr>
          <w:rFonts w:asciiTheme="minorHAnsi" w:hAnsiTheme="minorHAnsi" w:cs="Arial"/>
          <w:sz w:val="24"/>
          <w:szCs w:val="24"/>
        </w:rPr>
        <w:t xml:space="preserve">areas.  This is despite </w:t>
      </w:r>
      <w:r w:rsidR="00733078" w:rsidRPr="007B6049">
        <w:rPr>
          <w:rFonts w:asciiTheme="minorHAnsi" w:hAnsiTheme="minorHAnsi" w:cs="Arial"/>
          <w:sz w:val="24"/>
          <w:szCs w:val="24"/>
        </w:rPr>
        <w:t>a number of</w:t>
      </w:r>
      <w:r w:rsidR="008F6000" w:rsidRPr="007B6049">
        <w:rPr>
          <w:rFonts w:asciiTheme="minorHAnsi" w:hAnsiTheme="minorHAnsi" w:cs="Arial"/>
          <w:sz w:val="24"/>
          <w:szCs w:val="24"/>
        </w:rPr>
        <w:t xml:space="preserve"> issues </w:t>
      </w:r>
      <w:r w:rsidR="00733078" w:rsidRPr="007B6049">
        <w:rPr>
          <w:rFonts w:asciiTheme="minorHAnsi" w:hAnsiTheme="minorHAnsi" w:cs="Arial"/>
          <w:sz w:val="24"/>
          <w:szCs w:val="24"/>
        </w:rPr>
        <w:t xml:space="preserve">and actions </w:t>
      </w:r>
      <w:r w:rsidR="00B1378E">
        <w:rPr>
          <w:rFonts w:asciiTheme="minorHAnsi" w:hAnsiTheme="minorHAnsi" w:cs="Arial"/>
          <w:sz w:val="24"/>
          <w:szCs w:val="24"/>
        </w:rPr>
        <w:t xml:space="preserve">relevant to these areas </w:t>
      </w:r>
      <w:r w:rsidR="008F6000" w:rsidRPr="007B6049">
        <w:rPr>
          <w:rFonts w:asciiTheme="minorHAnsi" w:hAnsiTheme="minorHAnsi" w:cs="Arial"/>
          <w:sz w:val="24"/>
          <w:szCs w:val="24"/>
        </w:rPr>
        <w:t xml:space="preserve">being consistently raised by DPOs and disability </w:t>
      </w:r>
      <w:r w:rsidR="008F6000" w:rsidRPr="007B6049">
        <w:rPr>
          <w:rFonts w:asciiTheme="minorHAnsi" w:hAnsiTheme="minorHAnsi" w:cs="Arial"/>
          <w:sz w:val="24"/>
          <w:szCs w:val="24"/>
        </w:rPr>
        <w:lastRenderedPageBreak/>
        <w:t>advocacy organisations</w:t>
      </w:r>
      <w:r w:rsidR="00733078" w:rsidRPr="007B6049">
        <w:rPr>
          <w:rFonts w:asciiTheme="minorHAnsi" w:hAnsiTheme="minorHAnsi" w:cs="Arial"/>
          <w:sz w:val="24"/>
          <w:szCs w:val="24"/>
        </w:rPr>
        <w:t xml:space="preserve">, including through UN review processes </w:t>
      </w:r>
      <w:r w:rsidR="00BB5574">
        <w:rPr>
          <w:rFonts w:asciiTheme="minorHAnsi" w:hAnsiTheme="minorHAnsi" w:cs="Arial"/>
          <w:sz w:val="24"/>
          <w:szCs w:val="24"/>
        </w:rPr>
        <w:t>(see points 3.1.7 and 3.1.8)</w:t>
      </w:r>
      <w:r w:rsidR="00B1378E">
        <w:rPr>
          <w:rFonts w:asciiTheme="minorHAnsi" w:hAnsiTheme="minorHAnsi" w:cs="Arial"/>
          <w:sz w:val="24"/>
          <w:szCs w:val="24"/>
        </w:rPr>
        <w:t xml:space="preserve">, </w:t>
      </w:r>
      <w:r w:rsidR="00733078" w:rsidRPr="007B6049">
        <w:rPr>
          <w:rFonts w:asciiTheme="minorHAnsi" w:hAnsiTheme="minorHAnsi" w:cs="Arial"/>
          <w:sz w:val="24"/>
          <w:szCs w:val="24"/>
        </w:rPr>
        <w:t xml:space="preserve">submissions to </w:t>
      </w:r>
      <w:r w:rsidR="00BB5574" w:rsidRPr="007B6049">
        <w:rPr>
          <w:rFonts w:asciiTheme="minorHAnsi" w:hAnsiTheme="minorHAnsi" w:cs="Arial"/>
          <w:sz w:val="24"/>
          <w:szCs w:val="24"/>
        </w:rPr>
        <w:t xml:space="preserve">government </w:t>
      </w:r>
      <w:r w:rsidR="00BB5574">
        <w:rPr>
          <w:rFonts w:asciiTheme="minorHAnsi" w:hAnsiTheme="minorHAnsi" w:cs="Arial"/>
          <w:sz w:val="24"/>
          <w:szCs w:val="24"/>
        </w:rPr>
        <w:t xml:space="preserve">and </w:t>
      </w:r>
      <w:r w:rsidR="00733078" w:rsidRPr="007B6049">
        <w:rPr>
          <w:rFonts w:asciiTheme="minorHAnsi" w:hAnsiTheme="minorHAnsi" w:cs="Arial"/>
          <w:sz w:val="24"/>
          <w:szCs w:val="24"/>
        </w:rPr>
        <w:t>parliamentary</w:t>
      </w:r>
      <w:r w:rsidR="00BB5574">
        <w:rPr>
          <w:rFonts w:asciiTheme="minorHAnsi" w:hAnsiTheme="minorHAnsi" w:cs="Arial"/>
          <w:sz w:val="24"/>
          <w:szCs w:val="24"/>
        </w:rPr>
        <w:t xml:space="preserve"> inquiries</w:t>
      </w:r>
      <w:r w:rsidR="00B1378E">
        <w:rPr>
          <w:rFonts w:asciiTheme="minorHAnsi" w:hAnsiTheme="minorHAnsi" w:cs="Arial"/>
          <w:sz w:val="24"/>
          <w:szCs w:val="24"/>
        </w:rPr>
        <w:t>,</w:t>
      </w:r>
      <w:r w:rsidR="008A492C">
        <w:rPr>
          <w:rStyle w:val="FootnoteReference"/>
          <w:rFonts w:asciiTheme="minorHAnsi" w:hAnsiTheme="minorHAnsi" w:cs="Arial"/>
          <w:sz w:val="24"/>
          <w:szCs w:val="24"/>
        </w:rPr>
        <w:footnoteReference w:id="18"/>
      </w:r>
      <w:r w:rsidR="00B1378E">
        <w:rPr>
          <w:rFonts w:asciiTheme="minorHAnsi" w:hAnsiTheme="minorHAnsi" w:cs="Arial"/>
          <w:sz w:val="24"/>
          <w:szCs w:val="24"/>
        </w:rPr>
        <w:t xml:space="preserve"> as well as submissions specific to NDS implementation.</w:t>
      </w:r>
      <w:r w:rsidR="00B1378E">
        <w:rPr>
          <w:rStyle w:val="FootnoteReference"/>
          <w:rFonts w:asciiTheme="minorHAnsi" w:hAnsiTheme="minorHAnsi" w:cs="Arial"/>
          <w:sz w:val="24"/>
          <w:szCs w:val="24"/>
        </w:rPr>
        <w:footnoteReference w:id="19"/>
      </w:r>
      <w:r w:rsidR="00B1378E">
        <w:rPr>
          <w:rFonts w:asciiTheme="minorHAnsi" w:hAnsiTheme="minorHAnsi" w:cs="Arial"/>
          <w:sz w:val="24"/>
          <w:szCs w:val="24"/>
        </w:rPr>
        <w:t xml:space="preserve"> </w:t>
      </w:r>
    </w:p>
    <w:p w14:paraId="584A3662" w14:textId="0E112F35" w:rsidR="0007374D" w:rsidRPr="00DD48B8" w:rsidRDefault="008A492C" w:rsidP="00E97F19">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51" w:hanging="851"/>
        <w:rPr>
          <w:rFonts w:asciiTheme="minorHAnsi" w:hAnsiTheme="minorHAnsi" w:cs="Arial"/>
          <w:sz w:val="24"/>
          <w:szCs w:val="24"/>
        </w:rPr>
      </w:pPr>
      <w:r>
        <w:rPr>
          <w:rFonts w:asciiTheme="minorHAnsi" w:hAnsiTheme="minorHAnsi" w:cs="Arial"/>
          <w:sz w:val="24"/>
          <w:szCs w:val="24"/>
        </w:rPr>
        <w:t>3.2.4</w:t>
      </w:r>
      <w:r>
        <w:rPr>
          <w:rFonts w:asciiTheme="minorHAnsi" w:hAnsiTheme="minorHAnsi" w:cs="Arial"/>
          <w:sz w:val="24"/>
          <w:szCs w:val="24"/>
        </w:rPr>
        <w:tab/>
      </w:r>
      <w:r w:rsidR="00733078" w:rsidRPr="007B6049">
        <w:rPr>
          <w:rFonts w:asciiTheme="minorHAnsi" w:hAnsiTheme="minorHAnsi" w:cs="Arial"/>
          <w:sz w:val="24"/>
          <w:szCs w:val="24"/>
        </w:rPr>
        <w:t xml:space="preserve">There have been a number of inquiries and </w:t>
      </w:r>
      <w:r>
        <w:rPr>
          <w:rFonts w:asciiTheme="minorHAnsi" w:hAnsiTheme="minorHAnsi" w:cs="Arial"/>
          <w:sz w:val="24"/>
          <w:szCs w:val="24"/>
        </w:rPr>
        <w:t>reviews</w:t>
      </w:r>
      <w:r w:rsidR="00733078" w:rsidRPr="007B6049">
        <w:rPr>
          <w:rFonts w:asciiTheme="minorHAnsi" w:hAnsiTheme="minorHAnsi" w:cs="Arial"/>
          <w:sz w:val="24"/>
          <w:szCs w:val="24"/>
        </w:rPr>
        <w:t xml:space="preserve"> undertaken by government agencies and parliament</w:t>
      </w:r>
      <w:r w:rsidR="00367817" w:rsidRPr="007B6049">
        <w:rPr>
          <w:rFonts w:asciiTheme="minorHAnsi" w:hAnsiTheme="minorHAnsi" w:cs="Arial"/>
          <w:sz w:val="24"/>
          <w:szCs w:val="24"/>
        </w:rPr>
        <w:t>ary committees</w:t>
      </w:r>
      <w:r w:rsidR="00733078" w:rsidRPr="007B6049">
        <w:rPr>
          <w:rFonts w:asciiTheme="minorHAnsi" w:hAnsiTheme="minorHAnsi" w:cs="Arial"/>
          <w:sz w:val="24"/>
          <w:szCs w:val="24"/>
        </w:rPr>
        <w:t xml:space="preserve"> that have provided substantial analysis of issues and recommendations for reform </w:t>
      </w:r>
      <w:r w:rsidR="00E97F19">
        <w:rPr>
          <w:rFonts w:asciiTheme="minorHAnsi" w:hAnsiTheme="minorHAnsi" w:cs="Arial"/>
          <w:sz w:val="24"/>
          <w:szCs w:val="24"/>
        </w:rPr>
        <w:t>to address</w:t>
      </w:r>
      <w:r w:rsidR="00C31F7A" w:rsidRPr="007B6049">
        <w:rPr>
          <w:rFonts w:asciiTheme="minorHAnsi" w:hAnsiTheme="minorHAnsi" w:cs="Arial"/>
          <w:sz w:val="24"/>
          <w:szCs w:val="24"/>
        </w:rPr>
        <w:t xml:space="preserve"> human rights issues</w:t>
      </w:r>
      <w:r w:rsidR="00E97F19">
        <w:rPr>
          <w:rFonts w:asciiTheme="minorHAnsi" w:hAnsiTheme="minorHAnsi" w:cs="Arial"/>
          <w:sz w:val="24"/>
          <w:szCs w:val="24"/>
        </w:rPr>
        <w:t xml:space="preserve">.  However, very little to no actions </w:t>
      </w:r>
      <w:r w:rsidR="00CD5836">
        <w:rPr>
          <w:rFonts w:asciiTheme="minorHAnsi" w:hAnsiTheme="minorHAnsi" w:cs="Arial"/>
          <w:sz w:val="24"/>
          <w:szCs w:val="24"/>
        </w:rPr>
        <w:t xml:space="preserve">from these inquiries and reviews </w:t>
      </w:r>
      <w:r w:rsidR="00E97F19">
        <w:rPr>
          <w:rFonts w:asciiTheme="minorHAnsi" w:hAnsiTheme="minorHAnsi" w:cs="Arial"/>
          <w:sz w:val="24"/>
          <w:szCs w:val="24"/>
        </w:rPr>
        <w:t xml:space="preserve">have been incorporated into the NDS.  </w:t>
      </w:r>
      <w:r w:rsidR="00CD5836" w:rsidRPr="00DD48B8">
        <w:rPr>
          <w:rFonts w:asciiTheme="minorHAnsi" w:hAnsiTheme="minorHAnsi" w:cs="Arial"/>
          <w:sz w:val="24"/>
          <w:szCs w:val="24"/>
        </w:rPr>
        <w:t>This is despite the significant effort made by people with disability, their representative organisations and advocates to provide evidence to these inquiries and reviews and to assist in formulating realistic actions and solutions.  For example:</w:t>
      </w:r>
      <w:r w:rsidR="0090695B" w:rsidRPr="00DD48B8">
        <w:rPr>
          <w:rStyle w:val="FootnoteReference"/>
          <w:rFonts w:asciiTheme="minorHAnsi" w:hAnsiTheme="minorHAnsi" w:cs="Arial"/>
          <w:sz w:val="24"/>
          <w:szCs w:val="24"/>
        </w:rPr>
        <w:footnoteReference w:id="20"/>
      </w:r>
    </w:p>
    <w:p w14:paraId="71AA3C12" w14:textId="77777777" w:rsidR="00442943" w:rsidRDefault="008C3601" w:rsidP="00CC7413">
      <w:pPr>
        <w:pStyle w:val="ListParagraph"/>
        <w:widowControl w:val="0"/>
        <w:numPr>
          <w:ilvl w:val="0"/>
          <w:numId w:val="21"/>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135" w:hanging="284"/>
        <w:contextualSpacing w:val="0"/>
        <w:rPr>
          <w:rFonts w:asciiTheme="minorHAnsi" w:hAnsiTheme="minorHAnsi" w:cs="Arial"/>
          <w:sz w:val="24"/>
          <w:szCs w:val="24"/>
        </w:rPr>
      </w:pPr>
      <w:r>
        <w:rPr>
          <w:rFonts w:asciiTheme="minorHAnsi" w:hAnsiTheme="minorHAnsi" w:cs="Arial"/>
          <w:sz w:val="24"/>
          <w:szCs w:val="24"/>
        </w:rPr>
        <w:t xml:space="preserve">The </w:t>
      </w:r>
      <w:r w:rsidR="00367817" w:rsidRPr="007B6049">
        <w:rPr>
          <w:rFonts w:asciiTheme="minorHAnsi" w:hAnsiTheme="minorHAnsi" w:cs="Arial"/>
          <w:sz w:val="24"/>
          <w:szCs w:val="24"/>
        </w:rPr>
        <w:t>Australia</w:t>
      </w:r>
      <w:r>
        <w:rPr>
          <w:rFonts w:asciiTheme="minorHAnsi" w:hAnsiTheme="minorHAnsi" w:cs="Arial"/>
          <w:sz w:val="24"/>
          <w:szCs w:val="24"/>
        </w:rPr>
        <w:t xml:space="preserve">n Law Reform Commission </w:t>
      </w:r>
      <w:r w:rsidR="00CC7413">
        <w:rPr>
          <w:rFonts w:asciiTheme="minorHAnsi" w:hAnsiTheme="minorHAnsi" w:cs="Arial"/>
          <w:sz w:val="24"/>
          <w:szCs w:val="24"/>
        </w:rPr>
        <w:t xml:space="preserve">(ALRC) </w:t>
      </w:r>
      <w:r>
        <w:rPr>
          <w:rFonts w:asciiTheme="minorHAnsi" w:hAnsiTheme="minorHAnsi" w:cs="Arial"/>
          <w:sz w:val="24"/>
          <w:szCs w:val="24"/>
        </w:rPr>
        <w:t>reviewed equal recognition before the law and legal capacity for people with disability in line with the CRPD, and made 55 recommendations for reform.</w:t>
      </w:r>
      <w:r>
        <w:rPr>
          <w:rStyle w:val="FootnoteReference"/>
          <w:rFonts w:asciiTheme="minorHAnsi" w:hAnsiTheme="minorHAnsi" w:cs="Arial"/>
          <w:sz w:val="24"/>
          <w:szCs w:val="24"/>
        </w:rPr>
        <w:footnoteReference w:id="21"/>
      </w:r>
      <w:r>
        <w:rPr>
          <w:rFonts w:asciiTheme="minorHAnsi" w:hAnsiTheme="minorHAnsi" w:cs="Arial"/>
          <w:sz w:val="24"/>
          <w:szCs w:val="24"/>
        </w:rPr>
        <w:t xml:space="preserve"> </w:t>
      </w:r>
    </w:p>
    <w:p w14:paraId="12AF9266" w14:textId="2ACF68DD" w:rsidR="00367817" w:rsidRPr="007B6049" w:rsidRDefault="008C3601" w:rsidP="00442943">
      <w:pPr>
        <w:pStyle w:val="ListParagraph"/>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135"/>
        <w:contextualSpacing w:val="0"/>
        <w:rPr>
          <w:rFonts w:asciiTheme="minorHAnsi" w:hAnsiTheme="minorHAnsi" w:cs="Arial"/>
          <w:sz w:val="24"/>
          <w:szCs w:val="24"/>
        </w:rPr>
      </w:pPr>
      <w:r>
        <w:rPr>
          <w:rFonts w:asciiTheme="minorHAnsi" w:hAnsiTheme="minorHAnsi" w:cs="Arial"/>
          <w:sz w:val="24"/>
          <w:szCs w:val="24"/>
        </w:rPr>
        <w:t>Th</w:t>
      </w:r>
      <w:r w:rsidR="00CC7413">
        <w:rPr>
          <w:rFonts w:asciiTheme="minorHAnsi" w:hAnsiTheme="minorHAnsi" w:cs="Arial"/>
          <w:sz w:val="24"/>
          <w:szCs w:val="24"/>
        </w:rPr>
        <w:t>e CRPD Committee noted this review as a positive aspect of Australia’s implementation of the CRPD,</w:t>
      </w:r>
      <w:r w:rsidR="00CC7413">
        <w:rPr>
          <w:rStyle w:val="FootnoteReference"/>
          <w:rFonts w:asciiTheme="minorHAnsi" w:hAnsiTheme="minorHAnsi" w:cs="Arial"/>
          <w:sz w:val="24"/>
          <w:szCs w:val="24"/>
        </w:rPr>
        <w:footnoteReference w:id="22"/>
      </w:r>
      <w:r w:rsidR="00CC7413">
        <w:rPr>
          <w:rFonts w:asciiTheme="minorHAnsi" w:hAnsiTheme="minorHAnsi" w:cs="Arial"/>
          <w:sz w:val="24"/>
          <w:szCs w:val="24"/>
        </w:rPr>
        <w:t xml:space="preserve"> and the </w:t>
      </w:r>
      <w:r>
        <w:rPr>
          <w:rFonts w:asciiTheme="minorHAnsi" w:hAnsiTheme="minorHAnsi" w:cs="Arial"/>
          <w:sz w:val="24"/>
          <w:szCs w:val="24"/>
        </w:rPr>
        <w:t xml:space="preserve">review </w:t>
      </w:r>
      <w:r w:rsidR="00CC7413">
        <w:rPr>
          <w:rFonts w:asciiTheme="minorHAnsi" w:hAnsiTheme="minorHAnsi" w:cs="Arial"/>
          <w:sz w:val="24"/>
          <w:szCs w:val="24"/>
        </w:rPr>
        <w:t>was</w:t>
      </w:r>
      <w:r>
        <w:rPr>
          <w:rFonts w:asciiTheme="minorHAnsi" w:hAnsiTheme="minorHAnsi" w:cs="Arial"/>
          <w:sz w:val="24"/>
          <w:szCs w:val="24"/>
        </w:rPr>
        <w:t xml:space="preserve"> noted in the 2014 P</w:t>
      </w:r>
      <w:r w:rsidR="00367817" w:rsidRPr="007B6049">
        <w:rPr>
          <w:rFonts w:asciiTheme="minorHAnsi" w:hAnsiTheme="minorHAnsi" w:cs="Arial"/>
          <w:sz w:val="24"/>
          <w:szCs w:val="24"/>
        </w:rPr>
        <w:t xml:space="preserve">rogress </w:t>
      </w:r>
      <w:r>
        <w:rPr>
          <w:rFonts w:asciiTheme="minorHAnsi" w:hAnsiTheme="minorHAnsi" w:cs="Arial"/>
          <w:sz w:val="24"/>
          <w:szCs w:val="24"/>
        </w:rPr>
        <w:t>Report,</w:t>
      </w:r>
      <w:r w:rsidR="00CC7413">
        <w:rPr>
          <w:rStyle w:val="FootnoteReference"/>
          <w:rFonts w:asciiTheme="minorHAnsi" w:hAnsiTheme="minorHAnsi" w:cs="Arial"/>
          <w:sz w:val="24"/>
          <w:szCs w:val="24"/>
        </w:rPr>
        <w:footnoteReference w:id="23"/>
      </w:r>
      <w:r>
        <w:rPr>
          <w:rFonts w:asciiTheme="minorHAnsi" w:hAnsiTheme="minorHAnsi" w:cs="Arial"/>
          <w:sz w:val="24"/>
          <w:szCs w:val="24"/>
        </w:rPr>
        <w:t xml:space="preserve"> but the</w:t>
      </w:r>
      <w:r w:rsidR="00CC7413">
        <w:rPr>
          <w:rFonts w:asciiTheme="minorHAnsi" w:hAnsiTheme="minorHAnsi" w:cs="Arial"/>
          <w:sz w:val="24"/>
          <w:szCs w:val="24"/>
        </w:rPr>
        <w:t xml:space="preserve">re are no actions contained in the Second Implementation Plan that respond to the ALRC review.  The Australian Government has merely noted the ALRC final report but has not provided a comprehensive response.  </w:t>
      </w:r>
    </w:p>
    <w:p w14:paraId="6476D320" w14:textId="77777777" w:rsidR="00226846" w:rsidRDefault="00C114AD" w:rsidP="00226846">
      <w:pPr>
        <w:pStyle w:val="ListParagraph"/>
        <w:widowControl w:val="0"/>
        <w:numPr>
          <w:ilvl w:val="0"/>
          <w:numId w:val="21"/>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135" w:hanging="284"/>
        <w:contextualSpacing w:val="0"/>
        <w:rPr>
          <w:rFonts w:asciiTheme="minorHAnsi" w:hAnsiTheme="minorHAnsi" w:cs="Arial"/>
          <w:sz w:val="24"/>
          <w:szCs w:val="24"/>
        </w:rPr>
      </w:pPr>
      <w:r>
        <w:rPr>
          <w:rFonts w:asciiTheme="minorHAnsi" w:hAnsiTheme="minorHAnsi" w:cs="Arial"/>
          <w:sz w:val="24"/>
          <w:szCs w:val="24"/>
        </w:rPr>
        <w:t xml:space="preserve">The Senate Community Affairs References Committee conducted an inquiry into violence, abuse and neglect against people with disability in institutional and residential settings, including the gender and age related dimensions, and the particular situation of Aboriginal and Torres Strait Islander people with disability, culturally and linguistically diverse people with disability. The </w:t>
      </w:r>
      <w:r>
        <w:rPr>
          <w:rFonts w:asciiTheme="minorHAnsi" w:hAnsiTheme="minorHAnsi" w:cs="Arial"/>
          <w:sz w:val="24"/>
          <w:szCs w:val="24"/>
        </w:rPr>
        <w:lastRenderedPageBreak/>
        <w:t>Committee provided its final report containing 30 recommendations for reform in November 2015.</w:t>
      </w:r>
      <w:r>
        <w:rPr>
          <w:rStyle w:val="FootnoteReference"/>
          <w:rFonts w:asciiTheme="minorHAnsi" w:hAnsiTheme="minorHAnsi" w:cs="Arial"/>
          <w:sz w:val="24"/>
          <w:szCs w:val="24"/>
        </w:rPr>
        <w:footnoteReference w:id="24"/>
      </w:r>
      <w:r>
        <w:rPr>
          <w:rFonts w:asciiTheme="minorHAnsi" w:hAnsiTheme="minorHAnsi" w:cs="Arial"/>
          <w:sz w:val="24"/>
          <w:szCs w:val="24"/>
        </w:rPr>
        <w:t xml:space="preserve"> </w:t>
      </w:r>
    </w:p>
    <w:p w14:paraId="26610CB1" w14:textId="7A633D0D" w:rsidR="00FD517A" w:rsidRDefault="00226846" w:rsidP="00FD517A">
      <w:pPr>
        <w:pStyle w:val="ListParagraph"/>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134"/>
        <w:contextualSpacing w:val="0"/>
        <w:rPr>
          <w:rFonts w:asciiTheme="minorHAnsi" w:hAnsiTheme="minorHAnsi" w:cs="Arial"/>
          <w:sz w:val="24"/>
          <w:szCs w:val="24"/>
        </w:rPr>
      </w:pPr>
      <w:r>
        <w:rPr>
          <w:rFonts w:asciiTheme="minorHAnsi" w:hAnsiTheme="minorHAnsi" w:cs="Arial"/>
          <w:sz w:val="24"/>
          <w:szCs w:val="24"/>
        </w:rPr>
        <w:t>The outcome of policy direction 4 under NDS policy outcome area 2, ‘Rights protection, justice and legislation’, states “people with disability to be safe from violence, exploitation and neglect”</w:t>
      </w:r>
      <w:r w:rsidR="00FD517A">
        <w:rPr>
          <w:rFonts w:asciiTheme="minorHAnsi" w:hAnsiTheme="minorHAnsi" w:cs="Arial"/>
          <w:sz w:val="24"/>
          <w:szCs w:val="24"/>
        </w:rPr>
        <w:t>,</w:t>
      </w:r>
      <w:r>
        <w:rPr>
          <w:rStyle w:val="FootnoteReference"/>
          <w:rFonts w:asciiTheme="minorHAnsi" w:hAnsiTheme="minorHAnsi" w:cs="Arial"/>
          <w:sz w:val="24"/>
          <w:szCs w:val="24"/>
        </w:rPr>
        <w:footnoteReference w:id="25"/>
      </w:r>
      <w:r>
        <w:rPr>
          <w:rFonts w:asciiTheme="minorHAnsi" w:hAnsiTheme="minorHAnsi" w:cs="Arial"/>
          <w:sz w:val="24"/>
          <w:szCs w:val="24"/>
        </w:rPr>
        <w:t xml:space="preserve"> </w:t>
      </w:r>
      <w:r w:rsidR="00FD517A">
        <w:rPr>
          <w:rFonts w:asciiTheme="minorHAnsi" w:hAnsiTheme="minorHAnsi" w:cs="Arial"/>
          <w:sz w:val="24"/>
          <w:szCs w:val="24"/>
        </w:rPr>
        <w:t>and notes that a future action is to “develop strategies to reduce violence, abuse and neglect of people with disability”.</w:t>
      </w:r>
      <w:r w:rsidR="00FD517A">
        <w:rPr>
          <w:rStyle w:val="FootnoteReference"/>
          <w:rFonts w:asciiTheme="minorHAnsi" w:hAnsiTheme="minorHAnsi" w:cs="Arial"/>
          <w:sz w:val="24"/>
          <w:szCs w:val="24"/>
        </w:rPr>
        <w:footnoteReference w:id="26"/>
      </w:r>
      <w:r w:rsidR="00FD517A">
        <w:rPr>
          <w:rFonts w:asciiTheme="minorHAnsi" w:hAnsiTheme="minorHAnsi" w:cs="Arial"/>
          <w:sz w:val="24"/>
          <w:szCs w:val="24"/>
        </w:rPr>
        <w:t xml:space="preserve">  However, </w:t>
      </w:r>
      <w:r w:rsidR="00BF5B13">
        <w:rPr>
          <w:rFonts w:asciiTheme="minorHAnsi" w:hAnsiTheme="minorHAnsi" w:cs="Arial"/>
          <w:sz w:val="24"/>
          <w:szCs w:val="24"/>
        </w:rPr>
        <w:t>NDS</w:t>
      </w:r>
      <w:r w:rsidR="00442943">
        <w:rPr>
          <w:rFonts w:asciiTheme="minorHAnsi" w:hAnsiTheme="minorHAnsi" w:cs="Arial"/>
          <w:sz w:val="24"/>
          <w:szCs w:val="24"/>
        </w:rPr>
        <w:t xml:space="preserve"> actions to address this area</w:t>
      </w:r>
      <w:r w:rsidR="00FD517A">
        <w:rPr>
          <w:rFonts w:asciiTheme="minorHAnsi" w:hAnsiTheme="minorHAnsi" w:cs="Arial"/>
          <w:sz w:val="24"/>
          <w:szCs w:val="24"/>
        </w:rPr>
        <w:t>, including in the Second Implementation Plan</w:t>
      </w:r>
      <w:r w:rsidR="00442943">
        <w:rPr>
          <w:rFonts w:asciiTheme="minorHAnsi" w:hAnsiTheme="minorHAnsi" w:cs="Arial"/>
          <w:sz w:val="24"/>
          <w:szCs w:val="24"/>
        </w:rPr>
        <w:t xml:space="preserve"> </w:t>
      </w:r>
      <w:r w:rsidR="00BF5B13">
        <w:rPr>
          <w:rFonts w:asciiTheme="minorHAnsi" w:hAnsiTheme="minorHAnsi" w:cs="Arial"/>
          <w:sz w:val="24"/>
          <w:szCs w:val="24"/>
        </w:rPr>
        <w:t xml:space="preserve">have largely focused on </w:t>
      </w:r>
      <w:r w:rsidR="00442943">
        <w:rPr>
          <w:rFonts w:asciiTheme="minorHAnsi" w:hAnsiTheme="minorHAnsi" w:cs="Arial"/>
          <w:sz w:val="24"/>
          <w:szCs w:val="24"/>
        </w:rPr>
        <w:t xml:space="preserve">development </w:t>
      </w:r>
      <w:r w:rsidR="00BF5B13">
        <w:rPr>
          <w:rFonts w:asciiTheme="minorHAnsi" w:hAnsiTheme="minorHAnsi" w:cs="Arial"/>
          <w:sz w:val="24"/>
          <w:szCs w:val="24"/>
        </w:rPr>
        <w:t xml:space="preserve">and implementation </w:t>
      </w:r>
      <w:r w:rsidR="00442943">
        <w:rPr>
          <w:rFonts w:asciiTheme="minorHAnsi" w:hAnsiTheme="minorHAnsi" w:cs="Arial"/>
          <w:sz w:val="24"/>
          <w:szCs w:val="24"/>
        </w:rPr>
        <w:t>of the National Plan to Reduce Violence against Women and their Children,</w:t>
      </w:r>
      <w:r w:rsidR="00442943">
        <w:rPr>
          <w:rStyle w:val="FootnoteReference"/>
          <w:rFonts w:asciiTheme="minorHAnsi" w:hAnsiTheme="minorHAnsi" w:cs="Arial"/>
          <w:sz w:val="24"/>
          <w:szCs w:val="24"/>
        </w:rPr>
        <w:footnoteReference w:id="27"/>
      </w:r>
      <w:r w:rsidR="00442943">
        <w:rPr>
          <w:rFonts w:asciiTheme="minorHAnsi" w:hAnsiTheme="minorHAnsi" w:cs="Arial"/>
          <w:sz w:val="24"/>
          <w:szCs w:val="24"/>
        </w:rPr>
        <w:t xml:space="preserve"> and </w:t>
      </w:r>
      <w:r w:rsidR="00BF5B13">
        <w:rPr>
          <w:rFonts w:asciiTheme="minorHAnsi" w:hAnsiTheme="minorHAnsi" w:cs="Arial"/>
          <w:sz w:val="24"/>
          <w:szCs w:val="24"/>
        </w:rPr>
        <w:t xml:space="preserve">although critical, </w:t>
      </w:r>
      <w:r w:rsidR="00D175A4">
        <w:rPr>
          <w:rFonts w:asciiTheme="minorHAnsi" w:hAnsiTheme="minorHAnsi" w:cs="Arial"/>
          <w:sz w:val="24"/>
          <w:szCs w:val="24"/>
        </w:rPr>
        <w:t xml:space="preserve">this </w:t>
      </w:r>
      <w:r w:rsidR="00FD517A">
        <w:rPr>
          <w:rFonts w:asciiTheme="minorHAnsi" w:hAnsiTheme="minorHAnsi" w:cs="Arial"/>
          <w:sz w:val="24"/>
          <w:szCs w:val="24"/>
        </w:rPr>
        <w:t xml:space="preserve">does not comprehensively address all forms of violence experienced by people with disability. </w:t>
      </w:r>
    </w:p>
    <w:p w14:paraId="385BAC94" w14:textId="2F1C7C58" w:rsidR="00D175A4" w:rsidRDefault="00D175A4" w:rsidP="00CE7C64">
      <w:pPr>
        <w:pStyle w:val="ListParagraph"/>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1134"/>
        <w:contextualSpacing w:val="0"/>
        <w:rPr>
          <w:rFonts w:asciiTheme="minorHAnsi" w:hAnsiTheme="minorHAnsi" w:cs="Arial"/>
          <w:sz w:val="24"/>
          <w:szCs w:val="24"/>
        </w:rPr>
      </w:pPr>
      <w:r>
        <w:rPr>
          <w:rFonts w:asciiTheme="minorHAnsi" w:hAnsiTheme="minorHAnsi" w:cs="Arial"/>
          <w:sz w:val="24"/>
          <w:szCs w:val="24"/>
        </w:rPr>
        <w:t>The Second Implementation Plan states that a “particular priority continues to be the development of measures to address violence against people with disability, and abuse and neglect of people with disability in institutional and residential settings”.</w:t>
      </w:r>
      <w:r>
        <w:rPr>
          <w:rStyle w:val="FootnoteReference"/>
          <w:rFonts w:asciiTheme="minorHAnsi" w:hAnsiTheme="minorHAnsi" w:cs="Arial"/>
          <w:sz w:val="24"/>
          <w:szCs w:val="24"/>
        </w:rPr>
        <w:footnoteReference w:id="28"/>
      </w:r>
      <w:r w:rsidR="00FD517A">
        <w:rPr>
          <w:rFonts w:asciiTheme="minorHAnsi" w:hAnsiTheme="minorHAnsi" w:cs="Arial"/>
          <w:sz w:val="24"/>
          <w:szCs w:val="24"/>
        </w:rPr>
        <w:t xml:space="preserve"> In a footnote to this statement, it </w:t>
      </w:r>
      <w:r w:rsidR="00C6495F">
        <w:rPr>
          <w:rFonts w:asciiTheme="minorHAnsi" w:hAnsiTheme="minorHAnsi" w:cs="Arial"/>
          <w:sz w:val="24"/>
          <w:szCs w:val="24"/>
        </w:rPr>
        <w:t xml:space="preserve">notes that the “Australian Government is currently considering the findings and recommendations” from </w:t>
      </w:r>
      <w:r w:rsidR="00FD517A">
        <w:rPr>
          <w:rFonts w:asciiTheme="minorHAnsi" w:hAnsiTheme="minorHAnsi" w:cs="Arial"/>
          <w:sz w:val="24"/>
          <w:szCs w:val="24"/>
        </w:rPr>
        <w:t>the Senate Community Affairs References Committee</w:t>
      </w:r>
      <w:r w:rsidR="00C6495F">
        <w:rPr>
          <w:rFonts w:asciiTheme="minorHAnsi" w:hAnsiTheme="minorHAnsi" w:cs="Arial"/>
          <w:sz w:val="24"/>
          <w:szCs w:val="24"/>
        </w:rPr>
        <w:t xml:space="preserve"> inquiry.</w:t>
      </w:r>
      <w:r w:rsidR="00C6495F">
        <w:rPr>
          <w:rStyle w:val="FootnoteReference"/>
          <w:rFonts w:asciiTheme="minorHAnsi" w:hAnsiTheme="minorHAnsi" w:cs="Arial"/>
          <w:sz w:val="24"/>
          <w:szCs w:val="24"/>
        </w:rPr>
        <w:footnoteReference w:id="29"/>
      </w:r>
      <w:r w:rsidR="00C6495F">
        <w:rPr>
          <w:rFonts w:asciiTheme="minorHAnsi" w:hAnsiTheme="minorHAnsi" w:cs="Arial"/>
          <w:sz w:val="24"/>
          <w:szCs w:val="24"/>
        </w:rPr>
        <w:t xml:space="preserve"> However, in March 2017, the Australian Government</w:t>
      </w:r>
      <w:r w:rsidR="002F4497">
        <w:rPr>
          <w:rFonts w:asciiTheme="minorHAnsi" w:hAnsiTheme="minorHAnsi" w:cs="Arial"/>
          <w:sz w:val="24"/>
          <w:szCs w:val="24"/>
        </w:rPr>
        <w:t>’s response referred to the</w:t>
      </w:r>
      <w:r w:rsidR="002F4497">
        <w:rPr>
          <w:rFonts w:asciiTheme="minorHAnsi" w:hAnsiTheme="minorHAnsi" w:cs="Arial"/>
          <w:sz w:val="24"/>
          <w:szCs w:val="24"/>
          <w:lang w:val="en-US"/>
        </w:rPr>
        <w:t xml:space="preserve"> implementation of the NDIS Quality and Safeguarding Framework</w:t>
      </w:r>
      <w:r w:rsidR="00CD206E">
        <w:rPr>
          <w:rFonts w:asciiTheme="minorHAnsi" w:hAnsiTheme="minorHAnsi" w:cs="Arial"/>
          <w:sz w:val="24"/>
          <w:szCs w:val="24"/>
          <w:lang w:val="en-US"/>
        </w:rPr>
        <w:t xml:space="preserve"> as </w:t>
      </w:r>
      <w:r w:rsidR="002F4497">
        <w:rPr>
          <w:rFonts w:asciiTheme="minorHAnsi" w:hAnsiTheme="minorHAnsi" w:cs="Arial"/>
          <w:sz w:val="24"/>
          <w:szCs w:val="24"/>
          <w:lang w:val="en-US"/>
        </w:rPr>
        <w:t>sufficient</w:t>
      </w:r>
      <w:r w:rsidR="00CD206E">
        <w:rPr>
          <w:rFonts w:asciiTheme="minorHAnsi" w:hAnsiTheme="minorHAnsi" w:cs="Arial"/>
          <w:sz w:val="24"/>
          <w:szCs w:val="24"/>
          <w:lang w:val="en-US"/>
        </w:rPr>
        <w:t xml:space="preserve"> to address the </w:t>
      </w:r>
      <w:r w:rsidR="001961D0">
        <w:rPr>
          <w:rFonts w:asciiTheme="minorHAnsi" w:hAnsiTheme="minorHAnsi" w:cs="Arial"/>
          <w:sz w:val="24"/>
          <w:szCs w:val="24"/>
          <w:lang w:val="en-US"/>
        </w:rPr>
        <w:t xml:space="preserve">inquiry’s </w:t>
      </w:r>
      <w:r w:rsidR="00CD206E">
        <w:rPr>
          <w:rFonts w:asciiTheme="minorHAnsi" w:hAnsiTheme="minorHAnsi" w:cs="Arial"/>
          <w:sz w:val="24"/>
          <w:szCs w:val="24"/>
          <w:lang w:val="en-US"/>
        </w:rPr>
        <w:t xml:space="preserve">findings, and most recommendations </w:t>
      </w:r>
      <w:r w:rsidR="002F4497">
        <w:rPr>
          <w:rFonts w:asciiTheme="minorHAnsi" w:hAnsiTheme="minorHAnsi" w:cs="Arial"/>
          <w:sz w:val="24"/>
          <w:szCs w:val="24"/>
          <w:lang w:val="en-US"/>
        </w:rPr>
        <w:t xml:space="preserve">were deferred to the responsibility of </w:t>
      </w:r>
      <w:r w:rsidR="002F4497" w:rsidRPr="002F4497">
        <w:rPr>
          <w:rFonts w:asciiTheme="minorHAnsi" w:hAnsiTheme="minorHAnsi" w:cs="Arial"/>
          <w:sz w:val="24"/>
          <w:szCs w:val="24"/>
          <w:lang w:val="en-US"/>
        </w:rPr>
        <w:t>States and Territories.</w:t>
      </w:r>
      <w:r w:rsidR="00CD206E">
        <w:rPr>
          <w:rStyle w:val="FootnoteReference"/>
          <w:rFonts w:asciiTheme="minorHAnsi" w:hAnsiTheme="minorHAnsi" w:cs="Arial"/>
          <w:sz w:val="24"/>
          <w:szCs w:val="24"/>
          <w:lang w:val="en-US"/>
        </w:rPr>
        <w:footnoteReference w:id="30"/>
      </w:r>
      <w:r w:rsidR="00CD206E">
        <w:rPr>
          <w:rFonts w:asciiTheme="minorHAnsi" w:hAnsiTheme="minorHAnsi" w:cs="Arial"/>
          <w:sz w:val="24"/>
          <w:szCs w:val="24"/>
          <w:lang w:val="en-US"/>
        </w:rPr>
        <w:t xml:space="preserve"> </w:t>
      </w:r>
    </w:p>
    <w:p w14:paraId="7897DB6D" w14:textId="4A81F774" w:rsidR="002A5C23" w:rsidRPr="00322E18" w:rsidRDefault="00CE7C64" w:rsidP="002A5C23">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asciiTheme="minorHAnsi" w:hAnsiTheme="minorHAnsi" w:cs="Arial"/>
          <w:sz w:val="24"/>
          <w:szCs w:val="24"/>
          <w:lang w:val="en-US"/>
        </w:rPr>
      </w:pPr>
      <w:r w:rsidRPr="00322E18">
        <w:rPr>
          <w:rFonts w:asciiTheme="minorHAnsi" w:hAnsiTheme="minorHAnsi" w:cs="Arial"/>
          <w:sz w:val="24"/>
          <w:szCs w:val="24"/>
          <w:lang w:val="en-US"/>
        </w:rPr>
        <w:t>3.2.5</w:t>
      </w:r>
      <w:r w:rsidRPr="00322E18">
        <w:rPr>
          <w:rFonts w:asciiTheme="minorHAnsi" w:hAnsiTheme="minorHAnsi" w:cs="Arial"/>
          <w:sz w:val="24"/>
          <w:szCs w:val="24"/>
          <w:lang w:val="en-US"/>
        </w:rPr>
        <w:tab/>
      </w:r>
      <w:r w:rsidR="002A5C23" w:rsidRPr="00322E18">
        <w:rPr>
          <w:sz w:val="24"/>
          <w:szCs w:val="24"/>
        </w:rPr>
        <w:t xml:space="preserve">In response to many inquiries, reviews or concerns, the Australian Government regularly refers responsibility for reform to </w:t>
      </w:r>
      <w:r w:rsidR="00A80A43" w:rsidRPr="00322E18">
        <w:rPr>
          <w:sz w:val="24"/>
          <w:szCs w:val="24"/>
        </w:rPr>
        <w:t xml:space="preserve">State and Territory governments, but </w:t>
      </w:r>
      <w:proofErr w:type="spellStart"/>
      <w:r w:rsidR="00A80A43" w:rsidRPr="00322E18">
        <w:rPr>
          <w:sz w:val="24"/>
          <w:szCs w:val="24"/>
        </w:rPr>
        <w:t>i</w:t>
      </w:r>
      <w:proofErr w:type="spellEnd"/>
      <w:r w:rsidR="00A80A43" w:rsidRPr="00322E18">
        <w:rPr>
          <w:rFonts w:asciiTheme="minorHAnsi" w:hAnsiTheme="minorHAnsi" w:cs="Arial"/>
          <w:sz w:val="24"/>
          <w:szCs w:val="24"/>
          <w:lang w:val="en-US"/>
        </w:rPr>
        <w:t xml:space="preserve">t </w:t>
      </w:r>
      <w:r w:rsidR="00A80A43" w:rsidRPr="00322E18">
        <w:rPr>
          <w:sz w:val="24"/>
          <w:szCs w:val="24"/>
        </w:rPr>
        <w:t xml:space="preserve">is not clear if States and Territories are responding to the recommendations from </w:t>
      </w:r>
      <w:r w:rsidR="00A80A43" w:rsidRPr="00322E18">
        <w:rPr>
          <w:sz w:val="24"/>
          <w:szCs w:val="24"/>
        </w:rPr>
        <w:lastRenderedPageBreak/>
        <w:t>Australian government agencies and parliamentary reviews and inquiries.  Importantly</w:t>
      </w:r>
      <w:r w:rsidR="002A5C23" w:rsidRPr="00322E18">
        <w:rPr>
          <w:sz w:val="24"/>
          <w:szCs w:val="24"/>
        </w:rPr>
        <w:t xml:space="preserve">, the NDS is a framework agreed by all governments within Australia, and is a key mechanism through which Australia could take a leadership role to coordinate a national, uniform response to progress human rights for people with disability.   For example, the </w:t>
      </w:r>
      <w:r w:rsidR="002A5C23" w:rsidRPr="00322E18">
        <w:rPr>
          <w:rFonts w:asciiTheme="minorHAnsi" w:hAnsiTheme="minorHAnsi" w:cs="Arial"/>
          <w:sz w:val="24"/>
          <w:szCs w:val="24"/>
          <w:lang w:val="en-US"/>
        </w:rPr>
        <w:t>30 recommendations from the Senate Community Affairs References Committee inquiry into violence against people with disability (see point 3.2.4) should be on the agenda of the DRC of COAG in the context of its reaffirmed commitment to progress the NDS (see point 3.1.11).</w:t>
      </w:r>
    </w:p>
    <w:p w14:paraId="4FED765E" w14:textId="54CA26D2" w:rsidR="00A80A43" w:rsidRPr="00C45400" w:rsidRDefault="002A5C23" w:rsidP="00C45400">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asciiTheme="majorHAnsi" w:hAnsiTheme="majorHAnsi" w:cs="Arial"/>
          <w:sz w:val="24"/>
          <w:szCs w:val="24"/>
          <w:lang w:val="en-US"/>
        </w:rPr>
      </w:pPr>
      <w:r>
        <w:rPr>
          <w:rFonts w:asciiTheme="minorHAnsi" w:hAnsiTheme="minorHAnsi" w:cs="Arial"/>
          <w:sz w:val="24"/>
          <w:szCs w:val="24"/>
          <w:lang w:val="en-US"/>
        </w:rPr>
        <w:t>3.2.6</w:t>
      </w:r>
      <w:r>
        <w:rPr>
          <w:rFonts w:asciiTheme="minorHAnsi" w:hAnsiTheme="minorHAnsi" w:cs="Arial"/>
          <w:sz w:val="24"/>
          <w:szCs w:val="24"/>
          <w:lang w:val="en-US"/>
        </w:rPr>
        <w:tab/>
      </w:r>
      <w:r w:rsidR="00A80A43">
        <w:rPr>
          <w:rFonts w:cs="Calibri"/>
          <w:bCs/>
          <w:sz w:val="24"/>
          <w:szCs w:val="24"/>
        </w:rPr>
        <w:t>Implementation of the NDS is dependent on commitment to and implementation of State, Territory and Local Government Disability Plans.  However, State and Territory plans do n</w:t>
      </w:r>
      <w:r w:rsidR="00034A13">
        <w:rPr>
          <w:rFonts w:cs="Calibri"/>
          <w:bCs/>
          <w:sz w:val="24"/>
          <w:szCs w:val="24"/>
        </w:rPr>
        <w:t>ot always correlate with the NDS</w:t>
      </w:r>
      <w:r w:rsidR="00A80A43">
        <w:rPr>
          <w:rFonts w:cs="Calibri"/>
          <w:bCs/>
          <w:sz w:val="24"/>
          <w:szCs w:val="24"/>
        </w:rPr>
        <w:t xml:space="preserve">.  For example, the NSW Disability Inclusion Plan only focusses on four policy areas; and the consultation paper for the development of the new QLD Disability Inclusion Plan does not address NDS policy area 2, </w:t>
      </w:r>
      <w:r w:rsidR="00A80A43" w:rsidRPr="00532F9B">
        <w:rPr>
          <w:rFonts w:cs="Calibri"/>
          <w:bCs/>
          <w:i/>
          <w:sz w:val="24"/>
          <w:szCs w:val="24"/>
        </w:rPr>
        <w:t>Rights protection and justice</w:t>
      </w:r>
      <w:r w:rsidR="00A80A43">
        <w:rPr>
          <w:rFonts w:cs="Calibri"/>
          <w:bCs/>
          <w:sz w:val="24"/>
          <w:szCs w:val="24"/>
        </w:rPr>
        <w:t>, nor does it articulate the purpose of the NDS and its connection to inclusion in QLD.  The success of the NDS is undermined if parts of the NDS are ignored, not properly understood</w:t>
      </w:r>
      <w:r w:rsidR="00034A13">
        <w:rPr>
          <w:rFonts w:cs="Calibri"/>
          <w:bCs/>
          <w:sz w:val="24"/>
          <w:szCs w:val="24"/>
        </w:rPr>
        <w:t xml:space="preserve">, </w:t>
      </w:r>
      <w:r w:rsidR="00A80A43">
        <w:rPr>
          <w:rFonts w:cs="Calibri"/>
          <w:bCs/>
          <w:sz w:val="24"/>
          <w:szCs w:val="24"/>
        </w:rPr>
        <w:t xml:space="preserve">and not nationally consistent.  It also compromises national consistency in implementation, </w:t>
      </w:r>
      <w:r w:rsidR="000F709C">
        <w:rPr>
          <w:rFonts w:cs="Calibri"/>
          <w:bCs/>
          <w:sz w:val="24"/>
          <w:szCs w:val="24"/>
        </w:rPr>
        <w:t xml:space="preserve">monitoring and evaluation frameworks, </w:t>
      </w:r>
      <w:r w:rsidR="00A80A43">
        <w:rPr>
          <w:rFonts w:cs="Calibri"/>
          <w:bCs/>
          <w:sz w:val="24"/>
          <w:szCs w:val="24"/>
        </w:rPr>
        <w:t xml:space="preserve">progress reporting, including in data collection, and review. </w:t>
      </w:r>
    </w:p>
    <w:p w14:paraId="0498A95A" w14:textId="04EFA244" w:rsidR="00C45400" w:rsidRPr="00322E18" w:rsidRDefault="00C45400" w:rsidP="00A80A43">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asciiTheme="minorHAnsi" w:hAnsiTheme="minorHAnsi" w:cs="Arial"/>
          <w:sz w:val="24"/>
          <w:szCs w:val="24"/>
          <w:lang w:val="en-US"/>
        </w:rPr>
      </w:pPr>
      <w:r w:rsidRPr="00322E18">
        <w:rPr>
          <w:rFonts w:asciiTheme="minorHAnsi" w:hAnsiTheme="minorHAnsi" w:cs="Calibri"/>
          <w:bCs/>
          <w:sz w:val="24"/>
          <w:szCs w:val="24"/>
        </w:rPr>
        <w:t>3.2.7</w:t>
      </w:r>
      <w:r w:rsidRPr="00322E18">
        <w:rPr>
          <w:rFonts w:asciiTheme="minorHAnsi" w:hAnsiTheme="minorHAnsi" w:cs="Calibri"/>
          <w:bCs/>
          <w:sz w:val="24"/>
          <w:szCs w:val="24"/>
        </w:rPr>
        <w:tab/>
      </w:r>
      <w:r w:rsidR="0038266E" w:rsidRPr="00322E18">
        <w:rPr>
          <w:rFonts w:asciiTheme="minorHAnsi" w:hAnsiTheme="minorHAnsi" w:cs="Arial"/>
          <w:sz w:val="24"/>
          <w:szCs w:val="24"/>
          <w:lang w:val="en-US"/>
        </w:rPr>
        <w:t>There doesn’t appear to be a mechanism or process for coordinating NDS action</w:t>
      </w:r>
      <w:r w:rsidR="000F709C" w:rsidRPr="00322E18">
        <w:rPr>
          <w:rFonts w:asciiTheme="minorHAnsi" w:hAnsiTheme="minorHAnsi" w:cs="Arial"/>
          <w:sz w:val="24"/>
          <w:szCs w:val="24"/>
          <w:lang w:val="en-US"/>
        </w:rPr>
        <w:t>, monitoring</w:t>
      </w:r>
      <w:r w:rsidR="0038266E" w:rsidRPr="00322E18">
        <w:rPr>
          <w:rFonts w:asciiTheme="minorHAnsi" w:hAnsiTheme="minorHAnsi" w:cs="Arial"/>
          <w:sz w:val="24"/>
          <w:szCs w:val="24"/>
          <w:lang w:val="en-US"/>
        </w:rPr>
        <w:t xml:space="preserve"> and evaluation across Australia, for sharing best practice or innovative initiatives, and for ensuring high level responsibility and accountability (see also point 3.1.10 and 3.1.11).  T</w:t>
      </w:r>
      <w:r w:rsidRPr="00322E18">
        <w:rPr>
          <w:rFonts w:asciiTheme="minorHAnsi" w:hAnsiTheme="minorHAnsi" w:cs="Arial"/>
          <w:sz w:val="24"/>
          <w:szCs w:val="24"/>
        </w:rPr>
        <w:t>he 2014 P</w:t>
      </w:r>
      <w:proofErr w:type="spellStart"/>
      <w:r w:rsidRPr="00322E18">
        <w:rPr>
          <w:rFonts w:asciiTheme="minorHAnsi" w:hAnsiTheme="minorHAnsi" w:cs="Arial"/>
          <w:sz w:val="24"/>
          <w:szCs w:val="24"/>
          <w:lang w:val="en-US"/>
        </w:rPr>
        <w:t>rogress</w:t>
      </w:r>
      <w:proofErr w:type="spellEnd"/>
      <w:r w:rsidRPr="00322E18">
        <w:rPr>
          <w:rFonts w:asciiTheme="minorHAnsi" w:hAnsiTheme="minorHAnsi" w:cs="Arial"/>
          <w:sz w:val="24"/>
          <w:szCs w:val="24"/>
          <w:lang w:val="en-US"/>
        </w:rPr>
        <w:t xml:space="preserve"> Report simply outlines actions being undertaken by Commonwealth, State and Territory governments, </w:t>
      </w:r>
      <w:r w:rsidR="0038266E" w:rsidRPr="00322E18">
        <w:rPr>
          <w:rFonts w:asciiTheme="minorHAnsi" w:hAnsiTheme="minorHAnsi" w:cs="Arial"/>
          <w:sz w:val="24"/>
          <w:szCs w:val="24"/>
          <w:lang w:val="en-US"/>
        </w:rPr>
        <w:t>but</w:t>
      </w:r>
      <w:r w:rsidRPr="00322E18">
        <w:rPr>
          <w:rFonts w:asciiTheme="minorHAnsi" w:hAnsiTheme="minorHAnsi" w:cs="Arial"/>
          <w:sz w:val="24"/>
          <w:szCs w:val="24"/>
          <w:lang w:val="en-US"/>
        </w:rPr>
        <w:t xml:space="preserve"> there is minimal </w:t>
      </w:r>
      <w:r w:rsidR="0038266E" w:rsidRPr="00322E18">
        <w:rPr>
          <w:rFonts w:asciiTheme="minorHAnsi" w:hAnsiTheme="minorHAnsi" w:cs="Arial"/>
          <w:sz w:val="24"/>
          <w:szCs w:val="24"/>
          <w:lang w:val="en-US"/>
        </w:rPr>
        <w:t xml:space="preserve">to no </w:t>
      </w:r>
      <w:r w:rsidRPr="00322E18">
        <w:rPr>
          <w:rFonts w:asciiTheme="minorHAnsi" w:hAnsiTheme="minorHAnsi" w:cs="Arial"/>
          <w:sz w:val="24"/>
          <w:szCs w:val="24"/>
          <w:lang w:val="en-US"/>
        </w:rPr>
        <w:t>analysis of these actions in pr</w:t>
      </w:r>
      <w:r w:rsidR="0038266E" w:rsidRPr="00322E18">
        <w:rPr>
          <w:rFonts w:asciiTheme="minorHAnsi" w:hAnsiTheme="minorHAnsi" w:cs="Arial"/>
          <w:sz w:val="24"/>
          <w:szCs w:val="24"/>
          <w:lang w:val="en-US"/>
        </w:rPr>
        <w:t xml:space="preserve">ogressing </w:t>
      </w:r>
      <w:r w:rsidRPr="00322E18">
        <w:rPr>
          <w:rFonts w:asciiTheme="minorHAnsi" w:hAnsiTheme="minorHAnsi" w:cs="Arial"/>
          <w:sz w:val="24"/>
          <w:szCs w:val="24"/>
          <w:lang w:val="en-US"/>
        </w:rPr>
        <w:t xml:space="preserve">the rights of people with disability.  While these actions may be having significant, positive impact, they are </w:t>
      </w:r>
      <w:r w:rsidR="0038266E" w:rsidRPr="00322E18">
        <w:rPr>
          <w:rFonts w:asciiTheme="minorHAnsi" w:hAnsiTheme="minorHAnsi" w:cs="Arial"/>
          <w:sz w:val="24"/>
          <w:szCs w:val="24"/>
          <w:lang w:val="en-US"/>
        </w:rPr>
        <w:t xml:space="preserve">often </w:t>
      </w:r>
      <w:r w:rsidRPr="00322E18">
        <w:rPr>
          <w:rFonts w:asciiTheme="minorHAnsi" w:hAnsiTheme="minorHAnsi" w:cs="Arial"/>
          <w:sz w:val="24"/>
          <w:szCs w:val="24"/>
          <w:lang w:val="en-US"/>
        </w:rPr>
        <w:t xml:space="preserve">limited to one jurisdiction, and are often one-off, time limited projects. </w:t>
      </w:r>
    </w:p>
    <w:p w14:paraId="16ABB6BF" w14:textId="7FC08A9B" w:rsidR="00745766" w:rsidRDefault="000F709C" w:rsidP="000F709C">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cs="Calibri"/>
          <w:bCs/>
          <w:sz w:val="24"/>
          <w:szCs w:val="24"/>
        </w:rPr>
      </w:pPr>
      <w:r w:rsidRPr="00322E18">
        <w:rPr>
          <w:rFonts w:asciiTheme="minorHAnsi" w:hAnsiTheme="minorHAnsi" w:cs="Arial"/>
          <w:sz w:val="24"/>
          <w:szCs w:val="24"/>
          <w:lang w:val="en-US"/>
        </w:rPr>
        <w:t>3.2.8</w:t>
      </w:r>
      <w:r w:rsidRPr="00322E18">
        <w:rPr>
          <w:rFonts w:asciiTheme="minorHAnsi" w:hAnsiTheme="minorHAnsi" w:cs="Arial"/>
          <w:sz w:val="24"/>
          <w:szCs w:val="24"/>
          <w:lang w:val="en-US"/>
        </w:rPr>
        <w:tab/>
      </w:r>
      <w:r w:rsidR="002D1364" w:rsidRPr="00322E18">
        <w:rPr>
          <w:rFonts w:asciiTheme="minorHAnsi" w:hAnsiTheme="minorHAnsi" w:cs="Arial"/>
          <w:sz w:val="24"/>
          <w:szCs w:val="24"/>
        </w:rPr>
        <w:t xml:space="preserve">The lack of </w:t>
      </w:r>
      <w:r w:rsidR="00745766" w:rsidRPr="00322E18">
        <w:rPr>
          <w:rFonts w:asciiTheme="minorHAnsi" w:hAnsiTheme="minorHAnsi" w:cs="Arial"/>
          <w:sz w:val="24"/>
          <w:szCs w:val="24"/>
        </w:rPr>
        <w:t>coordinated</w:t>
      </w:r>
      <w:r w:rsidR="002D1364" w:rsidRPr="00322E18">
        <w:rPr>
          <w:rFonts w:asciiTheme="minorHAnsi" w:hAnsiTheme="minorHAnsi" w:cs="Arial"/>
          <w:sz w:val="24"/>
          <w:szCs w:val="24"/>
        </w:rPr>
        <w:t xml:space="preserve"> investment</w:t>
      </w:r>
      <w:r w:rsidRPr="00322E18">
        <w:rPr>
          <w:rFonts w:asciiTheme="minorHAnsi" w:hAnsiTheme="minorHAnsi" w:cs="Arial"/>
          <w:sz w:val="24"/>
          <w:szCs w:val="24"/>
        </w:rPr>
        <w:t xml:space="preserve">, </w:t>
      </w:r>
      <w:r w:rsidR="00745766" w:rsidRPr="00322E18">
        <w:rPr>
          <w:rFonts w:asciiTheme="minorHAnsi" w:hAnsiTheme="minorHAnsi" w:cs="Arial"/>
          <w:sz w:val="24"/>
          <w:szCs w:val="24"/>
        </w:rPr>
        <w:t xml:space="preserve">concrete actions </w:t>
      </w:r>
      <w:r w:rsidRPr="00322E18">
        <w:rPr>
          <w:rFonts w:asciiTheme="minorHAnsi" w:hAnsiTheme="minorHAnsi" w:cs="Arial"/>
          <w:sz w:val="24"/>
          <w:szCs w:val="24"/>
        </w:rPr>
        <w:t xml:space="preserve">and accountability </w:t>
      </w:r>
      <w:r w:rsidR="002D1364" w:rsidRPr="00322E18">
        <w:rPr>
          <w:rFonts w:asciiTheme="minorHAnsi" w:hAnsiTheme="minorHAnsi" w:cs="Arial"/>
          <w:sz w:val="24"/>
          <w:szCs w:val="24"/>
        </w:rPr>
        <w:t xml:space="preserve">is evident in </w:t>
      </w:r>
      <w:r w:rsidR="003A659D" w:rsidRPr="00322E18">
        <w:rPr>
          <w:rFonts w:asciiTheme="minorHAnsi" w:hAnsiTheme="minorHAnsi" w:cs="Arial"/>
          <w:sz w:val="24"/>
          <w:szCs w:val="24"/>
          <w:lang w:val="en-US"/>
        </w:rPr>
        <w:t>t</w:t>
      </w:r>
      <w:r w:rsidR="00EB128F" w:rsidRPr="00322E18">
        <w:rPr>
          <w:rFonts w:asciiTheme="minorHAnsi" w:hAnsiTheme="minorHAnsi" w:cs="Arial"/>
          <w:sz w:val="24"/>
          <w:szCs w:val="24"/>
          <w:lang w:val="en-US"/>
        </w:rPr>
        <w:t xml:space="preserve">he </w:t>
      </w:r>
      <w:r w:rsidRPr="00322E18">
        <w:rPr>
          <w:rFonts w:asciiTheme="minorHAnsi" w:hAnsiTheme="minorHAnsi" w:cs="Arial"/>
          <w:sz w:val="24"/>
          <w:szCs w:val="24"/>
          <w:lang w:val="en-US"/>
        </w:rPr>
        <w:t xml:space="preserve">late development of the </w:t>
      </w:r>
      <w:r w:rsidR="00EB128F" w:rsidRPr="00322E18">
        <w:rPr>
          <w:rFonts w:asciiTheme="minorHAnsi" w:hAnsiTheme="minorHAnsi" w:cs="Calibri"/>
          <w:bCs/>
          <w:sz w:val="24"/>
          <w:szCs w:val="24"/>
        </w:rPr>
        <w:t>Second Implementation Plan</w:t>
      </w:r>
      <w:r w:rsidR="00745766" w:rsidRPr="00322E18">
        <w:rPr>
          <w:rFonts w:asciiTheme="minorHAnsi" w:hAnsiTheme="minorHAnsi" w:cs="Calibri"/>
          <w:bCs/>
          <w:sz w:val="24"/>
          <w:szCs w:val="24"/>
        </w:rPr>
        <w:t>.</w:t>
      </w:r>
      <w:r w:rsidR="002D1364" w:rsidRPr="00322E18">
        <w:rPr>
          <w:rFonts w:asciiTheme="minorHAnsi" w:hAnsiTheme="minorHAnsi" w:cs="Calibri"/>
          <w:bCs/>
          <w:sz w:val="24"/>
          <w:szCs w:val="24"/>
        </w:rPr>
        <w:t xml:space="preserve"> </w:t>
      </w:r>
      <w:r w:rsidR="00745766" w:rsidRPr="00322E18">
        <w:rPr>
          <w:rFonts w:asciiTheme="minorHAnsi" w:hAnsiTheme="minorHAnsi" w:cs="Calibri"/>
          <w:bCs/>
          <w:sz w:val="24"/>
          <w:szCs w:val="24"/>
        </w:rPr>
        <w:t xml:space="preserve">This Plan </w:t>
      </w:r>
      <w:r w:rsidR="00EB128F" w:rsidRPr="00322E18">
        <w:rPr>
          <w:rFonts w:asciiTheme="minorHAnsi" w:hAnsiTheme="minorHAnsi" w:cs="Calibri"/>
          <w:bCs/>
          <w:sz w:val="24"/>
          <w:szCs w:val="24"/>
        </w:rPr>
        <w:t xml:space="preserve">was only released in December 2016, halfway through the </w:t>
      </w:r>
      <w:r w:rsidR="002D1364" w:rsidRPr="00322E18">
        <w:rPr>
          <w:rFonts w:asciiTheme="minorHAnsi" w:hAnsiTheme="minorHAnsi" w:cs="Calibri"/>
          <w:bCs/>
          <w:sz w:val="24"/>
          <w:szCs w:val="24"/>
        </w:rPr>
        <w:t xml:space="preserve">second </w:t>
      </w:r>
      <w:r w:rsidR="00EB128F" w:rsidRPr="00322E18">
        <w:rPr>
          <w:rFonts w:asciiTheme="minorHAnsi" w:hAnsiTheme="minorHAnsi" w:cs="Calibri"/>
          <w:bCs/>
          <w:sz w:val="24"/>
          <w:szCs w:val="24"/>
        </w:rPr>
        <w:t>implementation period</w:t>
      </w:r>
      <w:r w:rsidR="00EB128F" w:rsidRPr="00D31C6E">
        <w:rPr>
          <w:rFonts w:cs="Calibri"/>
          <w:bCs/>
          <w:sz w:val="24"/>
          <w:szCs w:val="24"/>
        </w:rPr>
        <w:t xml:space="preserve"> 2015-2018</w:t>
      </w:r>
      <w:r w:rsidR="00EB128F">
        <w:rPr>
          <w:rFonts w:cs="Calibri"/>
          <w:bCs/>
          <w:sz w:val="24"/>
          <w:szCs w:val="24"/>
        </w:rPr>
        <w:t xml:space="preserve">. </w:t>
      </w:r>
    </w:p>
    <w:p w14:paraId="16A136E2" w14:textId="54FB30BE" w:rsidR="00681B59" w:rsidRDefault="00514229" w:rsidP="00FB2B5A">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cs="Calibri"/>
          <w:bCs/>
          <w:sz w:val="24"/>
          <w:szCs w:val="24"/>
        </w:rPr>
      </w:pPr>
      <w:r>
        <w:rPr>
          <w:rFonts w:cs="Calibri"/>
          <w:bCs/>
          <w:sz w:val="24"/>
          <w:szCs w:val="24"/>
        </w:rPr>
        <w:t>3.2.9</w:t>
      </w:r>
      <w:r>
        <w:rPr>
          <w:rFonts w:cs="Calibri"/>
          <w:bCs/>
          <w:sz w:val="24"/>
          <w:szCs w:val="24"/>
        </w:rPr>
        <w:tab/>
      </w:r>
      <w:r w:rsidR="00745766">
        <w:rPr>
          <w:rFonts w:cs="Calibri"/>
          <w:bCs/>
          <w:sz w:val="24"/>
          <w:szCs w:val="24"/>
        </w:rPr>
        <w:t xml:space="preserve">The Second Implementation </w:t>
      </w:r>
      <w:r w:rsidR="0053582A">
        <w:rPr>
          <w:rFonts w:cs="Calibri"/>
          <w:bCs/>
          <w:sz w:val="24"/>
          <w:szCs w:val="24"/>
        </w:rPr>
        <w:t xml:space="preserve">Plan </w:t>
      </w:r>
      <w:r w:rsidR="00573E02">
        <w:rPr>
          <w:rFonts w:cs="Calibri"/>
          <w:bCs/>
          <w:sz w:val="24"/>
          <w:szCs w:val="24"/>
        </w:rPr>
        <w:t>reaffirms the important role played by the NDS in “protecting, promoting and fulfilling the human rights of people with disability”,</w:t>
      </w:r>
      <w:r w:rsidR="00573E02">
        <w:rPr>
          <w:rStyle w:val="FootnoteReference"/>
          <w:rFonts w:cs="Calibri"/>
          <w:bCs/>
          <w:sz w:val="24"/>
          <w:szCs w:val="24"/>
        </w:rPr>
        <w:footnoteReference w:id="31"/>
      </w:r>
      <w:r w:rsidR="00745766">
        <w:rPr>
          <w:rFonts w:cs="Calibri"/>
          <w:bCs/>
          <w:sz w:val="24"/>
          <w:szCs w:val="24"/>
        </w:rPr>
        <w:t xml:space="preserve"> but </w:t>
      </w:r>
      <w:r w:rsidR="00113CAF">
        <w:rPr>
          <w:rFonts w:cs="Calibri"/>
          <w:bCs/>
          <w:sz w:val="24"/>
          <w:szCs w:val="24"/>
        </w:rPr>
        <w:t xml:space="preserve">does not commit </w:t>
      </w:r>
      <w:r w:rsidR="0053582A">
        <w:rPr>
          <w:rFonts w:cs="Calibri"/>
          <w:bCs/>
          <w:sz w:val="24"/>
          <w:szCs w:val="24"/>
        </w:rPr>
        <w:t xml:space="preserve">to </w:t>
      </w:r>
      <w:r w:rsidR="00113CAF">
        <w:rPr>
          <w:rFonts w:cs="Calibri"/>
          <w:bCs/>
          <w:sz w:val="24"/>
          <w:szCs w:val="24"/>
        </w:rPr>
        <w:t xml:space="preserve">new concrete measures </w:t>
      </w:r>
      <w:r w:rsidR="00FB2B5A">
        <w:rPr>
          <w:rFonts w:cs="Calibri"/>
          <w:bCs/>
          <w:sz w:val="24"/>
          <w:szCs w:val="24"/>
        </w:rPr>
        <w:t xml:space="preserve">across the Australian Government </w:t>
      </w:r>
      <w:r w:rsidR="00113CAF">
        <w:rPr>
          <w:rFonts w:cs="Calibri"/>
          <w:bCs/>
          <w:sz w:val="24"/>
          <w:szCs w:val="24"/>
        </w:rPr>
        <w:t xml:space="preserve">under the NDS six policy </w:t>
      </w:r>
      <w:r>
        <w:rPr>
          <w:rFonts w:cs="Calibri"/>
          <w:bCs/>
          <w:sz w:val="24"/>
          <w:szCs w:val="24"/>
        </w:rPr>
        <w:t xml:space="preserve">outcome </w:t>
      </w:r>
      <w:r w:rsidR="00113CAF">
        <w:rPr>
          <w:rFonts w:cs="Calibri"/>
          <w:bCs/>
          <w:sz w:val="24"/>
          <w:szCs w:val="24"/>
        </w:rPr>
        <w:t>areas</w:t>
      </w:r>
      <w:r w:rsidR="005F6E2B">
        <w:rPr>
          <w:rFonts w:cs="Calibri"/>
          <w:bCs/>
          <w:sz w:val="24"/>
          <w:szCs w:val="24"/>
        </w:rPr>
        <w:t xml:space="preserve">.  </w:t>
      </w:r>
      <w:r w:rsidR="002745AB">
        <w:rPr>
          <w:rFonts w:cs="Calibri"/>
          <w:bCs/>
          <w:sz w:val="24"/>
          <w:szCs w:val="24"/>
        </w:rPr>
        <w:t>Rather i</w:t>
      </w:r>
      <w:r w:rsidR="00113CAF">
        <w:rPr>
          <w:rFonts w:cs="Calibri"/>
          <w:bCs/>
          <w:sz w:val="24"/>
          <w:szCs w:val="24"/>
        </w:rPr>
        <w:t xml:space="preserve">ts focus is </w:t>
      </w:r>
      <w:r w:rsidR="005F6E2B">
        <w:rPr>
          <w:rFonts w:cs="Calibri"/>
          <w:bCs/>
          <w:sz w:val="24"/>
          <w:szCs w:val="24"/>
        </w:rPr>
        <w:t xml:space="preserve">largely </w:t>
      </w:r>
      <w:r w:rsidR="00113CAF">
        <w:rPr>
          <w:rFonts w:cs="Calibri"/>
          <w:bCs/>
          <w:sz w:val="24"/>
          <w:szCs w:val="24"/>
        </w:rPr>
        <w:t xml:space="preserve">on existing actions </w:t>
      </w:r>
      <w:r w:rsidR="005434D4">
        <w:rPr>
          <w:rFonts w:cs="Calibri"/>
          <w:bCs/>
          <w:sz w:val="24"/>
          <w:szCs w:val="24"/>
        </w:rPr>
        <w:t>within the remit of DSS</w:t>
      </w:r>
      <w:r w:rsidR="00FB2B5A">
        <w:rPr>
          <w:rFonts w:cs="Calibri"/>
          <w:bCs/>
          <w:sz w:val="24"/>
          <w:szCs w:val="24"/>
        </w:rPr>
        <w:t xml:space="preserve"> - NDIS transition and employment reform.  </w:t>
      </w:r>
    </w:p>
    <w:p w14:paraId="7B42C521" w14:textId="0CFEE51C" w:rsidR="002745AB" w:rsidRDefault="00FB2B5A" w:rsidP="00FB2B5A">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cs="Calibri"/>
          <w:bCs/>
          <w:sz w:val="24"/>
          <w:szCs w:val="24"/>
        </w:rPr>
      </w:pPr>
      <w:r>
        <w:rPr>
          <w:rFonts w:cs="Calibri"/>
          <w:bCs/>
          <w:sz w:val="24"/>
          <w:szCs w:val="24"/>
        </w:rPr>
        <w:t>3.2.10</w:t>
      </w:r>
      <w:r>
        <w:rPr>
          <w:rFonts w:cs="Calibri"/>
          <w:bCs/>
          <w:sz w:val="24"/>
          <w:szCs w:val="24"/>
        </w:rPr>
        <w:tab/>
      </w:r>
      <w:r w:rsidR="002745AB">
        <w:rPr>
          <w:rFonts w:cs="Calibri"/>
          <w:bCs/>
          <w:sz w:val="24"/>
          <w:szCs w:val="24"/>
        </w:rPr>
        <w:t xml:space="preserve">The </w:t>
      </w:r>
      <w:r>
        <w:rPr>
          <w:rFonts w:cs="Calibri"/>
          <w:bCs/>
          <w:sz w:val="24"/>
          <w:szCs w:val="24"/>
        </w:rPr>
        <w:t xml:space="preserve">Second Implementation </w:t>
      </w:r>
      <w:r w:rsidR="002745AB">
        <w:rPr>
          <w:rFonts w:cs="Calibri"/>
          <w:bCs/>
          <w:sz w:val="24"/>
          <w:szCs w:val="24"/>
        </w:rPr>
        <w:t xml:space="preserve">Plan </w:t>
      </w:r>
      <w:r>
        <w:rPr>
          <w:rFonts w:cs="Calibri"/>
          <w:bCs/>
          <w:sz w:val="24"/>
          <w:szCs w:val="24"/>
        </w:rPr>
        <w:t xml:space="preserve">outlines that it will be supported by the development of </w:t>
      </w:r>
      <w:r w:rsidR="002745AB">
        <w:rPr>
          <w:rFonts w:cs="Calibri"/>
          <w:bCs/>
          <w:sz w:val="24"/>
          <w:szCs w:val="24"/>
        </w:rPr>
        <w:t xml:space="preserve">an Australian Government Action Plan </w:t>
      </w:r>
      <w:r>
        <w:rPr>
          <w:rFonts w:cs="Calibri"/>
          <w:bCs/>
          <w:sz w:val="24"/>
          <w:szCs w:val="24"/>
        </w:rPr>
        <w:t xml:space="preserve">that </w:t>
      </w:r>
      <w:r w:rsidR="002745AB">
        <w:rPr>
          <w:rFonts w:cs="Calibri"/>
          <w:bCs/>
          <w:sz w:val="24"/>
          <w:szCs w:val="24"/>
        </w:rPr>
        <w:t xml:space="preserve">will “represent the </w:t>
      </w:r>
      <w:r w:rsidR="002745AB">
        <w:rPr>
          <w:rFonts w:cs="Calibri"/>
          <w:bCs/>
          <w:sz w:val="24"/>
          <w:szCs w:val="24"/>
        </w:rPr>
        <w:lastRenderedPageBreak/>
        <w:t>Australian Government’s commitment to tangible actions that will drive implementation of the strategy across Commonwealth portfolios between 2015 and 2018”.</w:t>
      </w:r>
      <w:r>
        <w:rPr>
          <w:rStyle w:val="FootnoteReference"/>
          <w:rFonts w:cs="Calibri"/>
          <w:bCs/>
          <w:sz w:val="24"/>
          <w:szCs w:val="24"/>
        </w:rPr>
        <w:footnoteReference w:id="32"/>
      </w:r>
      <w:r w:rsidR="002745AB">
        <w:rPr>
          <w:rFonts w:cs="Calibri"/>
          <w:bCs/>
          <w:sz w:val="24"/>
          <w:szCs w:val="24"/>
        </w:rPr>
        <w:t xml:space="preserve"> </w:t>
      </w:r>
      <w:r>
        <w:rPr>
          <w:rFonts w:cs="Calibri"/>
          <w:bCs/>
          <w:sz w:val="24"/>
          <w:szCs w:val="24"/>
        </w:rPr>
        <w:t xml:space="preserve"> </w:t>
      </w:r>
      <w:r w:rsidR="00322E18">
        <w:rPr>
          <w:rFonts w:cs="Calibri"/>
          <w:bCs/>
          <w:sz w:val="24"/>
          <w:szCs w:val="24"/>
        </w:rPr>
        <w:t>It is essential that t</w:t>
      </w:r>
      <w:r w:rsidR="00752A63">
        <w:rPr>
          <w:rFonts w:cs="Calibri"/>
          <w:bCs/>
          <w:sz w:val="24"/>
          <w:szCs w:val="24"/>
        </w:rPr>
        <w:t xml:space="preserve">his Action Plan </w:t>
      </w:r>
      <w:r w:rsidR="00322E18">
        <w:rPr>
          <w:rFonts w:cs="Calibri"/>
          <w:bCs/>
          <w:sz w:val="24"/>
          <w:szCs w:val="24"/>
        </w:rPr>
        <w:t>is</w:t>
      </w:r>
      <w:r w:rsidR="00752A63">
        <w:rPr>
          <w:rFonts w:cs="Calibri"/>
          <w:bCs/>
          <w:sz w:val="24"/>
          <w:szCs w:val="24"/>
        </w:rPr>
        <w:t xml:space="preserve"> an operational plan of concrete measures, timeframes and performance indicators that cover the six policy </w:t>
      </w:r>
      <w:r w:rsidR="00EC7B3E">
        <w:rPr>
          <w:rFonts w:cs="Calibri"/>
          <w:bCs/>
          <w:sz w:val="24"/>
          <w:szCs w:val="24"/>
        </w:rPr>
        <w:t xml:space="preserve">outcome </w:t>
      </w:r>
      <w:r w:rsidR="00752A63">
        <w:rPr>
          <w:rFonts w:cs="Calibri"/>
          <w:bCs/>
          <w:sz w:val="24"/>
          <w:szCs w:val="24"/>
        </w:rPr>
        <w:t xml:space="preserve">areas of the NDS and that include actions across all Government agencies.  Otherwise, it </w:t>
      </w:r>
      <w:r w:rsidR="00322E18">
        <w:rPr>
          <w:rFonts w:cs="Calibri"/>
          <w:bCs/>
          <w:sz w:val="24"/>
          <w:szCs w:val="24"/>
        </w:rPr>
        <w:t xml:space="preserve">is unclear why another plan needs to be developed </w:t>
      </w:r>
      <w:r w:rsidR="002745AB">
        <w:rPr>
          <w:rFonts w:cs="Calibri"/>
          <w:bCs/>
          <w:sz w:val="24"/>
          <w:szCs w:val="24"/>
        </w:rPr>
        <w:t xml:space="preserve">if the NDS is the national strategic plan that has been committed to by </w:t>
      </w:r>
      <w:r w:rsidR="00C90F0C">
        <w:rPr>
          <w:rFonts w:cs="Calibri"/>
          <w:bCs/>
          <w:sz w:val="24"/>
          <w:szCs w:val="24"/>
        </w:rPr>
        <w:t>the</w:t>
      </w:r>
      <w:r w:rsidR="002745AB">
        <w:rPr>
          <w:rFonts w:cs="Calibri"/>
          <w:bCs/>
          <w:sz w:val="24"/>
          <w:szCs w:val="24"/>
        </w:rPr>
        <w:t xml:space="preserve"> Australian Government</w:t>
      </w:r>
      <w:r w:rsidR="00C90F0C">
        <w:rPr>
          <w:rFonts w:cs="Calibri"/>
          <w:bCs/>
          <w:sz w:val="24"/>
          <w:szCs w:val="24"/>
        </w:rPr>
        <w:t xml:space="preserve">. </w:t>
      </w:r>
      <w:r w:rsidR="00EC7B3E">
        <w:rPr>
          <w:rFonts w:cs="Calibri"/>
          <w:bCs/>
          <w:sz w:val="24"/>
          <w:szCs w:val="24"/>
        </w:rPr>
        <w:t xml:space="preserve">Critically, </w:t>
      </w:r>
      <w:r w:rsidR="00322E18">
        <w:rPr>
          <w:rFonts w:cs="Calibri"/>
          <w:bCs/>
          <w:sz w:val="24"/>
          <w:szCs w:val="24"/>
        </w:rPr>
        <w:t>responsibility and progress in developing this plan is not clear, nor how</w:t>
      </w:r>
      <w:r w:rsidR="002745AB">
        <w:rPr>
          <w:rFonts w:cs="Calibri"/>
          <w:bCs/>
          <w:sz w:val="24"/>
          <w:szCs w:val="24"/>
        </w:rPr>
        <w:t xml:space="preserve"> meaningful </w:t>
      </w:r>
      <w:r w:rsidR="00322E18">
        <w:rPr>
          <w:rFonts w:cs="Calibri"/>
          <w:bCs/>
          <w:sz w:val="24"/>
          <w:szCs w:val="24"/>
        </w:rPr>
        <w:t>and successful this plan</w:t>
      </w:r>
      <w:r w:rsidR="002745AB">
        <w:rPr>
          <w:rFonts w:cs="Calibri"/>
          <w:bCs/>
          <w:sz w:val="24"/>
          <w:szCs w:val="24"/>
        </w:rPr>
        <w:t xml:space="preserve"> can be given there is only 18 months left in the 2015-2018 second plan period.  </w:t>
      </w:r>
    </w:p>
    <w:p w14:paraId="15CAA6D7" w14:textId="4213F8CC" w:rsidR="00C90F0C" w:rsidRPr="00EC7B3E" w:rsidRDefault="00EC7B3E" w:rsidP="00EC7B3E">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cs="Calibri"/>
          <w:bCs/>
          <w:sz w:val="24"/>
          <w:szCs w:val="24"/>
        </w:rPr>
      </w:pPr>
      <w:r>
        <w:rPr>
          <w:rFonts w:cs="Calibri"/>
          <w:bCs/>
          <w:sz w:val="24"/>
          <w:szCs w:val="24"/>
        </w:rPr>
        <w:t>3.2.11</w:t>
      </w:r>
      <w:r>
        <w:rPr>
          <w:rFonts w:cs="Calibri"/>
          <w:bCs/>
          <w:sz w:val="24"/>
          <w:szCs w:val="24"/>
        </w:rPr>
        <w:tab/>
      </w:r>
      <w:r w:rsidRPr="00E96F0B">
        <w:rPr>
          <w:rFonts w:asciiTheme="minorHAnsi" w:hAnsiTheme="minorHAnsi" w:cs="Calibri"/>
          <w:bCs/>
          <w:sz w:val="24"/>
          <w:szCs w:val="24"/>
        </w:rPr>
        <w:t xml:space="preserve">The </w:t>
      </w:r>
      <w:r w:rsidR="00340B70" w:rsidRPr="00E96F0B">
        <w:rPr>
          <w:rFonts w:asciiTheme="minorHAnsi" w:hAnsiTheme="minorHAnsi" w:cs="Arial"/>
          <w:sz w:val="24"/>
          <w:szCs w:val="24"/>
          <w:lang w:val="en-US"/>
        </w:rPr>
        <w:t xml:space="preserve">reaffirmed commitment to the NDS by the </w:t>
      </w:r>
      <w:r w:rsidRPr="00E96F0B">
        <w:rPr>
          <w:rFonts w:asciiTheme="minorHAnsi" w:hAnsiTheme="minorHAnsi" w:cs="Arial"/>
          <w:sz w:val="24"/>
          <w:szCs w:val="24"/>
          <w:lang w:val="en-US"/>
        </w:rPr>
        <w:t xml:space="preserve">DRC </w:t>
      </w:r>
      <w:r w:rsidR="00C90F0C" w:rsidRPr="00E96F0B">
        <w:rPr>
          <w:rFonts w:asciiTheme="minorHAnsi" w:hAnsiTheme="minorHAnsi" w:cs="Arial"/>
          <w:sz w:val="24"/>
          <w:szCs w:val="24"/>
          <w:lang w:val="en-US"/>
        </w:rPr>
        <w:t xml:space="preserve">of </w:t>
      </w:r>
      <w:r w:rsidRPr="00E96F0B">
        <w:rPr>
          <w:rFonts w:asciiTheme="minorHAnsi" w:hAnsiTheme="minorHAnsi" w:cs="Arial"/>
          <w:sz w:val="24"/>
          <w:szCs w:val="24"/>
          <w:lang w:val="en-US"/>
        </w:rPr>
        <w:t xml:space="preserve">COAG (see point 3.1.11), and the </w:t>
      </w:r>
      <w:r w:rsidR="00340B70" w:rsidRPr="00E96F0B">
        <w:rPr>
          <w:rFonts w:asciiTheme="minorHAnsi" w:hAnsiTheme="minorHAnsi" w:cs="Arial"/>
          <w:sz w:val="24"/>
          <w:szCs w:val="24"/>
          <w:lang w:val="en-US"/>
        </w:rPr>
        <w:t xml:space="preserve">establishment of the </w:t>
      </w:r>
      <w:r w:rsidR="00340B70" w:rsidRPr="00E96F0B">
        <w:rPr>
          <w:rFonts w:asciiTheme="minorHAnsi" w:hAnsiTheme="minorHAnsi" w:cs="Calibri"/>
          <w:bCs/>
          <w:sz w:val="24"/>
          <w:szCs w:val="24"/>
        </w:rPr>
        <w:t xml:space="preserve">National Disability and Carers Advisory Council </w:t>
      </w:r>
      <w:r w:rsidR="00161019" w:rsidRPr="00E96F0B">
        <w:rPr>
          <w:rFonts w:asciiTheme="minorHAnsi" w:hAnsiTheme="minorHAnsi" w:cs="Calibri"/>
          <w:bCs/>
          <w:sz w:val="24"/>
          <w:szCs w:val="24"/>
        </w:rPr>
        <w:t xml:space="preserve">in </w:t>
      </w:r>
      <w:r w:rsidR="00161019">
        <w:rPr>
          <w:rFonts w:cs="Calibri"/>
          <w:bCs/>
          <w:sz w:val="24"/>
          <w:szCs w:val="24"/>
        </w:rPr>
        <w:t>November 2016</w:t>
      </w:r>
      <w:r w:rsidR="00161019">
        <w:rPr>
          <w:rStyle w:val="FootnoteReference"/>
          <w:rFonts w:cs="Calibri"/>
          <w:bCs/>
          <w:sz w:val="24"/>
          <w:szCs w:val="24"/>
        </w:rPr>
        <w:footnoteReference w:id="33"/>
      </w:r>
      <w:r w:rsidR="00161019">
        <w:rPr>
          <w:rFonts w:cs="Calibri"/>
          <w:bCs/>
          <w:sz w:val="24"/>
          <w:szCs w:val="24"/>
        </w:rPr>
        <w:t xml:space="preserve"> to assist</w:t>
      </w:r>
      <w:r w:rsidR="00340B70">
        <w:rPr>
          <w:rFonts w:cs="Calibri"/>
          <w:bCs/>
          <w:sz w:val="24"/>
          <w:szCs w:val="24"/>
        </w:rPr>
        <w:t xml:space="preserve"> in </w:t>
      </w:r>
      <w:r w:rsidR="00340B70" w:rsidRPr="00D31C6E">
        <w:rPr>
          <w:rFonts w:cs="Calibri"/>
          <w:bCs/>
          <w:sz w:val="24"/>
          <w:szCs w:val="24"/>
        </w:rPr>
        <w:t>driving the implementation of the NDS</w:t>
      </w:r>
      <w:r w:rsidR="00E96F0B">
        <w:rPr>
          <w:rFonts w:cs="Calibri"/>
          <w:bCs/>
          <w:sz w:val="24"/>
          <w:szCs w:val="24"/>
        </w:rPr>
        <w:t>,</w:t>
      </w:r>
      <w:r w:rsidR="00161019">
        <w:rPr>
          <w:rFonts w:cs="Calibri"/>
          <w:bCs/>
          <w:sz w:val="24"/>
          <w:szCs w:val="24"/>
        </w:rPr>
        <w:t xml:space="preserve"> are important and welcome</w:t>
      </w:r>
      <w:r w:rsidR="00340B70" w:rsidRPr="00D31C6E">
        <w:rPr>
          <w:rFonts w:cs="Calibri"/>
          <w:bCs/>
          <w:sz w:val="24"/>
          <w:szCs w:val="24"/>
        </w:rPr>
        <w:t xml:space="preserve">. </w:t>
      </w:r>
      <w:r w:rsidR="00340B70">
        <w:rPr>
          <w:rFonts w:cs="Calibri"/>
          <w:bCs/>
          <w:sz w:val="24"/>
          <w:szCs w:val="24"/>
        </w:rPr>
        <w:t xml:space="preserve"> </w:t>
      </w:r>
      <w:r w:rsidR="00340B70" w:rsidRPr="00D31C6E">
        <w:rPr>
          <w:rFonts w:cs="Calibri"/>
          <w:bCs/>
          <w:sz w:val="24"/>
          <w:szCs w:val="24"/>
        </w:rPr>
        <w:t>This</w:t>
      </w:r>
      <w:r w:rsidR="00340B70">
        <w:rPr>
          <w:rFonts w:asciiTheme="majorHAnsi" w:hAnsiTheme="majorHAnsi" w:cs="Arial"/>
          <w:sz w:val="24"/>
          <w:szCs w:val="24"/>
          <w:lang w:val="en-US"/>
        </w:rPr>
        <w:t xml:space="preserve"> </w:t>
      </w:r>
      <w:r w:rsidR="00C90F0C" w:rsidRPr="00D31C6E">
        <w:rPr>
          <w:rFonts w:cs="Calibri"/>
          <w:bCs/>
          <w:sz w:val="24"/>
          <w:szCs w:val="24"/>
        </w:rPr>
        <w:t xml:space="preserve">must be supported </w:t>
      </w:r>
      <w:r w:rsidR="003D6EA4">
        <w:rPr>
          <w:rFonts w:cs="Calibri"/>
          <w:bCs/>
          <w:sz w:val="24"/>
          <w:szCs w:val="24"/>
        </w:rPr>
        <w:t xml:space="preserve">by accountability mechanisms and coordinated </w:t>
      </w:r>
      <w:r w:rsidR="00C90F0C" w:rsidRPr="00D31C6E">
        <w:rPr>
          <w:rFonts w:cs="Calibri"/>
          <w:bCs/>
          <w:sz w:val="24"/>
          <w:szCs w:val="24"/>
        </w:rPr>
        <w:t xml:space="preserve">investment in </w:t>
      </w:r>
      <w:r w:rsidR="00340B70">
        <w:rPr>
          <w:rFonts w:cs="Calibri"/>
          <w:bCs/>
          <w:sz w:val="24"/>
          <w:szCs w:val="24"/>
        </w:rPr>
        <w:t xml:space="preserve">concrete </w:t>
      </w:r>
      <w:r w:rsidR="00C90F0C" w:rsidRPr="00D31C6E">
        <w:rPr>
          <w:rFonts w:cs="Calibri"/>
          <w:bCs/>
          <w:sz w:val="24"/>
          <w:szCs w:val="24"/>
        </w:rPr>
        <w:t xml:space="preserve">actions across governments </w:t>
      </w:r>
      <w:r w:rsidR="00340B70">
        <w:rPr>
          <w:rFonts w:cs="Calibri"/>
          <w:bCs/>
          <w:sz w:val="24"/>
          <w:szCs w:val="24"/>
        </w:rPr>
        <w:t xml:space="preserve">and jurisdictions </w:t>
      </w:r>
      <w:r w:rsidR="009E5FD3">
        <w:rPr>
          <w:rFonts w:cs="Calibri"/>
          <w:bCs/>
          <w:sz w:val="24"/>
          <w:szCs w:val="24"/>
        </w:rPr>
        <w:t xml:space="preserve">in order to achieve </w:t>
      </w:r>
      <w:r w:rsidR="009E5FD3" w:rsidRPr="00D31C6E">
        <w:rPr>
          <w:rFonts w:cs="Calibri"/>
          <w:sz w:val="24"/>
          <w:szCs w:val="24"/>
          <w:lang w:val="en-US"/>
        </w:rPr>
        <w:t>full inclusion and substantive equality for people with disability across all spheres of community life and</w:t>
      </w:r>
      <w:r w:rsidR="009E5FD3">
        <w:rPr>
          <w:rFonts w:cs="Calibri"/>
          <w:sz w:val="24"/>
          <w:szCs w:val="24"/>
          <w:lang w:val="en-US"/>
        </w:rPr>
        <w:t xml:space="preserve"> </w:t>
      </w:r>
      <w:r w:rsidR="009E5FD3" w:rsidRPr="00D31C6E">
        <w:rPr>
          <w:rFonts w:cs="Calibri"/>
          <w:sz w:val="24"/>
          <w:szCs w:val="24"/>
          <w:lang w:val="en-US"/>
        </w:rPr>
        <w:t>mainstream services, such as transport, education, communications and information access, jobs, rights protection and justice, housing and healthcare.</w:t>
      </w:r>
      <w:r w:rsidR="00C90F0C" w:rsidRPr="00D31C6E">
        <w:rPr>
          <w:rFonts w:cs="Calibri"/>
          <w:bCs/>
          <w:sz w:val="24"/>
          <w:szCs w:val="24"/>
        </w:rPr>
        <w:t xml:space="preserve"> </w:t>
      </w:r>
    </w:p>
    <w:p w14:paraId="0AEEB04B" w14:textId="29A807F7" w:rsidR="00FC59CE" w:rsidRDefault="00FC59CE" w:rsidP="009E5F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51" w:hanging="851"/>
        <w:rPr>
          <w:rFonts w:cs="Calibri"/>
          <w:bCs/>
          <w:sz w:val="24"/>
          <w:szCs w:val="24"/>
        </w:rPr>
      </w:pPr>
      <w:r>
        <w:rPr>
          <w:rFonts w:cs="Calibri"/>
          <w:bCs/>
          <w:sz w:val="24"/>
          <w:szCs w:val="24"/>
        </w:rPr>
        <w:t>3.2.12</w:t>
      </w:r>
      <w:r>
        <w:rPr>
          <w:rFonts w:cs="Calibri"/>
          <w:bCs/>
          <w:sz w:val="24"/>
          <w:szCs w:val="24"/>
        </w:rPr>
        <w:tab/>
        <w:t>Recommendations</w:t>
      </w:r>
      <w:r w:rsidR="00EF61FA">
        <w:rPr>
          <w:rFonts w:cs="Calibri"/>
          <w:bCs/>
          <w:sz w:val="24"/>
          <w:szCs w:val="24"/>
        </w:rPr>
        <w:t>:</w:t>
      </w:r>
    </w:p>
    <w:p w14:paraId="65F39A46" w14:textId="2C8A97D6" w:rsidR="009E5FD3" w:rsidRDefault="00AE60C5" w:rsidP="009251C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51"/>
        <w:rPr>
          <w:rFonts w:cs="Calibri"/>
          <w:b/>
          <w:bCs/>
          <w:i/>
          <w:sz w:val="24"/>
          <w:szCs w:val="24"/>
        </w:rPr>
      </w:pPr>
      <w:r>
        <w:rPr>
          <w:rFonts w:cs="Calibri"/>
          <w:b/>
          <w:bCs/>
          <w:i/>
          <w:sz w:val="24"/>
          <w:szCs w:val="24"/>
        </w:rPr>
        <w:t>To reflect</w:t>
      </w:r>
      <w:r w:rsidR="009E5FD3" w:rsidRPr="009E5FD3">
        <w:rPr>
          <w:rFonts w:cs="Calibri"/>
          <w:b/>
          <w:bCs/>
          <w:i/>
          <w:sz w:val="24"/>
          <w:szCs w:val="24"/>
        </w:rPr>
        <w:t xml:space="preserve"> the reaffirmed commitment to the NDS, we strongly recommend that governments at all levels:</w:t>
      </w:r>
    </w:p>
    <w:p w14:paraId="6DA4F80F" w14:textId="03E3DE6F" w:rsidR="009E5FD3" w:rsidRPr="009251C7" w:rsidRDefault="00AE60C5" w:rsidP="00AE60C5">
      <w:pPr>
        <w:pStyle w:val="ListParagraph"/>
        <w:widowControl w:val="0"/>
        <w:numPr>
          <w:ilvl w:val="0"/>
          <w:numId w:val="34"/>
        </w:numPr>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276" w:hanging="425"/>
        <w:contextualSpacing w:val="0"/>
        <w:rPr>
          <w:rFonts w:cs="Calibri"/>
          <w:b/>
          <w:bCs/>
          <w:i/>
          <w:sz w:val="24"/>
          <w:szCs w:val="24"/>
        </w:rPr>
      </w:pPr>
      <w:r>
        <w:rPr>
          <w:rFonts w:cs="Calibri"/>
          <w:b/>
          <w:bCs/>
          <w:i/>
          <w:sz w:val="24"/>
          <w:szCs w:val="24"/>
        </w:rPr>
        <w:t xml:space="preserve">commit to and </w:t>
      </w:r>
      <w:r w:rsidRPr="009E5FD3">
        <w:rPr>
          <w:rFonts w:cs="Calibri"/>
          <w:b/>
          <w:bCs/>
          <w:i/>
          <w:sz w:val="24"/>
          <w:szCs w:val="24"/>
        </w:rPr>
        <w:t>fully resource</w:t>
      </w:r>
      <w:r>
        <w:rPr>
          <w:rFonts w:cs="Calibri"/>
          <w:b/>
          <w:bCs/>
          <w:i/>
          <w:sz w:val="24"/>
          <w:szCs w:val="24"/>
        </w:rPr>
        <w:t xml:space="preserve"> </w:t>
      </w:r>
      <w:r w:rsidR="009E5FD3">
        <w:rPr>
          <w:rFonts w:cs="Calibri"/>
          <w:b/>
          <w:bCs/>
          <w:i/>
          <w:sz w:val="24"/>
          <w:szCs w:val="24"/>
        </w:rPr>
        <w:t>a range of specific, concrete</w:t>
      </w:r>
      <w:r w:rsidR="00D31C6E" w:rsidRPr="009E5FD3">
        <w:rPr>
          <w:rFonts w:cs="Calibri"/>
          <w:b/>
          <w:bCs/>
          <w:i/>
          <w:sz w:val="24"/>
          <w:szCs w:val="24"/>
        </w:rPr>
        <w:t xml:space="preserve"> measures</w:t>
      </w:r>
      <w:r w:rsidR="009E5FD3">
        <w:rPr>
          <w:rFonts w:cs="Calibri"/>
          <w:b/>
          <w:bCs/>
          <w:i/>
          <w:sz w:val="24"/>
          <w:szCs w:val="24"/>
        </w:rPr>
        <w:t xml:space="preserve">, </w:t>
      </w:r>
      <w:r w:rsidR="009E5FD3" w:rsidRPr="009E5FD3">
        <w:rPr>
          <w:rFonts w:cs="Calibri"/>
          <w:b/>
          <w:bCs/>
          <w:i/>
          <w:sz w:val="24"/>
          <w:szCs w:val="24"/>
          <w:lang w:val="en-US"/>
        </w:rPr>
        <w:t xml:space="preserve">including strategies </w:t>
      </w:r>
      <w:r w:rsidR="009E5FD3">
        <w:rPr>
          <w:rFonts w:cs="Calibri"/>
          <w:b/>
          <w:bCs/>
          <w:i/>
          <w:sz w:val="24"/>
          <w:szCs w:val="24"/>
          <w:lang w:val="en-US"/>
        </w:rPr>
        <w:t xml:space="preserve">and initiatives </w:t>
      </w:r>
      <w:r w:rsidR="009E5FD3" w:rsidRPr="009E5FD3">
        <w:rPr>
          <w:rFonts w:cs="Calibri"/>
          <w:b/>
          <w:bCs/>
          <w:i/>
          <w:sz w:val="24"/>
          <w:szCs w:val="24"/>
          <w:lang w:val="en-US"/>
        </w:rPr>
        <w:t xml:space="preserve">to address </w:t>
      </w:r>
      <w:r w:rsidR="009E5FD3">
        <w:rPr>
          <w:rFonts w:cs="Calibri"/>
          <w:b/>
          <w:i/>
          <w:sz w:val="24"/>
          <w:szCs w:val="24"/>
          <w:lang w:val="en-US"/>
        </w:rPr>
        <w:t>justice and rights protection</w:t>
      </w:r>
      <w:r w:rsidR="009E5FD3" w:rsidRPr="009E5FD3">
        <w:rPr>
          <w:rFonts w:cs="Calibri"/>
          <w:b/>
          <w:i/>
          <w:sz w:val="24"/>
          <w:szCs w:val="24"/>
          <w:lang w:val="en-US"/>
        </w:rPr>
        <w:t xml:space="preserve">, </w:t>
      </w:r>
      <w:r w:rsidR="009E5FD3">
        <w:rPr>
          <w:rFonts w:cs="Calibri"/>
          <w:b/>
          <w:i/>
          <w:sz w:val="24"/>
          <w:szCs w:val="24"/>
          <w:lang w:val="en-US"/>
        </w:rPr>
        <w:t xml:space="preserve">universally designed </w:t>
      </w:r>
      <w:r w:rsidR="009E5FD3" w:rsidRPr="009E5FD3">
        <w:rPr>
          <w:rFonts w:cs="Calibri"/>
          <w:b/>
          <w:i/>
          <w:sz w:val="24"/>
          <w:szCs w:val="24"/>
          <w:lang w:val="en-US"/>
        </w:rPr>
        <w:t xml:space="preserve">housing, employment and accessibility </w:t>
      </w:r>
      <w:r w:rsidR="009E5FD3">
        <w:rPr>
          <w:rFonts w:cs="Calibri"/>
          <w:b/>
          <w:i/>
          <w:sz w:val="24"/>
          <w:szCs w:val="24"/>
          <w:lang w:val="en-US"/>
        </w:rPr>
        <w:t>in terms of communications, premises, transport, inclusive education and health, as well as leadership and civic participation.</w:t>
      </w:r>
    </w:p>
    <w:p w14:paraId="6239CC27" w14:textId="095A33AD" w:rsidR="009251C7" w:rsidRPr="009E5FD3" w:rsidRDefault="009251C7" w:rsidP="00AE60C5">
      <w:pPr>
        <w:pStyle w:val="ListParagraph"/>
        <w:widowControl w:val="0"/>
        <w:numPr>
          <w:ilvl w:val="0"/>
          <w:numId w:val="34"/>
        </w:numPr>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276" w:hanging="425"/>
        <w:contextualSpacing w:val="0"/>
        <w:rPr>
          <w:rFonts w:cs="Calibri"/>
          <w:b/>
          <w:bCs/>
          <w:i/>
          <w:sz w:val="24"/>
          <w:szCs w:val="24"/>
        </w:rPr>
      </w:pPr>
      <w:r>
        <w:rPr>
          <w:rFonts w:cs="Calibri"/>
          <w:b/>
          <w:i/>
          <w:sz w:val="24"/>
          <w:szCs w:val="24"/>
          <w:lang w:val="en-US"/>
        </w:rPr>
        <w:t xml:space="preserve">develop a mechanism to ensure that existing and emerging issues consistently raised by DPOs, disability representative and advocacy organisations are incorporated into the work of the NDS.    </w:t>
      </w:r>
    </w:p>
    <w:p w14:paraId="5AD0FA56" w14:textId="77777777" w:rsidR="00AE60C5" w:rsidRPr="00AE60C5" w:rsidRDefault="00AE60C5" w:rsidP="00AE60C5">
      <w:pPr>
        <w:pStyle w:val="ListParagraph"/>
        <w:widowControl w:val="0"/>
        <w:numPr>
          <w:ilvl w:val="0"/>
          <w:numId w:val="34"/>
        </w:numPr>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276" w:hanging="425"/>
        <w:contextualSpacing w:val="0"/>
        <w:rPr>
          <w:rFonts w:cs="Calibri"/>
          <w:b/>
          <w:bCs/>
          <w:i/>
          <w:sz w:val="24"/>
          <w:szCs w:val="24"/>
        </w:rPr>
      </w:pPr>
      <w:r>
        <w:rPr>
          <w:rFonts w:cs="Calibri"/>
          <w:b/>
          <w:bCs/>
          <w:i/>
          <w:sz w:val="24"/>
          <w:szCs w:val="24"/>
          <w:lang w:val="en-US"/>
        </w:rPr>
        <w:t xml:space="preserve">ensure that findings from government </w:t>
      </w:r>
      <w:r w:rsidR="005A2E44">
        <w:rPr>
          <w:rFonts w:cs="Calibri"/>
          <w:b/>
          <w:bCs/>
          <w:i/>
          <w:sz w:val="24"/>
          <w:szCs w:val="24"/>
          <w:lang w:val="en-US"/>
        </w:rPr>
        <w:t xml:space="preserve">reviews and </w:t>
      </w:r>
      <w:r>
        <w:rPr>
          <w:rFonts w:cs="Calibri"/>
          <w:b/>
          <w:bCs/>
          <w:i/>
          <w:sz w:val="24"/>
          <w:szCs w:val="24"/>
          <w:lang w:val="en-US"/>
        </w:rPr>
        <w:t xml:space="preserve">parliamentary inquiries are considered by COAG for inclusion within the NDS and its implementation plans. </w:t>
      </w:r>
    </w:p>
    <w:p w14:paraId="6B22858A" w14:textId="22A25D23" w:rsidR="00D31C6E" w:rsidRPr="00AE60C5" w:rsidRDefault="00AE60C5" w:rsidP="00AE60C5">
      <w:pPr>
        <w:pStyle w:val="ListParagraph"/>
        <w:widowControl w:val="0"/>
        <w:numPr>
          <w:ilvl w:val="0"/>
          <w:numId w:val="34"/>
        </w:numPr>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276" w:hanging="425"/>
        <w:contextualSpacing w:val="0"/>
        <w:rPr>
          <w:rFonts w:cs="Calibri"/>
          <w:b/>
          <w:bCs/>
          <w:i/>
          <w:sz w:val="24"/>
          <w:szCs w:val="24"/>
        </w:rPr>
      </w:pPr>
      <w:r w:rsidRPr="00AE60C5">
        <w:rPr>
          <w:rFonts w:cs="Calibri"/>
          <w:b/>
          <w:bCs/>
          <w:i/>
          <w:sz w:val="24"/>
          <w:szCs w:val="24"/>
          <w:lang w:val="en-US"/>
        </w:rPr>
        <w:t xml:space="preserve">develop </w:t>
      </w:r>
      <w:r>
        <w:rPr>
          <w:rFonts w:cs="Calibri"/>
          <w:b/>
          <w:bCs/>
          <w:i/>
          <w:sz w:val="24"/>
          <w:szCs w:val="24"/>
        </w:rPr>
        <w:t xml:space="preserve">a strengthened, nationally consistent </w:t>
      </w:r>
      <w:r w:rsidR="00B772AC">
        <w:rPr>
          <w:rFonts w:cs="Calibri"/>
          <w:b/>
          <w:bCs/>
          <w:i/>
          <w:sz w:val="24"/>
          <w:szCs w:val="24"/>
        </w:rPr>
        <w:t xml:space="preserve">performance, accountability and </w:t>
      </w:r>
      <w:r w:rsidR="00D31C6E" w:rsidRPr="00AE60C5">
        <w:rPr>
          <w:rFonts w:cs="Calibri"/>
          <w:b/>
          <w:bCs/>
          <w:i/>
          <w:sz w:val="24"/>
          <w:szCs w:val="24"/>
        </w:rPr>
        <w:t xml:space="preserve">public reporting mechanism </w:t>
      </w:r>
      <w:r w:rsidR="005B48E5">
        <w:rPr>
          <w:rFonts w:cs="Calibri"/>
          <w:b/>
          <w:bCs/>
          <w:i/>
          <w:sz w:val="24"/>
          <w:szCs w:val="24"/>
        </w:rPr>
        <w:t>for</w:t>
      </w:r>
      <w:r w:rsidR="00D31C6E" w:rsidRPr="00AE60C5">
        <w:rPr>
          <w:rFonts w:cs="Calibri"/>
          <w:b/>
          <w:bCs/>
          <w:i/>
          <w:sz w:val="24"/>
          <w:szCs w:val="24"/>
        </w:rPr>
        <w:t xml:space="preserve"> the NDS </w:t>
      </w:r>
      <w:r w:rsidR="005A2E44">
        <w:rPr>
          <w:rFonts w:cs="Calibri"/>
          <w:b/>
          <w:bCs/>
          <w:i/>
          <w:sz w:val="24"/>
          <w:szCs w:val="24"/>
        </w:rPr>
        <w:t xml:space="preserve">that </w:t>
      </w:r>
      <w:r w:rsidR="00141B1A">
        <w:rPr>
          <w:rFonts w:cs="Calibri"/>
          <w:b/>
          <w:bCs/>
          <w:i/>
          <w:sz w:val="24"/>
          <w:szCs w:val="24"/>
        </w:rPr>
        <w:t xml:space="preserve">ensures </w:t>
      </w:r>
      <w:r w:rsidR="00D31C6E" w:rsidRPr="00AE60C5">
        <w:rPr>
          <w:rFonts w:cs="Calibri"/>
          <w:b/>
          <w:bCs/>
          <w:i/>
          <w:sz w:val="24"/>
          <w:szCs w:val="24"/>
        </w:rPr>
        <w:t xml:space="preserve">transparent accountability measures within </w:t>
      </w:r>
      <w:r w:rsidR="00716CDD">
        <w:rPr>
          <w:rFonts w:cs="Calibri"/>
          <w:b/>
          <w:bCs/>
          <w:i/>
          <w:sz w:val="24"/>
          <w:szCs w:val="24"/>
        </w:rPr>
        <w:t>all levels of government</w:t>
      </w:r>
      <w:r w:rsidR="00141B1A">
        <w:rPr>
          <w:rFonts w:cs="Calibri"/>
          <w:b/>
          <w:bCs/>
          <w:i/>
          <w:sz w:val="24"/>
          <w:szCs w:val="24"/>
        </w:rPr>
        <w:t xml:space="preserve"> to the six policy outcome areas</w:t>
      </w:r>
      <w:r w:rsidR="00716CDD">
        <w:rPr>
          <w:rFonts w:cs="Calibri"/>
          <w:b/>
          <w:bCs/>
          <w:i/>
          <w:sz w:val="24"/>
          <w:szCs w:val="24"/>
        </w:rPr>
        <w:t>.</w:t>
      </w:r>
      <w:r w:rsidR="00D31C6E" w:rsidRPr="00AE60C5">
        <w:rPr>
          <w:rFonts w:cs="Calibri"/>
          <w:b/>
          <w:bCs/>
          <w:i/>
          <w:sz w:val="24"/>
          <w:szCs w:val="24"/>
        </w:rPr>
        <w:t xml:space="preserve"> </w:t>
      </w:r>
    </w:p>
    <w:p w14:paraId="2CD5F14C" w14:textId="657D75C2" w:rsidR="000C4B73" w:rsidRDefault="000C4B73" w:rsidP="000C4B73">
      <w:pPr>
        <w:pStyle w:val="Heading2"/>
      </w:pPr>
      <w:bookmarkStart w:id="6" w:name="_Toc481945260"/>
      <w:r>
        <w:lastRenderedPageBreak/>
        <w:t>3.3</w:t>
      </w:r>
      <w:r>
        <w:tab/>
        <w:t xml:space="preserve">Engagement </w:t>
      </w:r>
      <w:r w:rsidR="009C5022">
        <w:t>with people with disability</w:t>
      </w:r>
      <w:bookmarkEnd w:id="6"/>
    </w:p>
    <w:p w14:paraId="08BF55C6" w14:textId="43F24FD5" w:rsidR="00E61EE9" w:rsidRDefault="000C4B73" w:rsidP="000C4B7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cs="Calibri"/>
          <w:sz w:val="24"/>
          <w:szCs w:val="24"/>
        </w:rPr>
      </w:pPr>
      <w:r>
        <w:rPr>
          <w:rFonts w:cs="Calibri"/>
          <w:sz w:val="24"/>
          <w:szCs w:val="24"/>
        </w:rPr>
        <w:t xml:space="preserve">3.3.1 </w:t>
      </w:r>
      <w:r>
        <w:rPr>
          <w:rFonts w:cs="Calibri"/>
          <w:sz w:val="24"/>
          <w:szCs w:val="24"/>
        </w:rPr>
        <w:tab/>
      </w:r>
      <w:r w:rsidR="001961D0">
        <w:rPr>
          <w:rFonts w:cs="Calibri"/>
          <w:sz w:val="24"/>
          <w:szCs w:val="24"/>
        </w:rPr>
        <w:t>In line with the CRPD, t</w:t>
      </w:r>
      <w:r w:rsidR="00752A63">
        <w:rPr>
          <w:rFonts w:cs="Calibri"/>
          <w:sz w:val="24"/>
          <w:szCs w:val="24"/>
        </w:rPr>
        <w:t xml:space="preserve">he NDS recognises that </w:t>
      </w:r>
      <w:r w:rsidR="00E61EE9">
        <w:rPr>
          <w:rFonts w:cs="Calibri"/>
          <w:sz w:val="24"/>
          <w:szCs w:val="24"/>
        </w:rPr>
        <w:t>governments at all levels need to “work collaboratively with people with disability and their representative organisations” to implement the strategy,</w:t>
      </w:r>
      <w:r>
        <w:rPr>
          <w:rStyle w:val="FootnoteReference"/>
          <w:rFonts w:cs="Calibri"/>
          <w:sz w:val="24"/>
          <w:szCs w:val="24"/>
        </w:rPr>
        <w:footnoteReference w:id="34"/>
      </w:r>
      <w:r w:rsidR="00E61EE9">
        <w:rPr>
          <w:rFonts w:cs="Calibri"/>
          <w:sz w:val="24"/>
          <w:szCs w:val="24"/>
        </w:rPr>
        <w:t xml:space="preserve"> and that “the expressed views, lived experience and ongoing advice of people with disability” need to be “reflected in the development of policies and programs that affect their lives”.</w:t>
      </w:r>
      <w:r>
        <w:rPr>
          <w:rStyle w:val="FootnoteReference"/>
          <w:rFonts w:cs="Calibri"/>
          <w:sz w:val="24"/>
          <w:szCs w:val="24"/>
        </w:rPr>
        <w:footnoteReference w:id="35"/>
      </w:r>
      <w:r w:rsidR="00E61EE9">
        <w:rPr>
          <w:rFonts w:cs="Calibri"/>
          <w:sz w:val="24"/>
          <w:szCs w:val="24"/>
        </w:rPr>
        <w:t xml:space="preserve">  </w:t>
      </w:r>
    </w:p>
    <w:p w14:paraId="11818208" w14:textId="79ED022F" w:rsidR="009A4D5F" w:rsidRDefault="00CF2B65" w:rsidP="00CF2B65">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cs="Calibri"/>
          <w:sz w:val="24"/>
          <w:szCs w:val="24"/>
        </w:rPr>
      </w:pPr>
      <w:r>
        <w:rPr>
          <w:rFonts w:cs="Calibri"/>
          <w:sz w:val="24"/>
          <w:szCs w:val="24"/>
        </w:rPr>
        <w:t>3.3.2</w:t>
      </w:r>
      <w:r>
        <w:rPr>
          <w:rFonts w:cs="Calibri"/>
          <w:sz w:val="24"/>
          <w:szCs w:val="24"/>
        </w:rPr>
        <w:tab/>
      </w:r>
      <w:r w:rsidR="00C0676B">
        <w:rPr>
          <w:rFonts w:cs="Calibri"/>
          <w:sz w:val="24"/>
          <w:szCs w:val="24"/>
        </w:rPr>
        <w:t xml:space="preserve">While there has been opportunity to provide feedback to DSS regarding the progress of the NDS and the development of the Second Implementation Plan, these opportunities </w:t>
      </w:r>
      <w:r w:rsidR="00E96F0B">
        <w:rPr>
          <w:rFonts w:cs="Calibri"/>
          <w:sz w:val="24"/>
          <w:szCs w:val="24"/>
        </w:rPr>
        <w:t xml:space="preserve">often </w:t>
      </w:r>
      <w:r w:rsidR="00C0676B">
        <w:rPr>
          <w:rFonts w:cs="Calibri"/>
          <w:sz w:val="24"/>
          <w:szCs w:val="24"/>
        </w:rPr>
        <w:t xml:space="preserve">rely on one-off consultation forums and meetings, and the provision of written submissions.  There is no ‘built-in’ engagement mechanism for people </w:t>
      </w:r>
      <w:r w:rsidR="004333C8">
        <w:rPr>
          <w:rFonts w:cs="Calibri"/>
          <w:sz w:val="24"/>
          <w:szCs w:val="24"/>
        </w:rPr>
        <w:t>with disability</w:t>
      </w:r>
      <w:r>
        <w:rPr>
          <w:rFonts w:cs="Calibri"/>
          <w:sz w:val="24"/>
          <w:szCs w:val="24"/>
        </w:rPr>
        <w:t xml:space="preserve"> to genuinely inform design, implementation and evaluation of the NDS</w:t>
      </w:r>
      <w:r w:rsidR="004333C8">
        <w:rPr>
          <w:rFonts w:cs="Calibri"/>
          <w:sz w:val="24"/>
          <w:szCs w:val="24"/>
        </w:rPr>
        <w:t>.</w:t>
      </w:r>
    </w:p>
    <w:p w14:paraId="1C893723" w14:textId="1F6B8E24" w:rsidR="00681B59" w:rsidRDefault="00CF2B65" w:rsidP="00CF2B65">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cs="Calibri"/>
          <w:sz w:val="24"/>
          <w:szCs w:val="24"/>
        </w:rPr>
      </w:pPr>
      <w:r>
        <w:rPr>
          <w:rFonts w:cs="Calibri"/>
          <w:sz w:val="24"/>
          <w:szCs w:val="24"/>
        </w:rPr>
        <w:t>3.3.3</w:t>
      </w:r>
      <w:r>
        <w:rPr>
          <w:rFonts w:cs="Calibri"/>
          <w:sz w:val="24"/>
          <w:szCs w:val="24"/>
        </w:rPr>
        <w:tab/>
        <w:t>S</w:t>
      </w:r>
      <w:r w:rsidR="009A4D5F">
        <w:rPr>
          <w:rFonts w:cs="Calibri"/>
          <w:sz w:val="24"/>
          <w:szCs w:val="24"/>
        </w:rPr>
        <w:t xml:space="preserve">ignificant feedback </w:t>
      </w:r>
      <w:r>
        <w:rPr>
          <w:rFonts w:cs="Calibri"/>
          <w:sz w:val="24"/>
          <w:szCs w:val="24"/>
        </w:rPr>
        <w:t xml:space="preserve">by people with disability and their representative organisations </w:t>
      </w:r>
      <w:r w:rsidR="009A4D5F">
        <w:rPr>
          <w:rFonts w:cs="Calibri"/>
          <w:sz w:val="24"/>
          <w:szCs w:val="24"/>
        </w:rPr>
        <w:t xml:space="preserve">is provided through </w:t>
      </w:r>
      <w:r>
        <w:rPr>
          <w:rFonts w:cs="Calibri"/>
          <w:sz w:val="24"/>
          <w:szCs w:val="24"/>
        </w:rPr>
        <w:t xml:space="preserve">NDS consultation </w:t>
      </w:r>
      <w:r w:rsidR="009A4D5F">
        <w:rPr>
          <w:rFonts w:cs="Calibri"/>
          <w:sz w:val="24"/>
          <w:szCs w:val="24"/>
        </w:rPr>
        <w:t>opportunities</w:t>
      </w:r>
      <w:r>
        <w:rPr>
          <w:rFonts w:cs="Calibri"/>
          <w:sz w:val="24"/>
          <w:szCs w:val="24"/>
        </w:rPr>
        <w:t xml:space="preserve">. To a </w:t>
      </w:r>
      <w:r w:rsidR="00393C0C">
        <w:rPr>
          <w:rFonts w:cs="Calibri"/>
          <w:sz w:val="24"/>
          <w:szCs w:val="24"/>
        </w:rPr>
        <w:t>limited</w:t>
      </w:r>
      <w:r>
        <w:rPr>
          <w:rFonts w:cs="Calibri"/>
          <w:sz w:val="24"/>
          <w:szCs w:val="24"/>
        </w:rPr>
        <w:t xml:space="preserve"> extent, this is reflected </w:t>
      </w:r>
      <w:r w:rsidR="009A4D5F">
        <w:rPr>
          <w:rFonts w:cs="Calibri"/>
          <w:sz w:val="24"/>
          <w:szCs w:val="24"/>
        </w:rPr>
        <w:t xml:space="preserve">in the 2014 progress report </w:t>
      </w:r>
      <w:r>
        <w:rPr>
          <w:rFonts w:cs="Calibri"/>
          <w:sz w:val="24"/>
          <w:szCs w:val="24"/>
        </w:rPr>
        <w:t xml:space="preserve">under the heading, </w:t>
      </w:r>
      <w:r w:rsidR="0027287E">
        <w:rPr>
          <w:rFonts w:cs="Calibri"/>
          <w:sz w:val="24"/>
          <w:szCs w:val="24"/>
        </w:rPr>
        <w:t>‘</w:t>
      </w:r>
      <w:r>
        <w:rPr>
          <w:rFonts w:cs="Calibri"/>
          <w:sz w:val="24"/>
          <w:szCs w:val="24"/>
        </w:rPr>
        <w:t>Stakeholder Feedback</w:t>
      </w:r>
      <w:r w:rsidR="0027287E">
        <w:rPr>
          <w:rFonts w:cs="Calibri"/>
          <w:sz w:val="24"/>
          <w:szCs w:val="24"/>
        </w:rPr>
        <w:t xml:space="preserve">’, which is included at </w:t>
      </w:r>
      <w:r>
        <w:rPr>
          <w:rFonts w:cs="Calibri"/>
          <w:sz w:val="24"/>
          <w:szCs w:val="24"/>
        </w:rPr>
        <w:t xml:space="preserve">the end of </w:t>
      </w:r>
      <w:proofErr w:type="gramStart"/>
      <w:r w:rsidR="0027287E">
        <w:rPr>
          <w:rFonts w:cs="Calibri"/>
          <w:sz w:val="24"/>
          <w:szCs w:val="24"/>
        </w:rPr>
        <w:t xml:space="preserve">the </w:t>
      </w:r>
      <w:r>
        <w:rPr>
          <w:rFonts w:cs="Calibri"/>
          <w:sz w:val="24"/>
          <w:szCs w:val="24"/>
        </w:rPr>
        <w:t>each</w:t>
      </w:r>
      <w:proofErr w:type="gramEnd"/>
      <w:r>
        <w:rPr>
          <w:rFonts w:cs="Calibri"/>
          <w:sz w:val="24"/>
          <w:szCs w:val="24"/>
        </w:rPr>
        <w:t xml:space="preserve"> policy outcome area</w:t>
      </w:r>
      <w:r w:rsidR="00393C0C">
        <w:rPr>
          <w:rFonts w:cs="Calibri"/>
          <w:sz w:val="24"/>
          <w:szCs w:val="24"/>
        </w:rPr>
        <w:t>.  Although</w:t>
      </w:r>
      <w:r>
        <w:rPr>
          <w:rFonts w:cs="Calibri"/>
          <w:sz w:val="24"/>
          <w:szCs w:val="24"/>
        </w:rPr>
        <w:t xml:space="preserve"> </w:t>
      </w:r>
      <w:r w:rsidR="009A4D5F">
        <w:rPr>
          <w:rFonts w:cs="Calibri"/>
          <w:sz w:val="24"/>
          <w:szCs w:val="24"/>
        </w:rPr>
        <w:t xml:space="preserve">this feedback </w:t>
      </w:r>
      <w:r w:rsidR="00393C0C">
        <w:rPr>
          <w:rFonts w:cs="Calibri"/>
          <w:sz w:val="24"/>
          <w:szCs w:val="24"/>
        </w:rPr>
        <w:t xml:space="preserve">is meant to </w:t>
      </w:r>
      <w:r w:rsidR="009A4D5F">
        <w:rPr>
          <w:rFonts w:cs="Calibri"/>
          <w:sz w:val="24"/>
          <w:szCs w:val="24"/>
        </w:rPr>
        <w:t>“inform the development” of</w:t>
      </w:r>
      <w:r w:rsidR="0027287E">
        <w:rPr>
          <w:rFonts w:cs="Calibri"/>
          <w:sz w:val="24"/>
          <w:szCs w:val="24"/>
        </w:rPr>
        <w:t xml:space="preserve"> the Second Implementation Plan,</w:t>
      </w:r>
      <w:r w:rsidR="0027287E">
        <w:rPr>
          <w:rStyle w:val="FootnoteReference"/>
          <w:rFonts w:cs="Calibri"/>
          <w:sz w:val="24"/>
          <w:szCs w:val="24"/>
        </w:rPr>
        <w:footnoteReference w:id="36"/>
      </w:r>
      <w:r w:rsidR="0027287E">
        <w:rPr>
          <w:rFonts w:cs="Calibri"/>
          <w:sz w:val="24"/>
          <w:szCs w:val="24"/>
        </w:rPr>
        <w:t xml:space="preserve"> </w:t>
      </w:r>
      <w:r w:rsidR="00393C0C">
        <w:rPr>
          <w:rFonts w:cs="Calibri"/>
          <w:sz w:val="24"/>
          <w:szCs w:val="24"/>
        </w:rPr>
        <w:t xml:space="preserve">the feedback is not reflected in concrete measures within the Second Implementation Plan. </w:t>
      </w:r>
    </w:p>
    <w:p w14:paraId="36C6DDE1" w14:textId="3E9F0A5D" w:rsidR="00FB26D8" w:rsidRDefault="0027287E" w:rsidP="0027287E">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asciiTheme="minorHAnsi" w:hAnsiTheme="minorHAnsi" w:cs="Calibri"/>
          <w:sz w:val="24"/>
          <w:szCs w:val="24"/>
        </w:rPr>
      </w:pPr>
      <w:r>
        <w:rPr>
          <w:rFonts w:cs="Calibri"/>
          <w:sz w:val="24"/>
          <w:szCs w:val="24"/>
        </w:rPr>
        <w:t>3.3.4</w:t>
      </w:r>
      <w:r>
        <w:rPr>
          <w:rFonts w:cs="Calibri"/>
          <w:sz w:val="24"/>
          <w:szCs w:val="24"/>
        </w:rPr>
        <w:tab/>
      </w:r>
      <w:r w:rsidR="009A4D5F" w:rsidRPr="00E96F0B">
        <w:rPr>
          <w:rFonts w:asciiTheme="minorHAnsi" w:hAnsiTheme="minorHAnsi" w:cs="Calibri"/>
          <w:sz w:val="24"/>
          <w:szCs w:val="24"/>
        </w:rPr>
        <w:t>Opportunities to incorporate the views of people with disability that are provided to the UN and to other government and parliamentary inquiries have not been acted upon</w:t>
      </w:r>
      <w:r w:rsidR="00393C0C">
        <w:rPr>
          <w:rFonts w:asciiTheme="minorHAnsi" w:hAnsiTheme="minorHAnsi" w:cs="Calibri"/>
          <w:sz w:val="24"/>
          <w:szCs w:val="24"/>
        </w:rPr>
        <w:t xml:space="preserve"> </w:t>
      </w:r>
      <w:r w:rsidR="00393C0C" w:rsidRPr="00E96F0B">
        <w:rPr>
          <w:rFonts w:asciiTheme="minorHAnsi" w:hAnsiTheme="minorHAnsi" w:cs="Calibri"/>
          <w:sz w:val="24"/>
          <w:szCs w:val="24"/>
        </w:rPr>
        <w:t xml:space="preserve">(see </w:t>
      </w:r>
      <w:r w:rsidR="00393C0C">
        <w:rPr>
          <w:rFonts w:asciiTheme="minorHAnsi" w:hAnsiTheme="minorHAnsi" w:cs="Calibri"/>
          <w:sz w:val="24"/>
          <w:szCs w:val="24"/>
        </w:rPr>
        <w:t>point 3.2.3</w:t>
      </w:r>
      <w:r w:rsidR="00393C0C" w:rsidRPr="00E96F0B">
        <w:rPr>
          <w:rFonts w:asciiTheme="minorHAnsi" w:hAnsiTheme="minorHAnsi" w:cs="Calibri"/>
          <w:sz w:val="24"/>
          <w:szCs w:val="24"/>
        </w:rPr>
        <w:t>)</w:t>
      </w:r>
      <w:r>
        <w:rPr>
          <w:rFonts w:asciiTheme="minorHAnsi" w:hAnsiTheme="minorHAnsi" w:cs="Calibri"/>
          <w:sz w:val="24"/>
          <w:szCs w:val="24"/>
        </w:rPr>
        <w:t xml:space="preserve">.  </w:t>
      </w:r>
    </w:p>
    <w:p w14:paraId="41731BFC" w14:textId="49D55ECA" w:rsidR="009C5022" w:rsidRDefault="009C5022" w:rsidP="009C502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cs="Calibri"/>
          <w:sz w:val="24"/>
          <w:szCs w:val="24"/>
        </w:rPr>
      </w:pPr>
      <w:r>
        <w:rPr>
          <w:rFonts w:asciiTheme="minorHAnsi" w:hAnsiTheme="minorHAnsi" w:cs="Calibri"/>
          <w:sz w:val="24"/>
          <w:szCs w:val="24"/>
        </w:rPr>
        <w:t>3.3.5</w:t>
      </w:r>
      <w:r>
        <w:rPr>
          <w:rFonts w:asciiTheme="minorHAnsi" w:hAnsiTheme="minorHAnsi" w:cs="Calibri"/>
          <w:sz w:val="24"/>
          <w:szCs w:val="24"/>
        </w:rPr>
        <w:tab/>
        <w:t>S</w:t>
      </w:r>
      <w:r>
        <w:rPr>
          <w:rFonts w:cs="Calibri"/>
          <w:sz w:val="24"/>
          <w:szCs w:val="24"/>
        </w:rPr>
        <w:t xml:space="preserve">ome State and Territory governments, such as NSW, have transferred funding for the work of </w:t>
      </w:r>
      <w:r w:rsidR="00D81BB1">
        <w:rPr>
          <w:rFonts w:cs="Calibri"/>
          <w:sz w:val="24"/>
          <w:szCs w:val="24"/>
        </w:rPr>
        <w:t xml:space="preserve">independent </w:t>
      </w:r>
      <w:r>
        <w:rPr>
          <w:rFonts w:cs="Calibri"/>
          <w:sz w:val="24"/>
          <w:szCs w:val="24"/>
        </w:rPr>
        <w:t>disability representative and advocacy organisations to the Commonwealth to support the NDIS.  This effectively prevents or reduces engagement opportunities for people with disability.  Consultation, feedback and engagement on State and Territory disability plans, their progress and evaluation will become extremely limited.  State and Territory governments will not be able to meet NDS obligations to work collaboratively with people with disability through their representative organisations.</w:t>
      </w:r>
    </w:p>
    <w:p w14:paraId="7FED885C" w14:textId="4F5B4175" w:rsidR="00D81BB1" w:rsidRPr="00D81BB1" w:rsidRDefault="00D81BB1" w:rsidP="00D81BB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cs="Calibri"/>
          <w:sz w:val="24"/>
          <w:szCs w:val="24"/>
        </w:rPr>
      </w:pPr>
      <w:r>
        <w:rPr>
          <w:rFonts w:cs="Calibri"/>
          <w:sz w:val="24"/>
          <w:szCs w:val="24"/>
        </w:rPr>
        <w:t>3.3.6</w:t>
      </w:r>
      <w:r>
        <w:rPr>
          <w:rFonts w:cs="Calibri"/>
          <w:sz w:val="24"/>
          <w:szCs w:val="24"/>
        </w:rPr>
        <w:tab/>
      </w:r>
      <w:r>
        <w:rPr>
          <w:rFonts w:asciiTheme="minorHAnsi" w:hAnsiTheme="minorHAnsi" w:cstheme="minorHAnsi"/>
          <w:sz w:val="24"/>
          <w:szCs w:val="24"/>
        </w:rPr>
        <w:t xml:space="preserve">Although the Commonwealth is currently reviewing the National Disability Advocacy Program (NDAP), there is no guarantee that this national program will significantly increase resources to support the local and State based advocacy and representative organisations that will lose State-based funding.  </w:t>
      </w:r>
    </w:p>
    <w:p w14:paraId="24D3707F" w14:textId="602406D7" w:rsidR="009A4D5F" w:rsidRDefault="00D81BB1" w:rsidP="00393C0C">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cs="Calibri"/>
          <w:sz w:val="24"/>
          <w:szCs w:val="24"/>
        </w:rPr>
      </w:pPr>
      <w:r>
        <w:rPr>
          <w:rFonts w:asciiTheme="minorHAnsi" w:hAnsiTheme="minorHAnsi" w:cs="Calibri"/>
          <w:sz w:val="24"/>
          <w:szCs w:val="24"/>
        </w:rPr>
        <w:t>3.3.7</w:t>
      </w:r>
      <w:r w:rsidR="00393C0C">
        <w:rPr>
          <w:rFonts w:asciiTheme="minorHAnsi" w:hAnsiTheme="minorHAnsi" w:cs="Calibri"/>
          <w:sz w:val="24"/>
          <w:szCs w:val="24"/>
        </w:rPr>
        <w:tab/>
      </w:r>
      <w:r w:rsidR="009A4D5F">
        <w:rPr>
          <w:rFonts w:cs="Calibri"/>
          <w:sz w:val="24"/>
          <w:szCs w:val="24"/>
        </w:rPr>
        <w:t>A Disability Ministers’</w:t>
      </w:r>
      <w:r w:rsidR="004333C8">
        <w:rPr>
          <w:rFonts w:cs="Calibri"/>
          <w:sz w:val="24"/>
          <w:szCs w:val="24"/>
        </w:rPr>
        <w:t xml:space="preserve"> National Forum was held in Feb</w:t>
      </w:r>
      <w:r w:rsidR="00393C0C">
        <w:rPr>
          <w:rFonts w:cs="Calibri"/>
          <w:sz w:val="24"/>
          <w:szCs w:val="24"/>
        </w:rPr>
        <w:t xml:space="preserve">ruary </w:t>
      </w:r>
      <w:r w:rsidR="004333C8">
        <w:rPr>
          <w:rFonts w:cs="Calibri"/>
          <w:sz w:val="24"/>
          <w:szCs w:val="24"/>
        </w:rPr>
        <w:t xml:space="preserve">2015 to enable </w:t>
      </w:r>
      <w:r w:rsidR="004333C8">
        <w:rPr>
          <w:rFonts w:cs="Calibri"/>
          <w:sz w:val="24"/>
          <w:szCs w:val="24"/>
        </w:rPr>
        <w:lastRenderedPageBreak/>
        <w:t>“representatives of people with disability [to] engage with disability ministers from across Australia, and the Australian Local Government Association, about the ongoing implementation of the strategy”.</w:t>
      </w:r>
      <w:r w:rsidR="00393C0C">
        <w:rPr>
          <w:rStyle w:val="FootnoteReference"/>
          <w:rFonts w:cs="Calibri"/>
          <w:sz w:val="24"/>
          <w:szCs w:val="24"/>
        </w:rPr>
        <w:footnoteReference w:id="37"/>
      </w:r>
      <w:r w:rsidR="004333C8">
        <w:rPr>
          <w:rFonts w:cs="Calibri"/>
          <w:sz w:val="24"/>
          <w:szCs w:val="24"/>
        </w:rPr>
        <w:t xml:space="preserve"> </w:t>
      </w:r>
      <w:r w:rsidR="00393C0C">
        <w:rPr>
          <w:rFonts w:cs="Calibri"/>
          <w:sz w:val="24"/>
          <w:szCs w:val="24"/>
        </w:rPr>
        <w:t xml:space="preserve"> </w:t>
      </w:r>
      <w:r w:rsidR="004333C8">
        <w:rPr>
          <w:rFonts w:cs="Calibri"/>
          <w:sz w:val="24"/>
          <w:szCs w:val="24"/>
        </w:rPr>
        <w:t xml:space="preserve">This Forum was welcomed by disability representative organisations </w:t>
      </w:r>
      <w:r w:rsidR="00393C0C">
        <w:rPr>
          <w:rFonts w:cs="Calibri"/>
          <w:sz w:val="24"/>
          <w:szCs w:val="24"/>
        </w:rPr>
        <w:t xml:space="preserve">as it provided an opportunity </w:t>
      </w:r>
      <w:r w:rsidR="004333C8">
        <w:rPr>
          <w:rFonts w:cs="Calibri"/>
          <w:sz w:val="24"/>
          <w:szCs w:val="24"/>
        </w:rPr>
        <w:t xml:space="preserve">to discuss a range of topics across the six </w:t>
      </w:r>
      <w:r w:rsidR="00393C0C">
        <w:rPr>
          <w:rFonts w:cs="Calibri"/>
          <w:sz w:val="24"/>
          <w:szCs w:val="24"/>
        </w:rPr>
        <w:t xml:space="preserve">policy </w:t>
      </w:r>
      <w:r w:rsidR="004333C8">
        <w:rPr>
          <w:rFonts w:cs="Calibri"/>
          <w:sz w:val="24"/>
          <w:szCs w:val="24"/>
        </w:rPr>
        <w:t>outcome areas of the NDS.  It demonstrated COAG commitment to hearing the views of people with disability.  Th</w:t>
      </w:r>
      <w:r w:rsidR="00393C0C">
        <w:rPr>
          <w:rFonts w:cs="Calibri"/>
          <w:sz w:val="24"/>
          <w:szCs w:val="24"/>
        </w:rPr>
        <w:t xml:space="preserve">ere was a commitment to conduct this </w:t>
      </w:r>
      <w:r w:rsidR="004333C8">
        <w:rPr>
          <w:rFonts w:cs="Calibri"/>
          <w:sz w:val="24"/>
          <w:szCs w:val="24"/>
        </w:rPr>
        <w:t xml:space="preserve">Forum every two years, but a second forum has not been held, nor is it identified </w:t>
      </w:r>
      <w:r w:rsidR="009F301F">
        <w:rPr>
          <w:rFonts w:cs="Calibri"/>
          <w:sz w:val="24"/>
          <w:szCs w:val="24"/>
        </w:rPr>
        <w:t xml:space="preserve">as a commitment </w:t>
      </w:r>
      <w:r w:rsidR="004333C8">
        <w:rPr>
          <w:rFonts w:cs="Calibri"/>
          <w:sz w:val="24"/>
          <w:szCs w:val="24"/>
        </w:rPr>
        <w:t xml:space="preserve">in the Second Implementation Plan.  </w:t>
      </w:r>
    </w:p>
    <w:p w14:paraId="0CD3AB22" w14:textId="5B80E3A8" w:rsidR="00E00845" w:rsidRDefault="00D81BB1" w:rsidP="00A84AE8">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cs="Calibri"/>
          <w:sz w:val="24"/>
          <w:szCs w:val="24"/>
        </w:rPr>
      </w:pPr>
      <w:r>
        <w:rPr>
          <w:rFonts w:asciiTheme="minorHAnsi" w:hAnsiTheme="minorHAnsi" w:cs="Calibri"/>
          <w:sz w:val="24"/>
          <w:szCs w:val="24"/>
        </w:rPr>
        <w:t>3.3.8</w:t>
      </w:r>
      <w:r w:rsidR="00A84AE8">
        <w:rPr>
          <w:rFonts w:asciiTheme="minorHAnsi" w:hAnsiTheme="minorHAnsi" w:cs="Calibri"/>
          <w:sz w:val="24"/>
          <w:szCs w:val="24"/>
        </w:rPr>
        <w:tab/>
      </w:r>
      <w:r w:rsidR="00E00845">
        <w:rPr>
          <w:rFonts w:cs="Calibri"/>
          <w:sz w:val="24"/>
          <w:szCs w:val="24"/>
        </w:rPr>
        <w:t xml:space="preserve">Although important, </w:t>
      </w:r>
      <w:r w:rsidR="00A84AE8">
        <w:rPr>
          <w:rFonts w:cs="Calibri"/>
          <w:sz w:val="24"/>
          <w:szCs w:val="24"/>
        </w:rPr>
        <w:t>formal</w:t>
      </w:r>
      <w:r w:rsidR="00E00845">
        <w:rPr>
          <w:rFonts w:cs="Calibri"/>
          <w:sz w:val="24"/>
          <w:szCs w:val="24"/>
        </w:rPr>
        <w:t xml:space="preserve"> feedback and </w:t>
      </w:r>
      <w:r w:rsidR="00A84AE8">
        <w:rPr>
          <w:rFonts w:cs="Calibri"/>
          <w:sz w:val="24"/>
          <w:szCs w:val="24"/>
        </w:rPr>
        <w:t>consultation</w:t>
      </w:r>
      <w:r w:rsidR="00E00845">
        <w:rPr>
          <w:rFonts w:cs="Calibri"/>
          <w:sz w:val="24"/>
          <w:szCs w:val="24"/>
        </w:rPr>
        <w:t xml:space="preserve"> opportunities </w:t>
      </w:r>
      <w:r w:rsidR="00A84AE8">
        <w:rPr>
          <w:rFonts w:cs="Calibri"/>
          <w:sz w:val="24"/>
          <w:szCs w:val="24"/>
        </w:rPr>
        <w:t xml:space="preserve">on the NDS </w:t>
      </w:r>
      <w:r w:rsidR="00E00845">
        <w:rPr>
          <w:rFonts w:cs="Calibri"/>
          <w:sz w:val="24"/>
          <w:szCs w:val="24"/>
        </w:rPr>
        <w:t xml:space="preserve">are </w:t>
      </w:r>
      <w:r w:rsidR="00A84AE8">
        <w:rPr>
          <w:rFonts w:cs="Calibri"/>
          <w:sz w:val="24"/>
          <w:szCs w:val="24"/>
        </w:rPr>
        <w:t xml:space="preserve">largely </w:t>
      </w:r>
      <w:r w:rsidR="00E00845">
        <w:rPr>
          <w:rFonts w:cs="Calibri"/>
          <w:sz w:val="24"/>
          <w:szCs w:val="24"/>
        </w:rPr>
        <w:t>confined to DSS and disability ministers</w:t>
      </w:r>
      <w:r w:rsidR="00A84AE8">
        <w:rPr>
          <w:rFonts w:cs="Calibri"/>
          <w:sz w:val="24"/>
          <w:szCs w:val="24"/>
        </w:rPr>
        <w:t>.</w:t>
      </w:r>
      <w:r w:rsidR="00E00845">
        <w:rPr>
          <w:rFonts w:cs="Calibri"/>
          <w:sz w:val="24"/>
          <w:szCs w:val="24"/>
        </w:rPr>
        <w:t xml:space="preserve"> There is </w:t>
      </w:r>
      <w:r w:rsidR="007A417A">
        <w:rPr>
          <w:rFonts w:cs="Calibri"/>
          <w:sz w:val="24"/>
          <w:szCs w:val="24"/>
        </w:rPr>
        <w:t xml:space="preserve">little to </w:t>
      </w:r>
      <w:r w:rsidR="00E00845">
        <w:rPr>
          <w:rFonts w:cs="Calibri"/>
          <w:sz w:val="24"/>
          <w:szCs w:val="24"/>
        </w:rPr>
        <w:t xml:space="preserve">no opportunity or mechanisms to engage specifically on NDS progress and implementation across other portfolio areas within government, despite the fact that most government agencies would have responsibilities for NDS implementation across the six policy </w:t>
      </w:r>
      <w:r w:rsidR="00A84AE8">
        <w:rPr>
          <w:rFonts w:cs="Calibri"/>
          <w:sz w:val="24"/>
          <w:szCs w:val="24"/>
        </w:rPr>
        <w:t xml:space="preserve">outcome </w:t>
      </w:r>
      <w:r w:rsidR="00E00845">
        <w:rPr>
          <w:rFonts w:cs="Calibri"/>
          <w:sz w:val="24"/>
          <w:szCs w:val="24"/>
        </w:rPr>
        <w:t xml:space="preserve">areas. </w:t>
      </w:r>
    </w:p>
    <w:p w14:paraId="76C87757" w14:textId="0F2BADC3" w:rsidR="007C2B0B" w:rsidRDefault="00D81BB1" w:rsidP="007A417A">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cs="Calibri"/>
          <w:sz w:val="24"/>
          <w:szCs w:val="24"/>
        </w:rPr>
      </w:pPr>
      <w:r>
        <w:rPr>
          <w:rFonts w:cs="Calibri"/>
          <w:sz w:val="24"/>
          <w:szCs w:val="24"/>
        </w:rPr>
        <w:t>3.3.9</w:t>
      </w:r>
      <w:r w:rsidR="007A417A">
        <w:rPr>
          <w:rFonts w:cs="Calibri"/>
          <w:sz w:val="24"/>
          <w:szCs w:val="24"/>
        </w:rPr>
        <w:tab/>
        <w:t xml:space="preserve">By contrast, </w:t>
      </w:r>
      <w:r w:rsidR="007C2B0B">
        <w:rPr>
          <w:rFonts w:cs="Calibri"/>
          <w:sz w:val="24"/>
          <w:szCs w:val="24"/>
        </w:rPr>
        <w:t>the National Framework for P</w:t>
      </w:r>
      <w:r w:rsidR="00C902E8">
        <w:rPr>
          <w:rFonts w:cs="Calibri"/>
          <w:sz w:val="24"/>
          <w:szCs w:val="24"/>
        </w:rPr>
        <w:t xml:space="preserve">rotecting Australia’s Children 2009-2020 </w:t>
      </w:r>
      <w:r w:rsidR="007C2B0B">
        <w:rPr>
          <w:rFonts w:cs="Calibri"/>
          <w:sz w:val="24"/>
          <w:szCs w:val="24"/>
        </w:rPr>
        <w:t>contains “integrated governance arrangements that cut across government boundaries and include the non-government sector in order to plan and implement actions”.</w:t>
      </w:r>
      <w:r w:rsidR="00C902E8">
        <w:rPr>
          <w:rStyle w:val="FootnoteReference"/>
          <w:rFonts w:cs="Calibri"/>
          <w:sz w:val="24"/>
          <w:szCs w:val="24"/>
        </w:rPr>
        <w:footnoteReference w:id="38"/>
      </w:r>
      <w:r w:rsidR="00C902E8">
        <w:rPr>
          <w:rFonts w:cs="Calibri"/>
          <w:sz w:val="24"/>
          <w:szCs w:val="24"/>
        </w:rPr>
        <w:t xml:space="preserve">  </w:t>
      </w:r>
      <w:r w:rsidR="007C2B0B">
        <w:rPr>
          <w:rFonts w:cs="Calibri"/>
          <w:sz w:val="24"/>
          <w:szCs w:val="24"/>
        </w:rPr>
        <w:t xml:space="preserve">This includes a tripartite National Framework Advisory Committee that comprises community and disability ministers with nominees from other sectors, such as health, education and justice, along with </w:t>
      </w:r>
      <w:r w:rsidR="009C5022">
        <w:rPr>
          <w:rFonts w:cs="Calibri"/>
          <w:sz w:val="24"/>
          <w:szCs w:val="24"/>
        </w:rPr>
        <w:t xml:space="preserve">non-government </w:t>
      </w:r>
      <w:r w:rsidR="007C2B0B">
        <w:rPr>
          <w:rFonts w:cs="Calibri"/>
          <w:sz w:val="24"/>
          <w:szCs w:val="24"/>
        </w:rPr>
        <w:t>representative organisations. Formal governance mechanisms are supported by working groups on specific action areas that bring together members of government and representative organisations.</w:t>
      </w:r>
      <w:r w:rsidR="009C5022">
        <w:rPr>
          <w:rStyle w:val="FootnoteReference"/>
          <w:rFonts w:cs="Calibri"/>
          <w:sz w:val="24"/>
          <w:szCs w:val="24"/>
        </w:rPr>
        <w:footnoteReference w:id="39"/>
      </w:r>
      <w:r w:rsidR="009C5022">
        <w:rPr>
          <w:rFonts w:cs="Calibri"/>
          <w:sz w:val="24"/>
          <w:szCs w:val="24"/>
        </w:rPr>
        <w:t xml:space="preserve"> </w:t>
      </w:r>
      <w:r w:rsidR="007C2B0B">
        <w:rPr>
          <w:rFonts w:cs="Calibri"/>
          <w:sz w:val="24"/>
          <w:szCs w:val="24"/>
        </w:rPr>
        <w:t xml:space="preserve"> </w:t>
      </w:r>
      <w:r w:rsidR="009C5022">
        <w:rPr>
          <w:rFonts w:cs="Calibri"/>
          <w:sz w:val="24"/>
          <w:szCs w:val="24"/>
        </w:rPr>
        <w:t>A</w:t>
      </w:r>
      <w:r w:rsidR="007C2B0B">
        <w:rPr>
          <w:rFonts w:cs="Calibri"/>
          <w:sz w:val="24"/>
          <w:szCs w:val="24"/>
        </w:rPr>
        <w:t xml:space="preserve"> similar structure </w:t>
      </w:r>
      <w:r w:rsidR="009C5022">
        <w:rPr>
          <w:rFonts w:cs="Calibri"/>
          <w:sz w:val="24"/>
          <w:szCs w:val="24"/>
        </w:rPr>
        <w:t xml:space="preserve">within the NDS </w:t>
      </w:r>
      <w:r w:rsidR="007C2B0B">
        <w:rPr>
          <w:rFonts w:cs="Calibri"/>
          <w:sz w:val="24"/>
          <w:szCs w:val="24"/>
        </w:rPr>
        <w:t xml:space="preserve">would enhance </w:t>
      </w:r>
      <w:r w:rsidR="00EA0D5F">
        <w:rPr>
          <w:rFonts w:cs="Calibri"/>
          <w:sz w:val="24"/>
          <w:szCs w:val="24"/>
        </w:rPr>
        <w:t xml:space="preserve">collaboration, </w:t>
      </w:r>
      <w:r w:rsidR="007C2B0B">
        <w:rPr>
          <w:rFonts w:cs="Calibri"/>
          <w:sz w:val="24"/>
          <w:szCs w:val="24"/>
        </w:rPr>
        <w:t xml:space="preserve">engagement </w:t>
      </w:r>
      <w:r w:rsidR="00EA0D5F">
        <w:rPr>
          <w:rFonts w:cs="Calibri"/>
          <w:sz w:val="24"/>
          <w:szCs w:val="24"/>
        </w:rPr>
        <w:t xml:space="preserve">and consultation </w:t>
      </w:r>
      <w:r w:rsidR="009C5022">
        <w:rPr>
          <w:rFonts w:cs="Calibri"/>
          <w:sz w:val="24"/>
          <w:szCs w:val="24"/>
        </w:rPr>
        <w:t xml:space="preserve">between governments and </w:t>
      </w:r>
      <w:r w:rsidR="007C2B0B">
        <w:rPr>
          <w:rFonts w:cs="Calibri"/>
          <w:sz w:val="24"/>
          <w:szCs w:val="24"/>
        </w:rPr>
        <w:t xml:space="preserve">people with </w:t>
      </w:r>
      <w:r w:rsidR="00EA0D5F">
        <w:rPr>
          <w:rFonts w:cs="Calibri"/>
          <w:sz w:val="24"/>
          <w:szCs w:val="24"/>
        </w:rPr>
        <w:t xml:space="preserve">disability, </w:t>
      </w:r>
      <w:r w:rsidR="009C5022">
        <w:rPr>
          <w:rFonts w:cs="Calibri"/>
          <w:sz w:val="24"/>
          <w:szCs w:val="24"/>
        </w:rPr>
        <w:t>and build in a collaborative approach to design, implementation and evaluation of each policy outcome area.</w:t>
      </w:r>
      <w:r w:rsidR="007C2B0B">
        <w:rPr>
          <w:rFonts w:cs="Calibri"/>
          <w:sz w:val="24"/>
          <w:szCs w:val="24"/>
        </w:rPr>
        <w:t xml:space="preserve"> </w:t>
      </w:r>
    </w:p>
    <w:p w14:paraId="7324F7BE" w14:textId="66AB8C3B" w:rsidR="009C5022" w:rsidRDefault="00D81BB1" w:rsidP="0062618D">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51" w:hanging="851"/>
        <w:rPr>
          <w:rFonts w:cs="Calibri"/>
          <w:sz w:val="24"/>
          <w:szCs w:val="24"/>
        </w:rPr>
      </w:pPr>
      <w:r>
        <w:rPr>
          <w:rFonts w:cs="Calibri"/>
          <w:sz w:val="24"/>
          <w:szCs w:val="24"/>
        </w:rPr>
        <w:t>3.3.10</w:t>
      </w:r>
      <w:r w:rsidR="00C40D0E">
        <w:rPr>
          <w:rFonts w:cs="Calibri"/>
          <w:sz w:val="24"/>
          <w:szCs w:val="24"/>
        </w:rPr>
        <w:tab/>
        <w:t>Recommendations:</w:t>
      </w:r>
    </w:p>
    <w:p w14:paraId="0AE607FE" w14:textId="53C190F9" w:rsidR="0062618D" w:rsidRPr="009251C7" w:rsidRDefault="00E67BDA" w:rsidP="00E67BDA">
      <w:pPr>
        <w:pStyle w:val="ListParagraph"/>
        <w:widowControl w:val="0"/>
        <w:numPr>
          <w:ilvl w:val="0"/>
          <w:numId w:val="35"/>
        </w:numPr>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276" w:hanging="425"/>
        <w:contextualSpacing w:val="0"/>
        <w:rPr>
          <w:rFonts w:cs="Calibri"/>
          <w:b/>
          <w:bCs/>
          <w:i/>
          <w:sz w:val="24"/>
          <w:szCs w:val="24"/>
        </w:rPr>
      </w:pPr>
      <w:r>
        <w:rPr>
          <w:rFonts w:cs="Calibri"/>
          <w:b/>
          <w:bCs/>
          <w:i/>
          <w:sz w:val="24"/>
          <w:szCs w:val="24"/>
        </w:rPr>
        <w:t xml:space="preserve">Establish tripartite governance and advisory structures for the NDS that comprise disability ministers and nominees from other program areas, such as health, education and justice, along with representative organisations of people with disability in order to enable strengthened engagement with people with disability in NDS design, implementation and evaluation.   </w:t>
      </w:r>
    </w:p>
    <w:p w14:paraId="35CD5844" w14:textId="4F792810" w:rsidR="0062618D" w:rsidRPr="00D8483B" w:rsidRDefault="00E67BDA" w:rsidP="0062618D">
      <w:pPr>
        <w:pStyle w:val="ListParagraph"/>
        <w:widowControl w:val="0"/>
        <w:numPr>
          <w:ilvl w:val="0"/>
          <w:numId w:val="35"/>
        </w:numPr>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276" w:hanging="425"/>
        <w:contextualSpacing w:val="0"/>
        <w:rPr>
          <w:rFonts w:cs="Calibri"/>
          <w:b/>
          <w:bCs/>
          <w:i/>
          <w:sz w:val="24"/>
          <w:szCs w:val="24"/>
        </w:rPr>
      </w:pPr>
      <w:r>
        <w:rPr>
          <w:rFonts w:cs="Calibri"/>
          <w:b/>
          <w:i/>
          <w:sz w:val="24"/>
          <w:szCs w:val="24"/>
          <w:lang w:val="en-US"/>
        </w:rPr>
        <w:t>Establish working groups on specific action areas within the NDS six policy outcome areas</w:t>
      </w:r>
      <w:r w:rsidR="00D8483B">
        <w:rPr>
          <w:rFonts w:cs="Calibri"/>
          <w:b/>
          <w:i/>
          <w:sz w:val="24"/>
          <w:szCs w:val="24"/>
          <w:lang w:val="en-US"/>
        </w:rPr>
        <w:t>, which comprise both</w:t>
      </w:r>
      <w:r>
        <w:rPr>
          <w:rFonts w:cs="Calibri"/>
          <w:b/>
          <w:i/>
          <w:sz w:val="24"/>
          <w:szCs w:val="24"/>
          <w:lang w:val="en-US"/>
        </w:rPr>
        <w:t xml:space="preserve"> government and representative organisations </w:t>
      </w:r>
      <w:r w:rsidR="00D8483B">
        <w:rPr>
          <w:rFonts w:cs="Calibri"/>
          <w:b/>
          <w:i/>
          <w:sz w:val="24"/>
          <w:szCs w:val="24"/>
          <w:lang w:val="en-US"/>
        </w:rPr>
        <w:t xml:space="preserve">in order </w:t>
      </w:r>
      <w:r>
        <w:rPr>
          <w:rFonts w:cs="Calibri"/>
          <w:b/>
          <w:i/>
          <w:sz w:val="24"/>
          <w:szCs w:val="24"/>
          <w:lang w:val="en-US"/>
        </w:rPr>
        <w:t xml:space="preserve">to work collaboratively to progress NDS </w:t>
      </w:r>
      <w:r>
        <w:rPr>
          <w:rFonts w:cs="Calibri"/>
          <w:b/>
          <w:i/>
          <w:sz w:val="24"/>
          <w:szCs w:val="24"/>
          <w:lang w:val="en-US"/>
        </w:rPr>
        <w:lastRenderedPageBreak/>
        <w:t xml:space="preserve">implementation and review. </w:t>
      </w:r>
    </w:p>
    <w:p w14:paraId="1AF5CB60" w14:textId="37E251EF" w:rsidR="00D8483B" w:rsidRPr="00D8483B" w:rsidRDefault="00D8483B" w:rsidP="00D8483B">
      <w:pPr>
        <w:pStyle w:val="ListParagraph"/>
        <w:widowControl w:val="0"/>
        <w:numPr>
          <w:ilvl w:val="0"/>
          <w:numId w:val="35"/>
        </w:numPr>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1276" w:hanging="425"/>
        <w:contextualSpacing w:val="0"/>
        <w:rPr>
          <w:rFonts w:cs="Calibri"/>
          <w:b/>
          <w:bCs/>
          <w:i/>
          <w:sz w:val="24"/>
          <w:szCs w:val="24"/>
        </w:rPr>
      </w:pPr>
      <w:r>
        <w:rPr>
          <w:rFonts w:cs="Calibri"/>
          <w:b/>
          <w:i/>
          <w:sz w:val="24"/>
          <w:szCs w:val="24"/>
          <w:lang w:val="en-US"/>
        </w:rPr>
        <w:t xml:space="preserve">Establish a policy engagement framework that enables people with disability and their representative organisations to be consulted and provide feedback on legislation and policy that affects their lives. </w:t>
      </w:r>
    </w:p>
    <w:p w14:paraId="7E6FE9C0" w14:textId="77777777" w:rsidR="00D8483B" w:rsidRPr="00D8483B" w:rsidRDefault="00D8483B" w:rsidP="00D8483B">
      <w:pPr>
        <w:widowControl w:val="0"/>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b/>
          <w:bCs/>
          <w:i/>
          <w:sz w:val="24"/>
          <w:szCs w:val="24"/>
        </w:rPr>
      </w:pPr>
    </w:p>
    <w:p w14:paraId="69807230" w14:textId="380B17B4" w:rsidR="00C209C4" w:rsidRDefault="00C209C4" w:rsidP="00C209C4">
      <w:pPr>
        <w:pStyle w:val="Heading2"/>
      </w:pPr>
      <w:bookmarkStart w:id="7" w:name="_Toc481945261"/>
      <w:r>
        <w:t>3.4</w:t>
      </w:r>
      <w:r>
        <w:tab/>
        <w:t xml:space="preserve">Diversity and </w:t>
      </w:r>
      <w:proofErr w:type="spellStart"/>
      <w:r>
        <w:t>intersectionality</w:t>
      </w:r>
      <w:bookmarkEnd w:id="7"/>
      <w:proofErr w:type="spellEnd"/>
    </w:p>
    <w:p w14:paraId="745F61AB" w14:textId="521DC6B7" w:rsidR="00EA0D5F" w:rsidRDefault="00D0533A" w:rsidP="00D0533A">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cs="Calibri"/>
          <w:sz w:val="24"/>
          <w:szCs w:val="24"/>
        </w:rPr>
      </w:pPr>
      <w:r>
        <w:rPr>
          <w:rFonts w:cs="Calibri"/>
          <w:sz w:val="24"/>
          <w:szCs w:val="24"/>
        </w:rPr>
        <w:t>3.4.1</w:t>
      </w:r>
      <w:r>
        <w:rPr>
          <w:rFonts w:cs="Calibri"/>
          <w:sz w:val="24"/>
          <w:szCs w:val="24"/>
        </w:rPr>
        <w:tab/>
      </w:r>
      <w:r w:rsidR="00681B59">
        <w:rPr>
          <w:rFonts w:cs="Calibri"/>
          <w:sz w:val="24"/>
          <w:szCs w:val="24"/>
        </w:rPr>
        <w:t>The NDS recognises that people with disability are not a homogenous group</w:t>
      </w:r>
      <w:r>
        <w:rPr>
          <w:rFonts w:cs="Calibri"/>
          <w:sz w:val="24"/>
          <w:szCs w:val="24"/>
        </w:rPr>
        <w:t>,</w:t>
      </w:r>
      <w:r>
        <w:rPr>
          <w:rStyle w:val="FootnoteReference"/>
          <w:rFonts w:cs="Calibri"/>
          <w:sz w:val="24"/>
          <w:szCs w:val="24"/>
        </w:rPr>
        <w:footnoteReference w:id="40"/>
      </w:r>
      <w:r w:rsidR="00681B59">
        <w:rPr>
          <w:rFonts w:cs="Calibri"/>
          <w:sz w:val="24"/>
          <w:szCs w:val="24"/>
        </w:rPr>
        <w:t xml:space="preserve"> that there is broad diversity among people with disability</w:t>
      </w:r>
      <w:r>
        <w:rPr>
          <w:rStyle w:val="FootnoteReference"/>
          <w:rFonts w:cs="Calibri"/>
          <w:sz w:val="24"/>
          <w:szCs w:val="24"/>
        </w:rPr>
        <w:footnoteReference w:id="41"/>
      </w:r>
      <w:r w:rsidR="00681B59">
        <w:rPr>
          <w:rFonts w:cs="Calibri"/>
          <w:sz w:val="24"/>
          <w:szCs w:val="24"/>
        </w:rPr>
        <w:t xml:space="preserve"> and that </w:t>
      </w:r>
      <w:r w:rsidR="0001660C">
        <w:rPr>
          <w:rFonts w:cs="Calibri"/>
          <w:sz w:val="24"/>
          <w:szCs w:val="24"/>
        </w:rPr>
        <w:t xml:space="preserve">multiple dimensions of a person’s identity, or </w:t>
      </w:r>
      <w:proofErr w:type="spellStart"/>
      <w:r w:rsidR="0001660C">
        <w:rPr>
          <w:rFonts w:cs="Calibri"/>
          <w:sz w:val="24"/>
          <w:szCs w:val="24"/>
        </w:rPr>
        <w:t>intersectionality</w:t>
      </w:r>
      <w:proofErr w:type="spellEnd"/>
      <w:r w:rsidR="0001660C">
        <w:rPr>
          <w:rFonts w:cs="Calibri"/>
          <w:sz w:val="24"/>
          <w:szCs w:val="24"/>
        </w:rPr>
        <w:t xml:space="preserve"> will impact on the specific lived experience of people with disability.</w:t>
      </w:r>
      <w:r>
        <w:rPr>
          <w:rStyle w:val="FootnoteReference"/>
          <w:rFonts w:cs="Calibri"/>
          <w:sz w:val="24"/>
          <w:szCs w:val="24"/>
        </w:rPr>
        <w:footnoteReference w:id="42"/>
      </w:r>
      <w:r w:rsidR="0001660C">
        <w:rPr>
          <w:rFonts w:cs="Calibri"/>
          <w:sz w:val="24"/>
          <w:szCs w:val="24"/>
        </w:rPr>
        <w:t xml:space="preserve">  </w:t>
      </w:r>
    </w:p>
    <w:p w14:paraId="18FECDD4" w14:textId="235A8817" w:rsidR="00006FA0" w:rsidRDefault="00D0533A" w:rsidP="00006FA0">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851" w:hanging="851"/>
        <w:rPr>
          <w:rFonts w:cs="Calibri"/>
          <w:sz w:val="24"/>
          <w:szCs w:val="24"/>
        </w:rPr>
      </w:pPr>
      <w:r>
        <w:rPr>
          <w:rFonts w:cs="Calibri"/>
          <w:sz w:val="24"/>
          <w:szCs w:val="24"/>
        </w:rPr>
        <w:t>3.4.2</w:t>
      </w:r>
      <w:r w:rsidR="00006FA0">
        <w:rPr>
          <w:rFonts w:cs="Calibri"/>
          <w:sz w:val="24"/>
          <w:szCs w:val="24"/>
        </w:rPr>
        <w:tab/>
        <w:t xml:space="preserve">Despite recognition of diversity and </w:t>
      </w:r>
      <w:proofErr w:type="spellStart"/>
      <w:r w:rsidR="00006FA0">
        <w:rPr>
          <w:rFonts w:cs="Calibri"/>
          <w:sz w:val="24"/>
          <w:szCs w:val="24"/>
        </w:rPr>
        <w:t>intersectionality</w:t>
      </w:r>
      <w:proofErr w:type="spellEnd"/>
      <w:r w:rsidR="00006FA0">
        <w:rPr>
          <w:rFonts w:cs="Calibri"/>
          <w:sz w:val="24"/>
          <w:szCs w:val="24"/>
        </w:rPr>
        <w:t>, there are very few concrete and specific measures to address this, aside from the critical focus on Aboriginal and Torres Strait Islander people with disability</w:t>
      </w:r>
      <w:r w:rsidR="00006FA0">
        <w:rPr>
          <w:rStyle w:val="FootnoteReference"/>
          <w:rFonts w:cs="Calibri"/>
          <w:sz w:val="24"/>
          <w:szCs w:val="24"/>
        </w:rPr>
        <w:footnoteReference w:id="43"/>
      </w:r>
      <w:r w:rsidR="00006FA0">
        <w:rPr>
          <w:rFonts w:cs="Calibri"/>
          <w:sz w:val="24"/>
          <w:szCs w:val="24"/>
        </w:rPr>
        <w:t xml:space="preserve"> (see 3.4.3).  For example:</w:t>
      </w:r>
    </w:p>
    <w:p w14:paraId="44D951F2" w14:textId="77777777" w:rsidR="008D28D4" w:rsidRDefault="00006FA0" w:rsidP="008D28D4">
      <w:pPr>
        <w:pStyle w:val="ListParagraph"/>
        <w:widowControl w:val="0"/>
        <w:numPr>
          <w:ilvl w:val="0"/>
          <w:numId w:val="21"/>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135" w:hanging="284"/>
        <w:contextualSpacing w:val="0"/>
        <w:rPr>
          <w:rFonts w:cs="Calibri"/>
          <w:sz w:val="24"/>
          <w:szCs w:val="24"/>
        </w:rPr>
      </w:pPr>
      <w:r>
        <w:rPr>
          <w:rFonts w:cs="Calibri"/>
          <w:sz w:val="24"/>
          <w:szCs w:val="24"/>
        </w:rPr>
        <w:t>In its submission to inform the development of the 2014 P</w:t>
      </w:r>
      <w:r w:rsidRPr="00006FA0">
        <w:rPr>
          <w:rFonts w:cs="Calibri"/>
          <w:sz w:val="24"/>
          <w:szCs w:val="24"/>
        </w:rPr>
        <w:t xml:space="preserve">rogress </w:t>
      </w:r>
      <w:r>
        <w:rPr>
          <w:rFonts w:cs="Calibri"/>
          <w:sz w:val="24"/>
          <w:szCs w:val="24"/>
        </w:rPr>
        <w:t>R</w:t>
      </w:r>
      <w:r w:rsidRPr="00006FA0">
        <w:rPr>
          <w:rFonts w:cs="Calibri"/>
          <w:sz w:val="24"/>
          <w:szCs w:val="24"/>
        </w:rPr>
        <w:t xml:space="preserve">eport, Women With Disabilities Australia (WWDA) </w:t>
      </w:r>
      <w:r>
        <w:rPr>
          <w:rFonts w:cs="Calibri"/>
          <w:sz w:val="24"/>
          <w:szCs w:val="24"/>
        </w:rPr>
        <w:t xml:space="preserve">comprehensively </w:t>
      </w:r>
      <w:r w:rsidRPr="00006FA0">
        <w:rPr>
          <w:rFonts w:cs="Calibri"/>
          <w:sz w:val="24"/>
          <w:szCs w:val="24"/>
        </w:rPr>
        <w:t xml:space="preserve">outlined </w:t>
      </w:r>
      <w:r>
        <w:rPr>
          <w:rFonts w:cs="Calibri"/>
          <w:sz w:val="24"/>
          <w:szCs w:val="24"/>
        </w:rPr>
        <w:t xml:space="preserve">that “all aspects of </w:t>
      </w:r>
      <w:r w:rsidRPr="00006FA0">
        <w:rPr>
          <w:rFonts w:cs="Calibri"/>
          <w:sz w:val="24"/>
          <w:szCs w:val="24"/>
        </w:rPr>
        <w:t xml:space="preserve">the NDS </w:t>
      </w:r>
      <w:r>
        <w:rPr>
          <w:rFonts w:cs="Calibri"/>
          <w:sz w:val="24"/>
          <w:szCs w:val="24"/>
        </w:rPr>
        <w:t xml:space="preserve">are </w:t>
      </w:r>
      <w:r w:rsidRPr="00006FA0">
        <w:rPr>
          <w:rFonts w:cs="Calibri"/>
          <w:sz w:val="24"/>
          <w:szCs w:val="24"/>
        </w:rPr>
        <w:t xml:space="preserve">completely </w:t>
      </w:r>
      <w:proofErr w:type="spellStart"/>
      <w:r w:rsidRPr="00006FA0">
        <w:rPr>
          <w:rFonts w:cs="Calibri"/>
          <w:sz w:val="24"/>
          <w:szCs w:val="24"/>
        </w:rPr>
        <w:t>ungendered</w:t>
      </w:r>
      <w:proofErr w:type="spellEnd"/>
      <w:r w:rsidRPr="00006FA0">
        <w:rPr>
          <w:rFonts w:cs="Calibri"/>
          <w:sz w:val="24"/>
          <w:szCs w:val="24"/>
        </w:rPr>
        <w:t xml:space="preserve"> and ignore gender equality”</w:t>
      </w:r>
      <w:r>
        <w:rPr>
          <w:rFonts w:cs="Calibri"/>
          <w:sz w:val="24"/>
          <w:szCs w:val="24"/>
        </w:rPr>
        <w:t>.</w:t>
      </w:r>
      <w:r>
        <w:rPr>
          <w:rStyle w:val="FootnoteReference"/>
          <w:rFonts w:cs="Calibri"/>
          <w:sz w:val="24"/>
          <w:szCs w:val="24"/>
        </w:rPr>
        <w:footnoteReference w:id="44"/>
      </w:r>
      <w:r w:rsidRPr="00006FA0">
        <w:rPr>
          <w:rFonts w:cs="Calibri"/>
          <w:sz w:val="24"/>
          <w:szCs w:val="24"/>
        </w:rPr>
        <w:t xml:space="preserve"> </w:t>
      </w:r>
      <w:r>
        <w:rPr>
          <w:rFonts w:cs="Calibri"/>
          <w:sz w:val="24"/>
          <w:szCs w:val="24"/>
        </w:rPr>
        <w:t xml:space="preserve"> WWDA highlighted that this </w:t>
      </w:r>
      <w:r w:rsidRPr="00006FA0">
        <w:rPr>
          <w:rFonts w:cs="Calibri"/>
          <w:sz w:val="24"/>
          <w:szCs w:val="24"/>
        </w:rPr>
        <w:t>significantly limits the NDS in progressing the human rights of women and girls with disability</w:t>
      </w:r>
      <w:r w:rsidR="008D28D4">
        <w:rPr>
          <w:rFonts w:cs="Calibri"/>
          <w:sz w:val="24"/>
          <w:szCs w:val="24"/>
        </w:rPr>
        <w:t xml:space="preserve">, and outlined key priority issues that are </w:t>
      </w:r>
      <w:r w:rsidRPr="00006FA0">
        <w:rPr>
          <w:rFonts w:cs="Calibri"/>
          <w:sz w:val="24"/>
          <w:szCs w:val="24"/>
        </w:rPr>
        <w:t>absent from the NDS, such as sexual and reproductive rights</w:t>
      </w:r>
      <w:r w:rsidR="008D28D4">
        <w:rPr>
          <w:rFonts w:cs="Calibri"/>
          <w:sz w:val="24"/>
          <w:szCs w:val="24"/>
        </w:rPr>
        <w:t xml:space="preserve">. WWDA </w:t>
      </w:r>
      <w:r w:rsidR="008D28D4" w:rsidRPr="00006FA0">
        <w:rPr>
          <w:rFonts w:cs="Calibri"/>
          <w:sz w:val="24"/>
          <w:szCs w:val="24"/>
        </w:rPr>
        <w:t xml:space="preserve">recommended </w:t>
      </w:r>
      <w:r w:rsidR="008D28D4">
        <w:rPr>
          <w:rFonts w:cs="Calibri"/>
          <w:sz w:val="24"/>
          <w:szCs w:val="24"/>
        </w:rPr>
        <w:t xml:space="preserve">that the </w:t>
      </w:r>
      <w:r w:rsidR="008D28D4" w:rsidRPr="00006FA0">
        <w:rPr>
          <w:rFonts w:cs="Calibri"/>
          <w:sz w:val="24"/>
          <w:szCs w:val="24"/>
        </w:rPr>
        <w:t xml:space="preserve">second and third implementation plans under the NDS incorporate the issues and concerns of women and girls with disability along with gender specific, targeted measures. </w:t>
      </w:r>
      <w:r w:rsidR="008D28D4">
        <w:rPr>
          <w:rFonts w:cs="Calibri"/>
          <w:sz w:val="24"/>
          <w:szCs w:val="24"/>
        </w:rPr>
        <w:t xml:space="preserve">This is not evident in the Second Implementation Plan. </w:t>
      </w:r>
    </w:p>
    <w:p w14:paraId="478D1D45" w14:textId="2E79008D" w:rsidR="00006FA0" w:rsidRPr="0088252F" w:rsidRDefault="00006FA0" w:rsidP="0088252F">
      <w:pPr>
        <w:pStyle w:val="ListParagraph"/>
        <w:widowControl w:val="0"/>
        <w:numPr>
          <w:ilvl w:val="0"/>
          <w:numId w:val="21"/>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1134" w:hanging="283"/>
        <w:rPr>
          <w:rFonts w:cs="Calibri"/>
          <w:sz w:val="24"/>
          <w:szCs w:val="24"/>
        </w:rPr>
      </w:pPr>
      <w:r w:rsidRPr="008D28D4">
        <w:rPr>
          <w:rFonts w:cs="Calibri"/>
          <w:sz w:val="24"/>
          <w:szCs w:val="24"/>
        </w:rPr>
        <w:t xml:space="preserve">The </w:t>
      </w:r>
      <w:r w:rsidR="0088252F">
        <w:rPr>
          <w:rFonts w:cs="Calibri"/>
          <w:sz w:val="24"/>
          <w:szCs w:val="24"/>
        </w:rPr>
        <w:t xml:space="preserve">submission made by the </w:t>
      </w:r>
      <w:r w:rsidRPr="008D28D4">
        <w:rPr>
          <w:rFonts w:cs="Calibri"/>
          <w:sz w:val="24"/>
          <w:szCs w:val="24"/>
        </w:rPr>
        <w:t xml:space="preserve">National Ethnic Disability Alliance (NEDA) </w:t>
      </w:r>
      <w:r w:rsidR="002F229A">
        <w:rPr>
          <w:rFonts w:cs="Calibri"/>
          <w:sz w:val="24"/>
          <w:szCs w:val="24"/>
        </w:rPr>
        <w:t xml:space="preserve">outlined </w:t>
      </w:r>
      <w:r w:rsidR="0088252F">
        <w:rPr>
          <w:rFonts w:cs="Calibri"/>
          <w:sz w:val="24"/>
          <w:szCs w:val="24"/>
        </w:rPr>
        <w:t>the need for concerted efforts to engage</w:t>
      </w:r>
      <w:r w:rsidR="0088252F" w:rsidRPr="0088252F">
        <w:rPr>
          <w:rFonts w:cs="Calibri"/>
          <w:sz w:val="24"/>
          <w:szCs w:val="24"/>
        </w:rPr>
        <w:t xml:space="preserve"> with culturally and linguistically diverse (</w:t>
      </w:r>
      <w:proofErr w:type="spellStart"/>
      <w:r w:rsidR="0088252F" w:rsidRPr="0088252F">
        <w:rPr>
          <w:rFonts w:cs="Calibri"/>
          <w:sz w:val="24"/>
          <w:szCs w:val="24"/>
        </w:rPr>
        <w:t>CaLD</w:t>
      </w:r>
      <w:proofErr w:type="spellEnd"/>
      <w:r w:rsidR="0088252F" w:rsidRPr="0088252F">
        <w:rPr>
          <w:rFonts w:cs="Calibri"/>
          <w:sz w:val="24"/>
          <w:szCs w:val="24"/>
        </w:rPr>
        <w:t>) and / or non-English speaking background (NESB) people with disability.</w:t>
      </w:r>
      <w:r w:rsidR="002F229A">
        <w:rPr>
          <w:rStyle w:val="FootnoteReference"/>
          <w:rFonts w:cs="Calibri"/>
          <w:sz w:val="24"/>
          <w:szCs w:val="24"/>
        </w:rPr>
        <w:footnoteReference w:id="45"/>
      </w:r>
      <w:r w:rsidR="0088252F" w:rsidRPr="0088252F">
        <w:rPr>
          <w:rFonts w:cs="Calibri"/>
          <w:sz w:val="24"/>
          <w:szCs w:val="24"/>
        </w:rPr>
        <w:t xml:space="preserve">  </w:t>
      </w:r>
      <w:r w:rsidR="0088252F">
        <w:rPr>
          <w:rFonts w:cs="Calibri"/>
          <w:sz w:val="24"/>
          <w:szCs w:val="24"/>
        </w:rPr>
        <w:t xml:space="preserve">NEDA </w:t>
      </w:r>
      <w:r w:rsidR="002F229A">
        <w:rPr>
          <w:rFonts w:cs="Calibri"/>
          <w:sz w:val="24"/>
          <w:szCs w:val="24"/>
        </w:rPr>
        <w:t xml:space="preserve">also </w:t>
      </w:r>
      <w:r w:rsidR="0088252F">
        <w:rPr>
          <w:rFonts w:cs="Calibri"/>
          <w:sz w:val="24"/>
          <w:szCs w:val="24"/>
        </w:rPr>
        <w:t>highlighted specific areas that are not addressed by</w:t>
      </w:r>
      <w:r w:rsidR="002F229A">
        <w:rPr>
          <w:rFonts w:cs="Calibri"/>
          <w:sz w:val="24"/>
          <w:szCs w:val="24"/>
        </w:rPr>
        <w:t xml:space="preserve"> targeted actions within</w:t>
      </w:r>
      <w:r w:rsidR="0088252F">
        <w:rPr>
          <w:rFonts w:cs="Calibri"/>
          <w:sz w:val="24"/>
          <w:szCs w:val="24"/>
        </w:rPr>
        <w:t xml:space="preserve"> the NDS, such as </w:t>
      </w:r>
      <w:r w:rsidR="002F229A">
        <w:rPr>
          <w:rFonts w:cs="Calibri"/>
          <w:sz w:val="24"/>
          <w:szCs w:val="24"/>
        </w:rPr>
        <w:t xml:space="preserve">employment strategies for </w:t>
      </w:r>
      <w:proofErr w:type="spellStart"/>
      <w:r w:rsidR="0088252F">
        <w:rPr>
          <w:rFonts w:cs="Calibri"/>
          <w:sz w:val="24"/>
          <w:szCs w:val="24"/>
        </w:rPr>
        <w:t>CaLD</w:t>
      </w:r>
      <w:proofErr w:type="spellEnd"/>
      <w:r w:rsidR="0088252F">
        <w:rPr>
          <w:rFonts w:cs="Calibri"/>
          <w:sz w:val="24"/>
          <w:szCs w:val="24"/>
        </w:rPr>
        <w:t xml:space="preserve"> / NESB people with disability, </w:t>
      </w:r>
      <w:r w:rsidR="002F229A">
        <w:rPr>
          <w:rFonts w:cs="Calibri"/>
          <w:sz w:val="24"/>
          <w:szCs w:val="24"/>
        </w:rPr>
        <w:t xml:space="preserve">the lack of transcultural mental health services and the need for information about government services to be available in preferred community languages. However, the Second Implementation Plan does not address these issues. </w:t>
      </w:r>
    </w:p>
    <w:p w14:paraId="3BE112F9" w14:textId="77777777" w:rsidR="009D07BA" w:rsidRDefault="002F229A" w:rsidP="009D07BA">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51" w:hanging="851"/>
        <w:rPr>
          <w:rFonts w:cs="Calibri"/>
          <w:sz w:val="24"/>
          <w:szCs w:val="24"/>
        </w:rPr>
      </w:pPr>
      <w:r>
        <w:rPr>
          <w:rFonts w:cs="Calibri"/>
          <w:sz w:val="24"/>
          <w:szCs w:val="24"/>
        </w:rPr>
        <w:t>3.4.3</w:t>
      </w:r>
      <w:r>
        <w:rPr>
          <w:rFonts w:cs="Calibri"/>
          <w:sz w:val="24"/>
          <w:szCs w:val="24"/>
        </w:rPr>
        <w:tab/>
      </w:r>
      <w:r w:rsidR="007D1C8F">
        <w:rPr>
          <w:rFonts w:cs="Calibri"/>
          <w:sz w:val="24"/>
          <w:szCs w:val="24"/>
        </w:rPr>
        <w:t xml:space="preserve">DPO Australia supports the specific focus on “overcoming Indigenous </w:t>
      </w:r>
      <w:r w:rsidR="007D1C8F">
        <w:rPr>
          <w:rFonts w:cs="Calibri"/>
          <w:sz w:val="24"/>
          <w:szCs w:val="24"/>
        </w:rPr>
        <w:lastRenderedPageBreak/>
        <w:t>disadvantage” within the NDS</w:t>
      </w:r>
      <w:r w:rsidR="007D1C8F">
        <w:rPr>
          <w:rStyle w:val="FootnoteReference"/>
          <w:rFonts w:cs="Calibri"/>
          <w:sz w:val="24"/>
          <w:szCs w:val="24"/>
        </w:rPr>
        <w:footnoteReference w:id="46"/>
      </w:r>
      <w:r w:rsidR="007D1C8F">
        <w:rPr>
          <w:rFonts w:cs="Calibri"/>
          <w:sz w:val="24"/>
          <w:szCs w:val="24"/>
        </w:rPr>
        <w:t xml:space="preserve"> and the commitment made by COAG to “both Closing the Gap and the National Disability Strategy”.</w:t>
      </w:r>
      <w:r w:rsidR="007D1C8F">
        <w:rPr>
          <w:rStyle w:val="FootnoteReference"/>
          <w:rFonts w:cs="Calibri"/>
          <w:sz w:val="24"/>
          <w:szCs w:val="24"/>
        </w:rPr>
        <w:footnoteReference w:id="47"/>
      </w:r>
      <w:r w:rsidR="007D1C8F">
        <w:rPr>
          <w:rFonts w:cs="Calibri"/>
          <w:sz w:val="24"/>
          <w:szCs w:val="24"/>
        </w:rPr>
        <w:t xml:space="preserve">  </w:t>
      </w:r>
      <w:r w:rsidR="004578F3">
        <w:rPr>
          <w:rFonts w:cs="Calibri"/>
          <w:sz w:val="24"/>
          <w:szCs w:val="24"/>
        </w:rPr>
        <w:t xml:space="preserve">We welcome the commitment in the </w:t>
      </w:r>
      <w:r w:rsidR="007D1C8F">
        <w:rPr>
          <w:rFonts w:cs="Calibri"/>
          <w:sz w:val="24"/>
          <w:szCs w:val="24"/>
        </w:rPr>
        <w:t xml:space="preserve">Second Implementation Plan </w:t>
      </w:r>
      <w:r w:rsidR="004578F3">
        <w:rPr>
          <w:rFonts w:cs="Calibri"/>
          <w:sz w:val="24"/>
          <w:szCs w:val="24"/>
        </w:rPr>
        <w:t>for the development of an Australian Government Plan to Improve Outcomes for Aboriginal and Torres Strait Islander People with Disability.</w:t>
      </w:r>
      <w:r w:rsidR="007D1C8F">
        <w:rPr>
          <w:rStyle w:val="FootnoteReference"/>
          <w:rFonts w:cs="Calibri"/>
          <w:sz w:val="24"/>
          <w:szCs w:val="24"/>
        </w:rPr>
        <w:footnoteReference w:id="48"/>
      </w:r>
      <w:r w:rsidR="004578F3">
        <w:rPr>
          <w:rFonts w:cs="Calibri"/>
          <w:sz w:val="24"/>
          <w:szCs w:val="24"/>
        </w:rPr>
        <w:t xml:space="preserve">  </w:t>
      </w:r>
      <w:r w:rsidR="007D1C8F">
        <w:rPr>
          <w:rFonts w:cs="Calibri"/>
          <w:sz w:val="24"/>
          <w:szCs w:val="24"/>
        </w:rPr>
        <w:t>This plan aims to support the implementation of the Second Implementation Plan, it sits alongside the Australian Government Action Plan and it identifies “tangible actions to improve outcomes for Aboriginal and Torres Strait Islander people with disability across Commonwealth areas of responsibility.</w:t>
      </w:r>
      <w:r w:rsidR="00F6603F">
        <w:rPr>
          <w:rStyle w:val="FootnoteReference"/>
          <w:rFonts w:cs="Calibri"/>
          <w:sz w:val="24"/>
          <w:szCs w:val="24"/>
        </w:rPr>
        <w:footnoteReference w:id="49"/>
      </w:r>
      <w:r w:rsidR="00F6603F">
        <w:rPr>
          <w:rFonts w:cs="Calibri"/>
          <w:sz w:val="24"/>
          <w:szCs w:val="24"/>
        </w:rPr>
        <w:t xml:space="preserve">  </w:t>
      </w:r>
    </w:p>
    <w:p w14:paraId="6EBC68AD" w14:textId="6F8EFB5E" w:rsidR="0084069F" w:rsidRDefault="009D07BA" w:rsidP="009D07BA">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851"/>
        <w:rPr>
          <w:rFonts w:cs="Calibri"/>
          <w:sz w:val="24"/>
          <w:szCs w:val="24"/>
        </w:rPr>
      </w:pPr>
      <w:r>
        <w:rPr>
          <w:rFonts w:cs="Calibri"/>
          <w:sz w:val="24"/>
          <w:szCs w:val="24"/>
        </w:rPr>
        <w:tab/>
      </w:r>
      <w:r w:rsidR="007D1C8F">
        <w:rPr>
          <w:rFonts w:cs="Calibri"/>
          <w:sz w:val="24"/>
          <w:szCs w:val="24"/>
        </w:rPr>
        <w:t xml:space="preserve">However, we note that this plan has been in development for the past few years, and it is not clear when it will be finalised.  </w:t>
      </w:r>
      <w:r>
        <w:rPr>
          <w:rFonts w:cs="Calibri"/>
          <w:sz w:val="24"/>
          <w:szCs w:val="24"/>
        </w:rPr>
        <w:t>During this same period, First Peoples Disability Network (FPDN) have been conducting participatory research with Aboriginal and Torres Strait Islander people with disability that provides evidence and preliminary data that should underpin the NDS Aboriginal and Torres Strait Islander plan as well as influence other national Indigenous plans.</w:t>
      </w:r>
      <w:r w:rsidR="00E057A1">
        <w:rPr>
          <w:rStyle w:val="FootnoteReference"/>
          <w:rFonts w:cs="Calibri"/>
          <w:sz w:val="24"/>
          <w:szCs w:val="24"/>
        </w:rPr>
        <w:footnoteReference w:id="50"/>
      </w:r>
      <w:r>
        <w:rPr>
          <w:rFonts w:cs="Calibri"/>
          <w:sz w:val="24"/>
          <w:szCs w:val="24"/>
        </w:rPr>
        <w:t xml:space="preserve">  </w:t>
      </w:r>
      <w:r w:rsidR="00F6603F">
        <w:rPr>
          <w:rFonts w:cs="Calibri"/>
          <w:sz w:val="24"/>
          <w:szCs w:val="24"/>
        </w:rPr>
        <w:t xml:space="preserve">Given there is only 18 months left in the 2015-2018 NDS second implementation phase, it is </w:t>
      </w:r>
      <w:r>
        <w:rPr>
          <w:rFonts w:cs="Calibri"/>
          <w:sz w:val="24"/>
          <w:szCs w:val="24"/>
        </w:rPr>
        <w:t>un</w:t>
      </w:r>
      <w:r w:rsidR="00F6603F">
        <w:rPr>
          <w:rFonts w:cs="Calibri"/>
          <w:sz w:val="24"/>
          <w:szCs w:val="24"/>
        </w:rPr>
        <w:t xml:space="preserve">clear </w:t>
      </w:r>
      <w:r>
        <w:rPr>
          <w:rFonts w:cs="Calibri"/>
          <w:sz w:val="24"/>
          <w:szCs w:val="24"/>
        </w:rPr>
        <w:t>how</w:t>
      </w:r>
      <w:r w:rsidR="00F6603F">
        <w:rPr>
          <w:rFonts w:cs="Calibri"/>
          <w:sz w:val="24"/>
          <w:szCs w:val="24"/>
        </w:rPr>
        <w:t xml:space="preserve"> the </w:t>
      </w:r>
      <w:r w:rsidRPr="009D07BA">
        <w:rPr>
          <w:rFonts w:cs="Calibri"/>
          <w:sz w:val="24"/>
          <w:szCs w:val="24"/>
        </w:rPr>
        <w:t xml:space="preserve">Australian Government Plan to Improve Outcomes for Aboriginal and Torres Strait Islander People with Disability </w:t>
      </w:r>
      <w:r w:rsidR="00F6603F">
        <w:rPr>
          <w:rFonts w:cs="Calibri"/>
          <w:sz w:val="24"/>
          <w:szCs w:val="24"/>
        </w:rPr>
        <w:t xml:space="preserve">can successfully achieve its aims.  </w:t>
      </w:r>
    </w:p>
    <w:p w14:paraId="3DE5FA44" w14:textId="357233D0" w:rsidR="004578F3" w:rsidRDefault="00F6603F" w:rsidP="009D07BA">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51" w:hanging="851"/>
        <w:rPr>
          <w:rFonts w:cs="Calibri"/>
          <w:sz w:val="24"/>
          <w:szCs w:val="24"/>
        </w:rPr>
      </w:pPr>
      <w:r>
        <w:rPr>
          <w:rFonts w:cs="Calibri"/>
          <w:sz w:val="24"/>
          <w:szCs w:val="24"/>
        </w:rPr>
        <w:t>3.4.4</w:t>
      </w:r>
      <w:r>
        <w:rPr>
          <w:rFonts w:cs="Calibri"/>
          <w:sz w:val="24"/>
          <w:szCs w:val="24"/>
        </w:rPr>
        <w:tab/>
        <w:t>Recommendations:</w:t>
      </w:r>
    </w:p>
    <w:p w14:paraId="097CD0D7" w14:textId="28F0B7D9" w:rsidR="009D07BA" w:rsidRDefault="00E90268" w:rsidP="009D07BA">
      <w:pPr>
        <w:pStyle w:val="ListParagraph"/>
        <w:widowControl w:val="0"/>
        <w:numPr>
          <w:ilvl w:val="0"/>
          <w:numId w:val="36"/>
        </w:numPr>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276" w:hanging="425"/>
        <w:contextualSpacing w:val="0"/>
        <w:rPr>
          <w:rFonts w:cs="Calibri"/>
          <w:b/>
          <w:i/>
          <w:sz w:val="24"/>
          <w:szCs w:val="24"/>
          <w:lang w:val="en-US"/>
        </w:rPr>
      </w:pPr>
      <w:r>
        <w:rPr>
          <w:rFonts w:cs="Calibri"/>
          <w:b/>
          <w:i/>
          <w:sz w:val="24"/>
          <w:szCs w:val="24"/>
          <w:lang w:val="en-US"/>
        </w:rPr>
        <w:t>Establish engagement mechanisms to e</w:t>
      </w:r>
      <w:r w:rsidR="009D07BA" w:rsidRPr="009D07BA">
        <w:rPr>
          <w:rFonts w:cs="Calibri"/>
          <w:b/>
          <w:i/>
          <w:sz w:val="24"/>
          <w:szCs w:val="24"/>
          <w:lang w:val="en-US"/>
        </w:rPr>
        <w:t xml:space="preserve">nsure actions and concrete measures under the NDS are inclusive and responsive to </w:t>
      </w:r>
      <w:r w:rsidR="009D07BA">
        <w:rPr>
          <w:rFonts w:cs="Calibri"/>
          <w:b/>
          <w:i/>
          <w:sz w:val="24"/>
          <w:szCs w:val="24"/>
          <w:lang w:val="en-US"/>
        </w:rPr>
        <w:t xml:space="preserve">the issues and concerns of </w:t>
      </w:r>
      <w:r w:rsidR="009D07BA" w:rsidRPr="009D07BA">
        <w:rPr>
          <w:rFonts w:cs="Calibri"/>
          <w:b/>
          <w:i/>
          <w:sz w:val="24"/>
          <w:szCs w:val="24"/>
          <w:lang w:val="en-US"/>
        </w:rPr>
        <w:t>diverse groups, including Aboriginal and Torres Strait Islander people with disability, women with disability, children and young people with disability and people from Culturally and Linguistically Diverse/Non English Speaking Backgrounds with disability.</w:t>
      </w:r>
    </w:p>
    <w:p w14:paraId="507F52DA" w14:textId="1FD93FB6" w:rsidR="00D937F1" w:rsidRPr="009D07BA" w:rsidRDefault="00E90268" w:rsidP="009D07BA">
      <w:pPr>
        <w:pStyle w:val="ListParagraph"/>
        <w:widowControl w:val="0"/>
        <w:numPr>
          <w:ilvl w:val="0"/>
          <w:numId w:val="36"/>
        </w:numPr>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276" w:hanging="425"/>
        <w:contextualSpacing w:val="0"/>
        <w:rPr>
          <w:rFonts w:cs="Calibri"/>
          <w:b/>
          <w:i/>
          <w:sz w:val="24"/>
          <w:szCs w:val="24"/>
          <w:lang w:val="en-US"/>
        </w:rPr>
      </w:pPr>
      <w:r>
        <w:rPr>
          <w:rFonts w:cs="Calibri"/>
          <w:b/>
          <w:bCs/>
          <w:i/>
          <w:sz w:val="24"/>
          <w:szCs w:val="24"/>
        </w:rPr>
        <w:t xml:space="preserve">Convene and resource a working group comprised of FPDN, DSS and Prime Minister and Cabinet to revise the current draft </w:t>
      </w:r>
      <w:r w:rsidRPr="00E90268">
        <w:rPr>
          <w:rFonts w:cs="Calibri"/>
          <w:b/>
          <w:bCs/>
          <w:i/>
          <w:sz w:val="24"/>
          <w:szCs w:val="24"/>
        </w:rPr>
        <w:t xml:space="preserve">Australian Government Plan to Improve Outcomes for Aboriginal and Torres Strait Islander People with Disability </w:t>
      </w:r>
      <w:r>
        <w:rPr>
          <w:rFonts w:cs="Calibri"/>
          <w:b/>
          <w:bCs/>
          <w:i/>
          <w:sz w:val="24"/>
          <w:szCs w:val="24"/>
        </w:rPr>
        <w:t>in order to ensure it responds to emerging evidence</w:t>
      </w:r>
      <w:r w:rsidR="00556932">
        <w:rPr>
          <w:rFonts w:cs="Calibri"/>
          <w:b/>
          <w:bCs/>
          <w:i/>
          <w:sz w:val="24"/>
          <w:szCs w:val="24"/>
        </w:rPr>
        <w:t xml:space="preserve">, </w:t>
      </w:r>
      <w:r>
        <w:rPr>
          <w:rFonts w:cs="Calibri"/>
          <w:b/>
          <w:bCs/>
          <w:i/>
          <w:sz w:val="24"/>
          <w:szCs w:val="24"/>
        </w:rPr>
        <w:t>that it intersects with other national Indigenous plans</w:t>
      </w:r>
      <w:r w:rsidR="00556932">
        <w:rPr>
          <w:rFonts w:cs="Calibri"/>
          <w:b/>
          <w:bCs/>
          <w:i/>
          <w:sz w:val="24"/>
          <w:szCs w:val="24"/>
        </w:rPr>
        <w:t xml:space="preserve"> and that it is sustainable beyond the 2015-2018 period</w:t>
      </w:r>
      <w:r>
        <w:rPr>
          <w:rFonts w:cs="Calibri"/>
          <w:b/>
          <w:bCs/>
          <w:i/>
          <w:sz w:val="24"/>
          <w:szCs w:val="24"/>
        </w:rPr>
        <w:t xml:space="preserve">.  </w:t>
      </w:r>
    </w:p>
    <w:p w14:paraId="4A93128B" w14:textId="77777777" w:rsidR="00C61206" w:rsidRDefault="00C61206">
      <w:pPr>
        <w:rPr>
          <w:rFonts w:asciiTheme="majorHAnsi" w:eastAsiaTheme="majorEastAsia" w:hAnsiTheme="majorHAnsi" w:cstheme="majorBidi"/>
          <w:b/>
          <w:bCs/>
          <w:color w:val="2E74B5" w:themeColor="accent1" w:themeShade="BF"/>
          <w:sz w:val="28"/>
          <w:szCs w:val="28"/>
        </w:rPr>
      </w:pPr>
      <w:r>
        <w:br w:type="page"/>
      </w:r>
    </w:p>
    <w:p w14:paraId="304A20D8" w14:textId="3502E189" w:rsidR="0084069F" w:rsidRPr="005629B0" w:rsidRDefault="0084069F" w:rsidP="0084069F">
      <w:pPr>
        <w:pStyle w:val="Heading1"/>
        <w:ind w:hanging="720"/>
      </w:pPr>
      <w:bookmarkStart w:id="8" w:name="_Toc481945262"/>
      <w:r>
        <w:lastRenderedPageBreak/>
        <w:t>Inclusive and accessible communities</w:t>
      </w:r>
      <w:bookmarkEnd w:id="8"/>
    </w:p>
    <w:p w14:paraId="316D459E" w14:textId="77777777" w:rsidR="0084069F" w:rsidRPr="005629B0" w:rsidRDefault="0084069F" w:rsidP="0084069F">
      <w:pPr>
        <w:pBdr>
          <w:bottom w:val="single" w:sz="12" w:space="1" w:color="auto"/>
        </w:pBdr>
        <w:jc w:val="right"/>
        <w:rPr>
          <w:sz w:val="16"/>
          <w:szCs w:val="16"/>
        </w:rPr>
      </w:pPr>
    </w:p>
    <w:p w14:paraId="649CACE9" w14:textId="77777777" w:rsidR="00E60CA3" w:rsidRDefault="00E60CA3" w:rsidP="00130E83">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7" w:hanging="567"/>
        <w:rPr>
          <w:rFonts w:cs="Calibri"/>
          <w:sz w:val="24"/>
          <w:szCs w:val="24"/>
        </w:rPr>
      </w:pPr>
      <w:r>
        <w:rPr>
          <w:rFonts w:cs="Calibri"/>
          <w:sz w:val="24"/>
          <w:szCs w:val="24"/>
        </w:rPr>
        <w:t>4.1</w:t>
      </w:r>
      <w:r>
        <w:rPr>
          <w:rFonts w:cs="Calibri"/>
          <w:sz w:val="24"/>
          <w:szCs w:val="24"/>
        </w:rPr>
        <w:tab/>
        <w:t>The first NDS outcome area is ‘Inclusive and accessible communities’.  This first outcome area is largely the focus of this Senate inquiry’s first term of reference:</w:t>
      </w:r>
    </w:p>
    <w:p w14:paraId="4E8DD175" w14:textId="61C4769E" w:rsidR="00A13655" w:rsidRPr="00A13655" w:rsidRDefault="00E60CA3" w:rsidP="00E60CA3">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1134"/>
        <w:rPr>
          <w:rFonts w:cs="Calibri"/>
          <w:sz w:val="24"/>
          <w:szCs w:val="24"/>
          <w:lang w:val="en"/>
        </w:rPr>
      </w:pPr>
      <w:r>
        <w:rPr>
          <w:rFonts w:cs="Calibri"/>
          <w:sz w:val="24"/>
          <w:szCs w:val="24"/>
        </w:rPr>
        <w:t xml:space="preserve">“a. </w:t>
      </w:r>
      <w:r w:rsidR="00A13655" w:rsidRPr="00A13655">
        <w:rPr>
          <w:rFonts w:cs="Calibri"/>
          <w:sz w:val="24"/>
          <w:szCs w:val="24"/>
          <w:lang w:val="en"/>
        </w:rPr>
        <w:t xml:space="preserve">the planning, design, management, and regulation of: </w:t>
      </w:r>
    </w:p>
    <w:p w14:paraId="31A9483A" w14:textId="36190B00" w:rsidR="00A13655" w:rsidRPr="00A13655" w:rsidRDefault="00E60CA3" w:rsidP="00E60CA3">
      <w:pPr>
        <w:widowControl w:val="0"/>
        <w:numPr>
          <w:ilvl w:val="1"/>
          <w:numId w:val="26"/>
        </w:numPr>
        <w:tabs>
          <w:tab w:val="clear" w:pos="144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1560" w:firstLine="0"/>
        <w:rPr>
          <w:rFonts w:cs="Calibri"/>
          <w:sz w:val="24"/>
          <w:szCs w:val="24"/>
          <w:lang w:val="en"/>
        </w:rPr>
      </w:pPr>
      <w:r>
        <w:rPr>
          <w:rFonts w:cs="Calibri"/>
          <w:sz w:val="24"/>
          <w:szCs w:val="24"/>
          <w:lang w:val="en"/>
        </w:rPr>
        <w:t xml:space="preserve"> </w:t>
      </w:r>
      <w:r w:rsidR="00A13655" w:rsidRPr="00A13655">
        <w:rPr>
          <w:rFonts w:cs="Calibri"/>
          <w:sz w:val="24"/>
          <w:szCs w:val="24"/>
          <w:lang w:val="en"/>
        </w:rPr>
        <w:t xml:space="preserve">the built and natural environment, including commercial premises, housing, public spaces and amenities, </w:t>
      </w:r>
    </w:p>
    <w:p w14:paraId="4644A0ED" w14:textId="79C7DE75" w:rsidR="00A13655" w:rsidRPr="00A13655" w:rsidRDefault="00E60CA3" w:rsidP="00E60CA3">
      <w:pPr>
        <w:widowControl w:val="0"/>
        <w:numPr>
          <w:ilvl w:val="1"/>
          <w:numId w:val="26"/>
        </w:numPr>
        <w:tabs>
          <w:tab w:val="clear" w:pos="1440"/>
          <w:tab w:val="left" w:pos="709"/>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1560" w:firstLine="0"/>
        <w:rPr>
          <w:rFonts w:cs="Calibri"/>
          <w:sz w:val="24"/>
          <w:szCs w:val="24"/>
          <w:lang w:val="en"/>
        </w:rPr>
      </w:pPr>
      <w:r>
        <w:rPr>
          <w:rFonts w:cs="Calibri"/>
          <w:sz w:val="24"/>
          <w:szCs w:val="24"/>
          <w:lang w:val="en"/>
        </w:rPr>
        <w:t xml:space="preserve"> </w:t>
      </w:r>
      <w:r w:rsidR="00A13655" w:rsidRPr="00A13655">
        <w:rPr>
          <w:rFonts w:cs="Calibri"/>
          <w:sz w:val="24"/>
          <w:szCs w:val="24"/>
          <w:lang w:val="en"/>
        </w:rPr>
        <w:t xml:space="preserve">transport services and infrastructure, and </w:t>
      </w:r>
    </w:p>
    <w:p w14:paraId="51DE855B" w14:textId="03AE1815" w:rsidR="00A13655" w:rsidRPr="00A13655" w:rsidRDefault="00E60CA3" w:rsidP="00130E83">
      <w:pPr>
        <w:widowControl w:val="0"/>
        <w:numPr>
          <w:ilvl w:val="1"/>
          <w:numId w:val="26"/>
        </w:numPr>
        <w:tabs>
          <w:tab w:val="clear" w:pos="1440"/>
          <w:tab w:val="left" w:pos="709"/>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40" w:lineRule="auto"/>
        <w:ind w:left="1559" w:firstLine="0"/>
        <w:rPr>
          <w:rFonts w:cs="Calibri"/>
          <w:sz w:val="24"/>
          <w:szCs w:val="24"/>
          <w:lang w:val="en"/>
        </w:rPr>
      </w:pPr>
      <w:r>
        <w:rPr>
          <w:rFonts w:cs="Calibri"/>
          <w:sz w:val="24"/>
          <w:szCs w:val="24"/>
          <w:lang w:val="en"/>
        </w:rPr>
        <w:t xml:space="preserve"> </w:t>
      </w:r>
      <w:r w:rsidR="00A13655" w:rsidRPr="00A13655">
        <w:rPr>
          <w:rFonts w:cs="Calibri"/>
          <w:sz w:val="24"/>
          <w:szCs w:val="24"/>
          <w:lang w:val="en"/>
        </w:rPr>
        <w:t>communication and information systems, including Australian electronic media and the emerging Internet of things</w:t>
      </w:r>
      <w:r>
        <w:rPr>
          <w:rFonts w:cs="Calibri"/>
          <w:sz w:val="24"/>
          <w:szCs w:val="24"/>
          <w:lang w:val="en"/>
        </w:rPr>
        <w:t>”.</w:t>
      </w:r>
      <w:r w:rsidR="00A13655" w:rsidRPr="00A13655">
        <w:rPr>
          <w:rFonts w:cs="Calibri"/>
          <w:sz w:val="24"/>
          <w:szCs w:val="24"/>
          <w:lang w:val="en"/>
        </w:rPr>
        <w:t xml:space="preserve"> </w:t>
      </w:r>
    </w:p>
    <w:p w14:paraId="3EFB7744" w14:textId="355246E3" w:rsidR="00E60CA3" w:rsidRDefault="00130E83" w:rsidP="00130E8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4.2</w:t>
      </w:r>
      <w:r>
        <w:rPr>
          <w:rFonts w:cs="Calibri"/>
          <w:sz w:val="24"/>
          <w:szCs w:val="24"/>
        </w:rPr>
        <w:tab/>
        <w:t>DPO Australia continues to emphasise that “access to the built environment, telecommunications, our communities, services, premises and transport is critical for people with disability to participate fully in the economic, social and cultural life of our communities”.</w:t>
      </w:r>
      <w:r>
        <w:rPr>
          <w:rStyle w:val="FootnoteReference"/>
          <w:rFonts w:cs="Calibri"/>
          <w:sz w:val="24"/>
          <w:szCs w:val="24"/>
        </w:rPr>
        <w:footnoteReference w:id="51"/>
      </w:r>
    </w:p>
    <w:p w14:paraId="5531655C" w14:textId="038A04C0" w:rsidR="00130E83" w:rsidRDefault="00130E83" w:rsidP="00130E8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7" w:hanging="567"/>
        <w:rPr>
          <w:rFonts w:cs="Calibri"/>
          <w:sz w:val="24"/>
          <w:szCs w:val="24"/>
        </w:rPr>
      </w:pPr>
      <w:r>
        <w:rPr>
          <w:rFonts w:cs="Calibri"/>
          <w:sz w:val="24"/>
          <w:szCs w:val="24"/>
        </w:rPr>
        <w:t>4.3</w:t>
      </w:r>
      <w:r>
        <w:rPr>
          <w:rFonts w:cs="Calibri"/>
          <w:sz w:val="24"/>
          <w:szCs w:val="24"/>
        </w:rPr>
        <w:tab/>
        <w:t>While the NDS has progressed improvements in this area, people with disability continue to regularly report barriers to accessing buildings, transport, facilities and communication and information systems:</w:t>
      </w:r>
    </w:p>
    <w:p w14:paraId="32379497" w14:textId="508C7446" w:rsidR="00130E83" w:rsidRPr="00130E83" w:rsidRDefault="00130E83" w:rsidP="00130E8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rPr>
          <w:rFonts w:cs="Calibri"/>
          <w:sz w:val="24"/>
          <w:szCs w:val="24"/>
          <w:lang w:val="en-US"/>
        </w:rPr>
      </w:pPr>
      <w:r>
        <w:rPr>
          <w:rFonts w:cs="Calibri"/>
          <w:sz w:val="24"/>
          <w:szCs w:val="24"/>
        </w:rPr>
        <w:t>“</w:t>
      </w:r>
      <w:r w:rsidRPr="00130E83">
        <w:rPr>
          <w:rFonts w:cs="Calibri"/>
          <w:sz w:val="24"/>
          <w:szCs w:val="24"/>
          <w:lang w:val="en-US"/>
        </w:rPr>
        <w:t>Footpaths are poorly designed, essential services such as doctors and dentists are located within inaccessible premises, many public transport networks remain inaccessible and accessible toilets are often not available in public venues. Information on public services is often inadequate, unreliable, and not provided in accessible and alternate format, and there is no text based option to communicate with 000 emergency services. Captioning quotas on both free-to-air and subscription television continue to restrict access to news, information and entertainment for those who rely on captions; and there is no audio description provided at all on television in Australia.</w:t>
      </w:r>
      <w:r w:rsidR="00A613A2">
        <w:rPr>
          <w:rFonts w:cs="Calibri"/>
          <w:sz w:val="24"/>
          <w:szCs w:val="24"/>
          <w:lang w:val="en-US"/>
        </w:rPr>
        <w:t>”</w:t>
      </w:r>
      <w:r w:rsidR="00A613A2">
        <w:rPr>
          <w:rStyle w:val="FootnoteReference"/>
          <w:rFonts w:cs="Calibri"/>
          <w:sz w:val="24"/>
          <w:szCs w:val="24"/>
          <w:lang w:val="en-US"/>
        </w:rPr>
        <w:footnoteReference w:id="52"/>
      </w:r>
    </w:p>
    <w:p w14:paraId="0DD01A34" w14:textId="185B882F" w:rsidR="00130E83" w:rsidRDefault="00E84637" w:rsidP="00130E8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4.4</w:t>
      </w:r>
      <w:r>
        <w:rPr>
          <w:rFonts w:cs="Calibri"/>
          <w:sz w:val="24"/>
          <w:szCs w:val="24"/>
        </w:rPr>
        <w:tab/>
      </w:r>
      <w:r w:rsidR="0042523B">
        <w:rPr>
          <w:rFonts w:cs="Calibri"/>
          <w:sz w:val="24"/>
          <w:szCs w:val="24"/>
        </w:rPr>
        <w:t>In 2010-11, the Australian Government invested in “an accessibility package of initiatives” as part of the NDS.</w:t>
      </w:r>
      <w:r w:rsidR="0042523B">
        <w:rPr>
          <w:rStyle w:val="FootnoteReference"/>
          <w:rFonts w:cs="Calibri"/>
          <w:sz w:val="24"/>
          <w:szCs w:val="24"/>
        </w:rPr>
        <w:footnoteReference w:id="53"/>
      </w:r>
      <w:r w:rsidR="0042523B">
        <w:rPr>
          <w:rFonts w:cs="Calibri"/>
          <w:sz w:val="24"/>
          <w:szCs w:val="24"/>
        </w:rPr>
        <w:t xml:space="preserve">  The package consisted of six initiatives – Accessible Communities Program; Cinema Access Implementation Plan; Increasing Accessibility Library Initiative; Leaders for Tomorrow; Liveable Housing Design; and Ramp Up website.  </w:t>
      </w:r>
      <w:r w:rsidR="00DF4CDD">
        <w:rPr>
          <w:rFonts w:cs="Calibri"/>
          <w:sz w:val="24"/>
          <w:szCs w:val="24"/>
        </w:rPr>
        <w:t>However, except for Liveable Housing Design, DSS notes that these initiatives “have been completed”,</w:t>
      </w:r>
      <w:r w:rsidR="00DF4CDD">
        <w:rPr>
          <w:rStyle w:val="FootnoteReference"/>
          <w:rFonts w:cs="Calibri"/>
          <w:sz w:val="24"/>
          <w:szCs w:val="24"/>
        </w:rPr>
        <w:footnoteReference w:id="54"/>
      </w:r>
      <w:r w:rsidR="00DF4CDD">
        <w:rPr>
          <w:rFonts w:cs="Calibri"/>
          <w:sz w:val="24"/>
          <w:szCs w:val="24"/>
        </w:rPr>
        <w:t xml:space="preserve"> </w:t>
      </w:r>
      <w:r w:rsidR="006C1D09">
        <w:rPr>
          <w:rFonts w:cs="Calibri"/>
          <w:sz w:val="24"/>
          <w:szCs w:val="24"/>
        </w:rPr>
        <w:t>but</w:t>
      </w:r>
      <w:r w:rsidR="00DF4CDD">
        <w:rPr>
          <w:rFonts w:cs="Calibri"/>
          <w:sz w:val="24"/>
          <w:szCs w:val="24"/>
        </w:rPr>
        <w:t xml:space="preserve"> there appears to be no new accessibility </w:t>
      </w:r>
      <w:r w:rsidR="00DF4CDD">
        <w:rPr>
          <w:rFonts w:cs="Calibri"/>
          <w:sz w:val="24"/>
          <w:szCs w:val="24"/>
        </w:rPr>
        <w:lastRenderedPageBreak/>
        <w:t xml:space="preserve">initiatives to progress </w:t>
      </w:r>
      <w:r w:rsidR="007223A8">
        <w:rPr>
          <w:rFonts w:cs="Calibri"/>
          <w:sz w:val="24"/>
          <w:szCs w:val="24"/>
        </w:rPr>
        <w:t xml:space="preserve">or build on </w:t>
      </w:r>
      <w:r w:rsidR="00DF4CDD">
        <w:rPr>
          <w:rFonts w:cs="Calibri"/>
          <w:sz w:val="24"/>
          <w:szCs w:val="24"/>
        </w:rPr>
        <w:t xml:space="preserve">this work and / or focus on additional areas. </w:t>
      </w:r>
    </w:p>
    <w:p w14:paraId="291C0212" w14:textId="6A6F3E80" w:rsidR="00DF4CDD" w:rsidRDefault="00DF4CDD" w:rsidP="00130E8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4.5</w:t>
      </w:r>
      <w:r>
        <w:rPr>
          <w:rFonts w:cs="Calibri"/>
          <w:sz w:val="24"/>
          <w:szCs w:val="24"/>
        </w:rPr>
        <w:tab/>
      </w:r>
      <w:r w:rsidR="006C1D09">
        <w:rPr>
          <w:rFonts w:cs="Calibri"/>
          <w:sz w:val="24"/>
          <w:szCs w:val="24"/>
        </w:rPr>
        <w:t>Although ‘completed’, the Accessible Communities Program provides a good practice example of the Australian Government taking a leadership role in driving the NDS across local governments to increase accessibility for people with disability in their local communities.</w:t>
      </w:r>
      <w:r w:rsidR="00DA2CA5">
        <w:rPr>
          <w:rStyle w:val="FootnoteReference"/>
          <w:rFonts w:cs="Calibri"/>
          <w:sz w:val="24"/>
          <w:szCs w:val="24"/>
        </w:rPr>
        <w:footnoteReference w:id="55"/>
      </w:r>
      <w:r w:rsidR="006C1D09">
        <w:rPr>
          <w:rFonts w:cs="Calibri"/>
          <w:sz w:val="24"/>
          <w:szCs w:val="24"/>
        </w:rPr>
        <w:t xml:space="preserve">  Under this Program, the Australian government provided a ‘matching grant’ to local councils to undertake </w:t>
      </w:r>
      <w:r w:rsidR="006C1D09" w:rsidRPr="006C1D09">
        <w:rPr>
          <w:rFonts w:cs="Calibri"/>
          <w:sz w:val="24"/>
          <w:szCs w:val="24"/>
        </w:rPr>
        <w:t xml:space="preserve">projects </w:t>
      </w:r>
      <w:r w:rsidR="006C1D09">
        <w:rPr>
          <w:rFonts w:cs="Calibri"/>
          <w:sz w:val="24"/>
          <w:szCs w:val="24"/>
        </w:rPr>
        <w:t xml:space="preserve">to </w:t>
      </w:r>
      <w:r w:rsidR="006C1D09" w:rsidRPr="006C1D09">
        <w:rPr>
          <w:rFonts w:cs="Calibri"/>
          <w:sz w:val="24"/>
          <w:szCs w:val="24"/>
        </w:rPr>
        <w:t>increase access and participation of people with disability in their local community</w:t>
      </w:r>
      <w:r w:rsidR="006C1D09">
        <w:rPr>
          <w:rFonts w:cs="Calibri"/>
          <w:sz w:val="24"/>
          <w:szCs w:val="24"/>
        </w:rPr>
        <w:t xml:space="preserve">, </w:t>
      </w:r>
      <w:r w:rsidR="006C1D09" w:rsidRPr="006C1D09">
        <w:rPr>
          <w:rFonts w:cs="Calibri"/>
          <w:sz w:val="24"/>
          <w:szCs w:val="24"/>
        </w:rPr>
        <w:t>such as installing accessible toilets in a local park</w:t>
      </w:r>
      <w:r w:rsidR="006C1D09">
        <w:rPr>
          <w:rFonts w:cs="Calibri"/>
          <w:sz w:val="24"/>
          <w:szCs w:val="24"/>
        </w:rPr>
        <w:t>, making local buildings accessible and creating accessible playgrounds</w:t>
      </w:r>
      <w:r w:rsidR="006C1D09" w:rsidRPr="006C1D09">
        <w:rPr>
          <w:rFonts w:cs="Calibri"/>
          <w:sz w:val="24"/>
          <w:szCs w:val="24"/>
        </w:rPr>
        <w:t>.</w:t>
      </w:r>
      <w:r w:rsidR="006C1D09">
        <w:rPr>
          <w:rFonts w:cs="Calibri"/>
          <w:sz w:val="24"/>
          <w:szCs w:val="24"/>
        </w:rPr>
        <w:t xml:space="preserve"> </w:t>
      </w:r>
      <w:r w:rsidR="00E92E8D">
        <w:rPr>
          <w:rFonts w:cs="Calibri"/>
          <w:sz w:val="24"/>
          <w:szCs w:val="24"/>
        </w:rPr>
        <w:t xml:space="preserve"> </w:t>
      </w:r>
      <w:r w:rsidR="00E92E8D" w:rsidRPr="006C1D09">
        <w:rPr>
          <w:rFonts w:cs="Calibri"/>
          <w:sz w:val="24"/>
          <w:szCs w:val="24"/>
        </w:rPr>
        <w:t xml:space="preserve">To be eligible for the grant, Councils </w:t>
      </w:r>
      <w:r w:rsidR="00E92E8D">
        <w:rPr>
          <w:rFonts w:cs="Calibri"/>
          <w:sz w:val="24"/>
          <w:szCs w:val="24"/>
        </w:rPr>
        <w:t xml:space="preserve">had to </w:t>
      </w:r>
      <w:r w:rsidR="00E92E8D" w:rsidRPr="006C1D09">
        <w:rPr>
          <w:rFonts w:cs="Calibri"/>
          <w:sz w:val="24"/>
          <w:szCs w:val="24"/>
        </w:rPr>
        <w:t xml:space="preserve">provide evidence that they consulted with people with disability and </w:t>
      </w:r>
      <w:r w:rsidR="00E92E8D">
        <w:rPr>
          <w:rFonts w:cs="Calibri"/>
          <w:sz w:val="24"/>
          <w:szCs w:val="24"/>
        </w:rPr>
        <w:t xml:space="preserve">had </w:t>
      </w:r>
      <w:r w:rsidR="00E92E8D" w:rsidRPr="006C1D09">
        <w:rPr>
          <w:rFonts w:cs="Calibri"/>
          <w:sz w:val="24"/>
          <w:szCs w:val="24"/>
        </w:rPr>
        <w:t>their support for project</w:t>
      </w:r>
      <w:r w:rsidR="00E92E8D">
        <w:rPr>
          <w:rFonts w:cs="Calibri"/>
          <w:sz w:val="24"/>
          <w:szCs w:val="24"/>
        </w:rPr>
        <w:t>s</w:t>
      </w:r>
      <w:r w:rsidR="00E92E8D" w:rsidRPr="006C1D09">
        <w:rPr>
          <w:rFonts w:cs="Calibri"/>
          <w:sz w:val="24"/>
          <w:szCs w:val="24"/>
        </w:rPr>
        <w:t>.</w:t>
      </w:r>
      <w:r w:rsidR="00E92E8D">
        <w:rPr>
          <w:rFonts w:cs="Calibri"/>
          <w:sz w:val="24"/>
          <w:szCs w:val="24"/>
        </w:rPr>
        <w:t xml:space="preserve"> Local councils had the ability to drive innovation and trial new ideas, and it particularly assisted poorer resourced councils. Rather than being a one-off grants program, the Accessible Communities Program, or a similar program should continue to be an ongoing measure under the NDS.</w:t>
      </w:r>
    </w:p>
    <w:p w14:paraId="6E37AE3A" w14:textId="2615A86A" w:rsidR="0077432F" w:rsidRDefault="00DA2CA5" w:rsidP="007743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4.6</w:t>
      </w:r>
      <w:r>
        <w:rPr>
          <w:rFonts w:cs="Calibri"/>
          <w:sz w:val="24"/>
          <w:szCs w:val="24"/>
        </w:rPr>
        <w:tab/>
        <w:t xml:space="preserve">The ‘completion’ of the Ramp Up website </w:t>
      </w:r>
      <w:r w:rsidR="0077432F">
        <w:rPr>
          <w:rFonts w:cs="Calibri"/>
          <w:sz w:val="24"/>
          <w:szCs w:val="24"/>
        </w:rPr>
        <w:t xml:space="preserve">in 2014 </w:t>
      </w:r>
      <w:r>
        <w:rPr>
          <w:rFonts w:cs="Calibri"/>
          <w:sz w:val="24"/>
          <w:szCs w:val="24"/>
        </w:rPr>
        <w:t>has left “no dedicated portal or programming voice within any ABC platform for disability”.</w:t>
      </w:r>
      <w:r>
        <w:rPr>
          <w:rStyle w:val="FootnoteReference"/>
          <w:rFonts w:cs="Calibri"/>
          <w:sz w:val="24"/>
          <w:szCs w:val="24"/>
        </w:rPr>
        <w:footnoteReference w:id="56"/>
      </w:r>
      <w:r>
        <w:rPr>
          <w:rFonts w:cs="Calibri"/>
          <w:sz w:val="24"/>
          <w:szCs w:val="24"/>
        </w:rPr>
        <w:t xml:space="preserve"> </w:t>
      </w:r>
      <w:r w:rsidR="0077432F">
        <w:rPr>
          <w:rFonts w:cs="Calibri"/>
          <w:sz w:val="24"/>
          <w:szCs w:val="24"/>
        </w:rPr>
        <w:t xml:space="preserve">There was strong reaction from the disability community to the end of Ramp Up, </w:t>
      </w:r>
      <w:r w:rsidR="006522A5">
        <w:rPr>
          <w:rFonts w:cs="Calibri"/>
          <w:sz w:val="24"/>
          <w:szCs w:val="24"/>
        </w:rPr>
        <w:t xml:space="preserve">and people with disability continue to express the need for a visible presence on the public broadcaster.  There is </w:t>
      </w:r>
      <w:r w:rsidR="0077432F">
        <w:rPr>
          <w:rFonts w:cs="Calibri"/>
          <w:sz w:val="24"/>
          <w:szCs w:val="24"/>
        </w:rPr>
        <w:t xml:space="preserve">a clear need for the </w:t>
      </w:r>
      <w:r w:rsidR="006522A5">
        <w:rPr>
          <w:rFonts w:cs="Calibri"/>
          <w:sz w:val="24"/>
          <w:szCs w:val="24"/>
        </w:rPr>
        <w:t>ABC</w:t>
      </w:r>
      <w:r w:rsidR="0077432F">
        <w:rPr>
          <w:rFonts w:cs="Calibri"/>
          <w:sz w:val="24"/>
          <w:szCs w:val="24"/>
        </w:rPr>
        <w:t xml:space="preserve"> to follow the lead of the BBC and Channel 4 in the UK. Both have made strong statements about inclusion of people with disability in general programming and other specific measures.  </w:t>
      </w:r>
      <w:r w:rsidR="0077432F" w:rsidRPr="0077432F">
        <w:rPr>
          <w:rFonts w:cs="Calibri"/>
          <w:sz w:val="24"/>
          <w:szCs w:val="24"/>
        </w:rPr>
        <w:t xml:space="preserve">The BBC has long supported the </w:t>
      </w:r>
      <w:r w:rsidR="006522A5">
        <w:rPr>
          <w:rFonts w:cs="Calibri"/>
          <w:sz w:val="24"/>
          <w:szCs w:val="24"/>
        </w:rPr>
        <w:t xml:space="preserve">Ouch portal </w:t>
      </w:r>
      <w:r w:rsidR="0077432F" w:rsidRPr="0077432F">
        <w:rPr>
          <w:rFonts w:cs="Calibri"/>
          <w:sz w:val="24"/>
          <w:szCs w:val="24"/>
        </w:rPr>
        <w:t>that includes a weekly podcast, videos and written pieces about all aspects of disability.</w:t>
      </w:r>
      <w:r w:rsidR="006522A5">
        <w:rPr>
          <w:rStyle w:val="FootnoteReference"/>
          <w:rFonts w:cs="Calibri"/>
          <w:sz w:val="24"/>
          <w:szCs w:val="24"/>
        </w:rPr>
        <w:footnoteReference w:id="57"/>
      </w:r>
      <w:r w:rsidR="0077432F" w:rsidRPr="0077432F">
        <w:rPr>
          <w:rFonts w:cs="Calibri"/>
          <w:sz w:val="24"/>
          <w:szCs w:val="24"/>
        </w:rPr>
        <w:t xml:space="preserve"> They have also made commitments to including people with disability across all program content. Channel 4 announced 2016 as its Year of Disability and along with its </w:t>
      </w:r>
      <w:r w:rsidR="0077432F" w:rsidRPr="006522A5">
        <w:rPr>
          <w:rFonts w:cs="Calibri"/>
          <w:sz w:val="24"/>
          <w:szCs w:val="24"/>
        </w:rPr>
        <w:t>360° Diversity Charter</w:t>
      </w:r>
      <w:r w:rsidR="0077432F" w:rsidRPr="0077432F">
        <w:rPr>
          <w:rFonts w:cs="Calibri"/>
          <w:sz w:val="24"/>
          <w:szCs w:val="24"/>
        </w:rPr>
        <w:t xml:space="preserve"> has developed a range of measures to help deliver more diversity, on and off screen.</w:t>
      </w:r>
      <w:r w:rsidR="006522A5">
        <w:rPr>
          <w:rStyle w:val="FootnoteReference"/>
          <w:rFonts w:cs="Calibri"/>
          <w:sz w:val="24"/>
          <w:szCs w:val="24"/>
        </w:rPr>
        <w:footnoteReference w:id="58"/>
      </w:r>
      <w:r w:rsidR="00016778">
        <w:rPr>
          <w:rFonts w:cs="Calibri"/>
          <w:sz w:val="24"/>
          <w:szCs w:val="24"/>
        </w:rPr>
        <w:t xml:space="preserve"> </w:t>
      </w:r>
    </w:p>
    <w:p w14:paraId="3F04029A" w14:textId="3C645F78" w:rsidR="00114D6E" w:rsidRDefault="00114D6E" w:rsidP="007743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4.7</w:t>
      </w:r>
      <w:r>
        <w:rPr>
          <w:rFonts w:cs="Calibri"/>
          <w:sz w:val="24"/>
          <w:szCs w:val="24"/>
        </w:rPr>
        <w:tab/>
      </w:r>
      <w:r w:rsidR="007223A8">
        <w:rPr>
          <w:rFonts w:cs="Calibri"/>
          <w:sz w:val="24"/>
          <w:szCs w:val="24"/>
        </w:rPr>
        <w:t>While DSS notes that “the Liveable Housing Design initiative provides ongoing guidance for the residential design and construction industry”,</w:t>
      </w:r>
      <w:r w:rsidR="00623241">
        <w:rPr>
          <w:rStyle w:val="FootnoteReference"/>
          <w:rFonts w:cs="Calibri"/>
          <w:sz w:val="24"/>
          <w:szCs w:val="24"/>
        </w:rPr>
        <w:footnoteReference w:id="59"/>
      </w:r>
      <w:r w:rsidR="007223A8">
        <w:rPr>
          <w:rFonts w:cs="Calibri"/>
          <w:sz w:val="24"/>
          <w:szCs w:val="24"/>
        </w:rPr>
        <w:t xml:space="preserve"> this initiative has not been successful in driving reform within the housing industry.   The </w:t>
      </w:r>
      <w:r w:rsidR="00126525">
        <w:rPr>
          <w:rFonts w:cs="Calibri"/>
          <w:sz w:val="24"/>
          <w:szCs w:val="24"/>
        </w:rPr>
        <w:t>aspirational, voluntary targets developed as part of the Liveable Housing Design initiative are far from being met, with less than 5% of the minimum access targets expected to be met by 2020.</w:t>
      </w:r>
      <w:r w:rsidR="00B025A2">
        <w:rPr>
          <w:rStyle w:val="FootnoteReference"/>
          <w:rFonts w:cs="Calibri"/>
          <w:sz w:val="24"/>
          <w:szCs w:val="24"/>
        </w:rPr>
        <w:footnoteReference w:id="60"/>
      </w:r>
      <w:r w:rsidR="00126525">
        <w:rPr>
          <w:rFonts w:cs="Calibri"/>
          <w:sz w:val="24"/>
          <w:szCs w:val="24"/>
        </w:rPr>
        <w:t xml:space="preserve"> </w:t>
      </w:r>
      <w:r w:rsidR="00B025A2">
        <w:rPr>
          <w:rFonts w:cs="Calibri"/>
          <w:sz w:val="24"/>
          <w:szCs w:val="24"/>
        </w:rPr>
        <w:t>The crisis in housing affordability and accessibility is evident in the roll out of the NDIS</w:t>
      </w:r>
      <w:r w:rsidR="00E065DC">
        <w:rPr>
          <w:rFonts w:cs="Calibri"/>
          <w:sz w:val="24"/>
          <w:szCs w:val="24"/>
        </w:rPr>
        <w:t xml:space="preserve">, </w:t>
      </w:r>
      <w:r w:rsidR="00623241">
        <w:rPr>
          <w:rFonts w:cs="Calibri"/>
          <w:sz w:val="24"/>
          <w:szCs w:val="24"/>
        </w:rPr>
        <w:t>and t</w:t>
      </w:r>
      <w:r w:rsidR="00E065DC">
        <w:rPr>
          <w:rFonts w:cs="Calibri"/>
          <w:sz w:val="24"/>
          <w:szCs w:val="24"/>
        </w:rPr>
        <w:t xml:space="preserve">he Joint Standing Committee on the NDIS recommended greater </w:t>
      </w:r>
      <w:r w:rsidR="00E065DC">
        <w:rPr>
          <w:rFonts w:cs="Calibri"/>
          <w:sz w:val="24"/>
          <w:szCs w:val="24"/>
        </w:rPr>
        <w:lastRenderedPageBreak/>
        <w:t>regulation to ensure all new housing is compliant with an updated Building Code of Australia.</w:t>
      </w:r>
      <w:r w:rsidR="00E065DC">
        <w:rPr>
          <w:rStyle w:val="FootnoteReference"/>
          <w:rFonts w:cs="Calibri"/>
          <w:sz w:val="24"/>
          <w:szCs w:val="24"/>
        </w:rPr>
        <w:footnoteReference w:id="61"/>
      </w:r>
      <w:r w:rsidR="00E065DC">
        <w:rPr>
          <w:rFonts w:cs="Calibri"/>
          <w:sz w:val="24"/>
          <w:szCs w:val="24"/>
        </w:rPr>
        <w:t xml:space="preserve">  </w:t>
      </w:r>
      <w:r w:rsidR="00623241">
        <w:rPr>
          <w:rFonts w:cs="Calibri"/>
          <w:sz w:val="24"/>
          <w:szCs w:val="24"/>
        </w:rPr>
        <w:t xml:space="preserve">The issue of affordable, accessible housing is not just confined to the NDIS, but it is an issue for all people with disability and those who are aging.  In order to ensure the COAG commitment to universal housing design in the NDS is met, there needs to be urgent COAG consideration of changing voluntary self-regulation to support for regulatory intervention within the National Construction Code. </w:t>
      </w:r>
    </w:p>
    <w:p w14:paraId="64BE3B05" w14:textId="0811D705" w:rsidR="005F42CF" w:rsidRDefault="00623241" w:rsidP="00B51091">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lang w:val="en-US"/>
        </w:rPr>
      </w:pPr>
      <w:r>
        <w:rPr>
          <w:rFonts w:cs="Calibri"/>
          <w:sz w:val="24"/>
          <w:szCs w:val="24"/>
        </w:rPr>
        <w:t>4.8</w:t>
      </w:r>
      <w:r>
        <w:rPr>
          <w:rFonts w:cs="Calibri"/>
          <w:sz w:val="24"/>
          <w:szCs w:val="24"/>
        </w:rPr>
        <w:tab/>
      </w:r>
      <w:r w:rsidR="005F42CF" w:rsidRPr="005F42CF">
        <w:rPr>
          <w:rFonts w:cs="Calibri"/>
          <w:sz w:val="24"/>
          <w:szCs w:val="24"/>
          <w:lang w:val="en-US"/>
        </w:rPr>
        <w:t xml:space="preserve">The Disability Standards for Accessible Public Transport </w:t>
      </w:r>
      <w:r w:rsidR="00B51091">
        <w:rPr>
          <w:rFonts w:cs="Calibri"/>
          <w:sz w:val="24"/>
          <w:szCs w:val="24"/>
          <w:lang w:val="en-US"/>
        </w:rPr>
        <w:t xml:space="preserve">(DSAPT) </w:t>
      </w:r>
      <w:r w:rsidR="005F42CF" w:rsidRPr="005F42CF">
        <w:rPr>
          <w:rFonts w:cs="Calibri"/>
          <w:sz w:val="24"/>
          <w:szCs w:val="24"/>
          <w:lang w:val="en-US"/>
        </w:rPr>
        <w:t xml:space="preserve">and the Disability (Access to Premises – Buildings) Standards aim to provide people with disability with equitable and dignified access to public transport and </w:t>
      </w:r>
      <w:r w:rsidR="00415978">
        <w:rPr>
          <w:rFonts w:cs="Calibri"/>
          <w:sz w:val="24"/>
          <w:szCs w:val="24"/>
          <w:lang w:val="en-US"/>
        </w:rPr>
        <w:t xml:space="preserve">public </w:t>
      </w:r>
      <w:r w:rsidR="005F42CF" w:rsidRPr="005F42CF">
        <w:rPr>
          <w:rFonts w:cs="Calibri"/>
          <w:sz w:val="24"/>
          <w:szCs w:val="24"/>
          <w:lang w:val="en-US"/>
        </w:rPr>
        <w:t>buildings and provide certainty to industry that they are complying with the Disability Discrimination Act 1992</w:t>
      </w:r>
      <w:r w:rsidR="00B51091">
        <w:rPr>
          <w:rFonts w:cs="Calibri"/>
          <w:sz w:val="24"/>
          <w:szCs w:val="24"/>
          <w:lang w:val="en-US"/>
        </w:rPr>
        <w:t xml:space="preserve"> (DDA)</w:t>
      </w:r>
      <w:r w:rsidR="005F42CF" w:rsidRPr="005F42CF">
        <w:rPr>
          <w:rFonts w:cs="Calibri"/>
          <w:sz w:val="24"/>
          <w:szCs w:val="24"/>
          <w:lang w:val="en-US"/>
        </w:rPr>
        <w:t xml:space="preserve">. The current reviews of both the </w:t>
      </w:r>
      <w:r w:rsidR="00B51091">
        <w:rPr>
          <w:rFonts w:cs="Calibri"/>
          <w:sz w:val="24"/>
          <w:szCs w:val="24"/>
          <w:lang w:val="en-US"/>
        </w:rPr>
        <w:t>DSAPT</w:t>
      </w:r>
      <w:r w:rsidR="005F42CF" w:rsidRPr="005F42CF">
        <w:rPr>
          <w:rFonts w:cs="Calibri"/>
          <w:sz w:val="24"/>
          <w:szCs w:val="24"/>
          <w:lang w:val="en-US"/>
        </w:rPr>
        <w:t xml:space="preserve"> and </w:t>
      </w:r>
      <w:r w:rsidR="00B51091">
        <w:rPr>
          <w:rFonts w:cs="Calibri"/>
          <w:sz w:val="24"/>
          <w:szCs w:val="24"/>
          <w:lang w:val="en-US"/>
        </w:rPr>
        <w:t>Access to P</w:t>
      </w:r>
      <w:r w:rsidR="005F42CF" w:rsidRPr="005F42CF">
        <w:rPr>
          <w:rFonts w:cs="Calibri"/>
          <w:sz w:val="24"/>
          <w:szCs w:val="24"/>
          <w:lang w:val="en-US"/>
        </w:rPr>
        <w:t xml:space="preserve">remises Standards </w:t>
      </w:r>
      <w:r w:rsidR="00B51091">
        <w:rPr>
          <w:rFonts w:cs="Calibri"/>
          <w:sz w:val="24"/>
          <w:szCs w:val="24"/>
          <w:lang w:val="en-US"/>
        </w:rPr>
        <w:t>are</w:t>
      </w:r>
      <w:r w:rsidR="005F42CF" w:rsidRPr="005F42CF">
        <w:rPr>
          <w:rFonts w:cs="Calibri"/>
          <w:sz w:val="24"/>
          <w:szCs w:val="24"/>
          <w:lang w:val="en-US"/>
        </w:rPr>
        <w:t xml:space="preserve"> critical, but there have been tight consultation timeframes and no mechanism to negotiate differing views across sectors, including the disabilit</w:t>
      </w:r>
      <w:r w:rsidR="00B51091">
        <w:rPr>
          <w:rFonts w:cs="Calibri"/>
          <w:sz w:val="24"/>
          <w:szCs w:val="24"/>
          <w:lang w:val="en-US"/>
        </w:rPr>
        <w:t>y, design, certification, anti-</w:t>
      </w:r>
      <w:r w:rsidR="005F42CF" w:rsidRPr="005F42CF">
        <w:rPr>
          <w:rFonts w:cs="Calibri"/>
          <w:sz w:val="24"/>
          <w:szCs w:val="24"/>
          <w:lang w:val="en-US"/>
        </w:rPr>
        <w:t xml:space="preserve">discrimination and government sectors to ensure the reviews deliver increased consistency of application and greater compliance, and to </w:t>
      </w:r>
      <w:proofErr w:type="spellStart"/>
      <w:r w:rsidR="005F42CF" w:rsidRPr="005F42CF">
        <w:rPr>
          <w:rFonts w:cs="Calibri"/>
          <w:sz w:val="24"/>
          <w:szCs w:val="24"/>
          <w:lang w:val="en-US"/>
        </w:rPr>
        <w:t>minimise</w:t>
      </w:r>
      <w:proofErr w:type="spellEnd"/>
      <w:r w:rsidR="005F42CF" w:rsidRPr="005F42CF">
        <w:rPr>
          <w:rFonts w:cs="Calibri"/>
          <w:sz w:val="24"/>
          <w:szCs w:val="24"/>
          <w:lang w:val="en-US"/>
        </w:rPr>
        <w:t xml:space="preserve"> ambiguity about how Standards work in relation to other legislation, policies and frameworks in Australia.</w:t>
      </w:r>
      <w:r w:rsidR="00B51091">
        <w:rPr>
          <w:rStyle w:val="FootnoteReference"/>
          <w:rFonts w:cs="Calibri"/>
          <w:sz w:val="24"/>
          <w:szCs w:val="24"/>
          <w:lang w:val="en-US"/>
        </w:rPr>
        <w:footnoteReference w:id="62"/>
      </w:r>
    </w:p>
    <w:p w14:paraId="6AFAF7AB" w14:textId="594DF9D3" w:rsidR="00896A8C" w:rsidRDefault="00B51091" w:rsidP="00B51091">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lang w:val="en-US"/>
        </w:rPr>
        <w:t>4.9</w:t>
      </w:r>
      <w:r>
        <w:rPr>
          <w:rFonts w:cs="Calibri"/>
          <w:sz w:val="24"/>
          <w:szCs w:val="24"/>
          <w:lang w:val="en-US"/>
        </w:rPr>
        <w:tab/>
      </w:r>
      <w:r w:rsidRPr="00B51091">
        <w:rPr>
          <w:rFonts w:cs="Calibri"/>
          <w:sz w:val="24"/>
          <w:szCs w:val="24"/>
        </w:rPr>
        <w:t>There is currently no coordinated mechanism for monitoring implementation of D</w:t>
      </w:r>
      <w:r>
        <w:rPr>
          <w:rFonts w:cs="Calibri"/>
          <w:sz w:val="24"/>
          <w:szCs w:val="24"/>
        </w:rPr>
        <w:t xml:space="preserve">SAPT </w:t>
      </w:r>
      <w:r w:rsidR="00896A8C">
        <w:rPr>
          <w:rFonts w:cs="Calibri"/>
          <w:sz w:val="24"/>
          <w:szCs w:val="24"/>
        </w:rPr>
        <w:t xml:space="preserve">and the </w:t>
      </w:r>
      <w:r w:rsidRPr="00B51091">
        <w:rPr>
          <w:rFonts w:cs="Calibri"/>
          <w:sz w:val="24"/>
          <w:szCs w:val="24"/>
        </w:rPr>
        <w:t xml:space="preserve">Access to Premises </w:t>
      </w:r>
      <w:r w:rsidR="00896A8C">
        <w:rPr>
          <w:rFonts w:cs="Calibri"/>
          <w:sz w:val="24"/>
          <w:szCs w:val="24"/>
        </w:rPr>
        <w:t xml:space="preserve">Standards, and this makes it extremely </w:t>
      </w:r>
      <w:r w:rsidRPr="00B51091">
        <w:rPr>
          <w:rFonts w:cs="Calibri"/>
          <w:sz w:val="24"/>
          <w:szCs w:val="24"/>
        </w:rPr>
        <w:t xml:space="preserve">difficult to measure </w:t>
      </w:r>
      <w:r w:rsidR="00896A8C">
        <w:rPr>
          <w:rFonts w:cs="Calibri"/>
          <w:sz w:val="24"/>
          <w:szCs w:val="24"/>
        </w:rPr>
        <w:t>progress</w:t>
      </w:r>
      <w:r w:rsidRPr="00B51091">
        <w:rPr>
          <w:rFonts w:cs="Calibri"/>
          <w:sz w:val="24"/>
          <w:szCs w:val="24"/>
        </w:rPr>
        <w:t xml:space="preserve"> at the national level. T</w:t>
      </w:r>
      <w:r w:rsidR="00896A8C">
        <w:rPr>
          <w:rFonts w:cs="Calibri"/>
          <w:sz w:val="24"/>
          <w:szCs w:val="24"/>
        </w:rPr>
        <w:t>his is exacerbated by the lack of both quantitative and qualitative data and the lack of compliance measures, both of which impact on the ability to review, evaluate and implement changes.</w:t>
      </w:r>
      <w:r w:rsidR="00896A8C">
        <w:rPr>
          <w:rStyle w:val="FootnoteReference"/>
          <w:rFonts w:cs="Calibri"/>
          <w:sz w:val="24"/>
          <w:szCs w:val="24"/>
        </w:rPr>
        <w:footnoteReference w:id="63"/>
      </w:r>
      <w:r w:rsidR="00896A8C">
        <w:rPr>
          <w:rFonts w:cs="Calibri"/>
          <w:sz w:val="24"/>
          <w:szCs w:val="24"/>
        </w:rPr>
        <w:t xml:space="preserve">  A coordination mechanism with access to rigorous data </w:t>
      </w:r>
      <w:r w:rsidR="006249DA">
        <w:rPr>
          <w:rFonts w:cs="Calibri"/>
          <w:sz w:val="24"/>
          <w:szCs w:val="24"/>
        </w:rPr>
        <w:t>could</w:t>
      </w:r>
      <w:r w:rsidR="00896A8C">
        <w:rPr>
          <w:rFonts w:cs="Calibri"/>
          <w:sz w:val="24"/>
          <w:szCs w:val="24"/>
        </w:rPr>
        <w:t xml:space="preserve"> publicly report on progress in achieving the DSAPT and the Access to Premises Standards. </w:t>
      </w:r>
    </w:p>
    <w:p w14:paraId="03326824" w14:textId="77777777" w:rsidR="00E04758" w:rsidRDefault="006249DA" w:rsidP="00B51091">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4.10</w:t>
      </w:r>
      <w:r>
        <w:rPr>
          <w:rFonts w:cs="Calibri"/>
          <w:sz w:val="24"/>
          <w:szCs w:val="24"/>
        </w:rPr>
        <w:tab/>
      </w:r>
      <w:r w:rsidR="00E04758">
        <w:rPr>
          <w:rFonts w:cs="Calibri"/>
          <w:sz w:val="24"/>
          <w:szCs w:val="24"/>
        </w:rPr>
        <w:t xml:space="preserve">It is becoming increasingly common for the internet to be the sole method to access information and goods and services, yet website inaccessibility continues to be an issue for people with disability.  Some people with disability do not have direct access to the internet, and existing and emerging technological developments in media, telecommunications IT devices and applications are not always accessible. </w:t>
      </w:r>
    </w:p>
    <w:p w14:paraId="1F7606AB" w14:textId="6A4FB0F1" w:rsidR="006249DA" w:rsidRDefault="00E04758" w:rsidP="00B51091">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4.11</w:t>
      </w:r>
      <w:r>
        <w:rPr>
          <w:rFonts w:cs="Calibri"/>
          <w:sz w:val="24"/>
          <w:szCs w:val="24"/>
        </w:rPr>
        <w:tab/>
        <w:t xml:space="preserve">States, Territory and Local Council Disability Plans are critical to achieving inclusive and accessible communities (see </w:t>
      </w:r>
      <w:r w:rsidR="004105BE">
        <w:rPr>
          <w:rFonts w:cs="Calibri"/>
          <w:sz w:val="24"/>
          <w:szCs w:val="24"/>
        </w:rPr>
        <w:t xml:space="preserve">3.2.6), but there is no coordinated way to drive this work across these levels of government.  Good practice exists, for example in NSW, where the NSW Disability Inclusion Act 2014 requires the NSW State Government, and its agencies, as well as Local Councils to develop Disability Inclusion Action Plans </w:t>
      </w:r>
      <w:r w:rsidR="004105BE">
        <w:rPr>
          <w:rFonts w:cs="Calibri"/>
          <w:sz w:val="24"/>
          <w:szCs w:val="24"/>
        </w:rPr>
        <w:lastRenderedPageBreak/>
        <w:t>(DIAPs).  A collaborative approach between the NSW Government and Local Government NSW has resulted in the development of guidelines to support the development of DIAPs.</w:t>
      </w:r>
      <w:r w:rsidR="004105BE">
        <w:rPr>
          <w:rStyle w:val="FootnoteReference"/>
          <w:rFonts w:cs="Calibri"/>
          <w:sz w:val="24"/>
          <w:szCs w:val="24"/>
        </w:rPr>
        <w:footnoteReference w:id="64"/>
      </w:r>
      <w:r w:rsidR="004105BE">
        <w:rPr>
          <w:rFonts w:cs="Calibri"/>
          <w:sz w:val="24"/>
          <w:szCs w:val="24"/>
        </w:rPr>
        <w:t xml:space="preserve">  </w:t>
      </w:r>
    </w:p>
    <w:p w14:paraId="6F76C6F7" w14:textId="039014C6" w:rsidR="008B4A19" w:rsidRPr="001F3E46" w:rsidRDefault="008B4A19" w:rsidP="001F3E46">
      <w:pPr>
        <w:pStyle w:val="ListParagraph"/>
        <w:widowControl w:val="0"/>
        <w:numPr>
          <w:ilvl w:val="1"/>
          <w:numId w:val="38"/>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7" w:hanging="567"/>
        <w:contextualSpacing w:val="0"/>
        <w:rPr>
          <w:rFonts w:cs="Calibri"/>
          <w:sz w:val="24"/>
          <w:szCs w:val="24"/>
        </w:rPr>
      </w:pPr>
      <w:r w:rsidRPr="001F3E46">
        <w:rPr>
          <w:rFonts w:cs="Calibri"/>
          <w:sz w:val="24"/>
          <w:szCs w:val="24"/>
        </w:rPr>
        <w:t>Recommendations:</w:t>
      </w:r>
    </w:p>
    <w:p w14:paraId="0C5D19EC" w14:textId="4D9BF7EB" w:rsidR="00F50EA1" w:rsidRPr="002D2D68" w:rsidRDefault="00140B59" w:rsidP="001F3E46">
      <w:pPr>
        <w:pStyle w:val="ListParagraph"/>
        <w:widowControl w:val="0"/>
        <w:numPr>
          <w:ilvl w:val="0"/>
          <w:numId w:val="39"/>
        </w:numPr>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992" w:hanging="425"/>
        <w:contextualSpacing w:val="0"/>
        <w:rPr>
          <w:rFonts w:cs="Calibri"/>
          <w:b/>
          <w:i/>
          <w:sz w:val="24"/>
          <w:szCs w:val="24"/>
          <w:lang w:val="en-US"/>
        </w:rPr>
      </w:pPr>
      <w:r>
        <w:rPr>
          <w:rFonts w:cs="Calibri"/>
          <w:b/>
          <w:i/>
          <w:sz w:val="24"/>
          <w:szCs w:val="24"/>
          <w:lang w:val="en-US"/>
        </w:rPr>
        <w:t xml:space="preserve">Commit to investment in </w:t>
      </w:r>
      <w:r w:rsidR="00F50EA1">
        <w:rPr>
          <w:rFonts w:cs="Calibri"/>
          <w:b/>
          <w:i/>
          <w:sz w:val="24"/>
          <w:szCs w:val="24"/>
          <w:lang w:val="en-US"/>
        </w:rPr>
        <w:t xml:space="preserve">accessibility initiatives that sustain innovative action and measures at the local government level in order to increase </w:t>
      </w:r>
      <w:r w:rsidR="00F50EA1" w:rsidRPr="00F50EA1">
        <w:rPr>
          <w:rFonts w:cs="Calibri"/>
          <w:b/>
          <w:i/>
          <w:sz w:val="24"/>
          <w:szCs w:val="24"/>
        </w:rPr>
        <w:t>accessibility for people with disability in their local communities</w:t>
      </w:r>
      <w:r w:rsidR="00F50EA1">
        <w:rPr>
          <w:rFonts w:cs="Calibri"/>
          <w:b/>
          <w:i/>
          <w:sz w:val="24"/>
          <w:szCs w:val="24"/>
        </w:rPr>
        <w:t>.</w:t>
      </w:r>
    </w:p>
    <w:p w14:paraId="7382D353" w14:textId="45FAEE63" w:rsidR="002D2D68" w:rsidRPr="00F50EA1" w:rsidRDefault="002D2D68" w:rsidP="001F3E46">
      <w:pPr>
        <w:pStyle w:val="ListParagraph"/>
        <w:widowControl w:val="0"/>
        <w:numPr>
          <w:ilvl w:val="0"/>
          <w:numId w:val="39"/>
        </w:numPr>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992" w:hanging="425"/>
        <w:contextualSpacing w:val="0"/>
        <w:rPr>
          <w:rFonts w:cs="Calibri"/>
          <w:b/>
          <w:i/>
          <w:sz w:val="24"/>
          <w:szCs w:val="24"/>
          <w:lang w:val="en-US"/>
        </w:rPr>
      </w:pPr>
      <w:r>
        <w:rPr>
          <w:rFonts w:cs="Calibri"/>
          <w:b/>
          <w:i/>
          <w:sz w:val="24"/>
          <w:szCs w:val="24"/>
        </w:rPr>
        <w:t>Resource a series of targeted working groups with people with disability and their representative organisations to identify concrete measures for inclusion in the NDS to address the barriers to achieving NDS policy outcome area 1, including in relation to the built and natural environment, transport and accessible communications, captioning and audio description.</w:t>
      </w:r>
    </w:p>
    <w:p w14:paraId="2EEAE276" w14:textId="55E0C309" w:rsidR="00485DDA" w:rsidRDefault="00F50EA1" w:rsidP="00485DDA">
      <w:pPr>
        <w:pStyle w:val="ListParagraph"/>
        <w:numPr>
          <w:ilvl w:val="0"/>
          <w:numId w:val="39"/>
        </w:numPr>
        <w:tabs>
          <w:tab w:val="left" w:pos="1276"/>
        </w:tabs>
        <w:spacing w:before="120" w:after="120"/>
        <w:ind w:left="992" w:hanging="425"/>
        <w:contextualSpacing w:val="0"/>
        <w:rPr>
          <w:rFonts w:cs="Calibri"/>
          <w:b/>
          <w:i/>
          <w:sz w:val="24"/>
          <w:szCs w:val="24"/>
          <w:lang w:val="en-US"/>
        </w:rPr>
      </w:pPr>
      <w:r>
        <w:rPr>
          <w:rFonts w:cs="Calibri"/>
          <w:b/>
          <w:i/>
          <w:sz w:val="24"/>
          <w:szCs w:val="24"/>
        </w:rPr>
        <w:t xml:space="preserve">Commit to investment and support to the ABC to </w:t>
      </w:r>
      <w:r w:rsidR="00485DDA">
        <w:rPr>
          <w:rFonts w:cs="Calibri"/>
          <w:b/>
          <w:i/>
          <w:sz w:val="24"/>
          <w:szCs w:val="24"/>
        </w:rPr>
        <w:t xml:space="preserve">establish </w:t>
      </w:r>
      <w:r w:rsidR="00485DDA" w:rsidRPr="00485DDA">
        <w:rPr>
          <w:rFonts w:cs="Calibri"/>
          <w:b/>
          <w:i/>
          <w:sz w:val="24"/>
          <w:szCs w:val="24"/>
          <w:lang w:val="en-US"/>
        </w:rPr>
        <w:t>a dedicated disability online portal or programming voice within the ABC, to meet the obligations of the ABC Charter in respect of disability, such as a multi-media news, opinion and podcast portal to build on the work of ABC Ramp Up.</w:t>
      </w:r>
    </w:p>
    <w:p w14:paraId="2AA71101" w14:textId="469641AB" w:rsidR="00485DDA" w:rsidRDefault="00485DDA" w:rsidP="00485DDA">
      <w:pPr>
        <w:pStyle w:val="ListParagraph"/>
        <w:numPr>
          <w:ilvl w:val="0"/>
          <w:numId w:val="39"/>
        </w:numPr>
        <w:tabs>
          <w:tab w:val="left" w:pos="1276"/>
        </w:tabs>
        <w:spacing w:before="120" w:after="120"/>
        <w:ind w:left="992" w:hanging="425"/>
        <w:contextualSpacing w:val="0"/>
        <w:rPr>
          <w:rFonts w:cs="Calibri"/>
          <w:b/>
          <w:i/>
          <w:sz w:val="24"/>
          <w:szCs w:val="24"/>
          <w:lang w:val="en-US"/>
        </w:rPr>
      </w:pPr>
      <w:r>
        <w:rPr>
          <w:rFonts w:cs="Calibri"/>
          <w:b/>
          <w:i/>
          <w:sz w:val="24"/>
          <w:szCs w:val="24"/>
          <w:lang w:val="en-US"/>
        </w:rPr>
        <w:t xml:space="preserve">Commit to regulatory intervention for universal housing design in the National Construction Code in line with the proposal developed by the Australian Network for Universal Housing Design and Rights &amp; Inclusion Australia. </w:t>
      </w:r>
    </w:p>
    <w:p w14:paraId="0D621610" w14:textId="346EAA76" w:rsidR="00485DDA" w:rsidRPr="00485DDA" w:rsidRDefault="00485DDA" w:rsidP="00485DDA">
      <w:pPr>
        <w:pStyle w:val="ListParagraph"/>
        <w:numPr>
          <w:ilvl w:val="0"/>
          <w:numId w:val="39"/>
        </w:numPr>
        <w:tabs>
          <w:tab w:val="left" w:pos="1276"/>
        </w:tabs>
        <w:spacing w:before="120" w:after="120"/>
        <w:ind w:left="992" w:hanging="425"/>
        <w:contextualSpacing w:val="0"/>
        <w:rPr>
          <w:rFonts w:cs="Calibri"/>
          <w:b/>
          <w:i/>
          <w:sz w:val="24"/>
          <w:szCs w:val="24"/>
          <w:lang w:val="en-US"/>
        </w:rPr>
      </w:pPr>
      <w:r w:rsidRPr="00485DDA">
        <w:rPr>
          <w:rFonts w:cstheme="majorHAnsi"/>
          <w:b/>
          <w:i/>
          <w:sz w:val="24"/>
          <w:szCs w:val="24"/>
          <w:lang w:val="en-US"/>
        </w:rPr>
        <w:t>Establish National Expert Advisory groups made up of cross-sector representatives for each of the review processes of Accessible Public Transport and the Access to Premises Standards to facilitate effective negotiation that leads to enhanced transport and premises access for people with disability.</w:t>
      </w:r>
    </w:p>
    <w:p w14:paraId="3733EC40" w14:textId="3145E1AA" w:rsidR="002D2D68" w:rsidRPr="002D2D68" w:rsidRDefault="002D2D68" w:rsidP="002D2D68">
      <w:pPr>
        <w:pStyle w:val="ListParagraph"/>
        <w:widowControl w:val="0"/>
        <w:numPr>
          <w:ilvl w:val="0"/>
          <w:numId w:val="39"/>
        </w:numPr>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992" w:hanging="425"/>
        <w:contextualSpacing w:val="0"/>
        <w:rPr>
          <w:rFonts w:cs="Calibri"/>
          <w:b/>
          <w:i/>
          <w:sz w:val="24"/>
          <w:szCs w:val="24"/>
          <w:lang w:val="en-US"/>
        </w:rPr>
      </w:pPr>
      <w:r>
        <w:rPr>
          <w:rFonts w:cs="Calibri"/>
          <w:b/>
          <w:i/>
          <w:sz w:val="24"/>
          <w:szCs w:val="24"/>
          <w:lang w:val="en-US"/>
        </w:rPr>
        <w:t xml:space="preserve">Establish a coordination mechanism for monitoring implementation of DSAPT and the </w:t>
      </w:r>
      <w:r w:rsidRPr="002D2D68">
        <w:rPr>
          <w:rFonts w:cs="Calibri"/>
          <w:b/>
          <w:i/>
          <w:sz w:val="24"/>
          <w:szCs w:val="24"/>
        </w:rPr>
        <w:t xml:space="preserve">Access to Premises Standards, </w:t>
      </w:r>
      <w:r>
        <w:rPr>
          <w:rFonts w:cs="Calibri"/>
          <w:b/>
          <w:i/>
          <w:sz w:val="24"/>
          <w:szCs w:val="24"/>
        </w:rPr>
        <w:t xml:space="preserve">and which is informed by rigorous data </w:t>
      </w:r>
      <w:r w:rsidRPr="002D2D68">
        <w:rPr>
          <w:rFonts w:cs="Calibri"/>
          <w:b/>
          <w:i/>
          <w:sz w:val="24"/>
          <w:szCs w:val="24"/>
        </w:rPr>
        <w:t xml:space="preserve">and compliance measures, </w:t>
      </w:r>
      <w:r>
        <w:rPr>
          <w:rFonts w:cs="Calibri"/>
          <w:b/>
          <w:i/>
          <w:sz w:val="24"/>
          <w:szCs w:val="24"/>
        </w:rPr>
        <w:t xml:space="preserve">and that can </w:t>
      </w:r>
      <w:r w:rsidRPr="002D2D68">
        <w:rPr>
          <w:rFonts w:cs="Calibri"/>
          <w:b/>
          <w:i/>
          <w:sz w:val="24"/>
          <w:szCs w:val="24"/>
        </w:rPr>
        <w:t xml:space="preserve">publicly report on progress in achieving the DSAPT and the Access to Premises Standards. </w:t>
      </w:r>
    </w:p>
    <w:p w14:paraId="0942AC88" w14:textId="77777777" w:rsidR="008B4A19" w:rsidRPr="003B53CD" w:rsidRDefault="008B4A19" w:rsidP="003B53CD">
      <w:pPr>
        <w:pStyle w:val="ListParagraph"/>
        <w:widowControl w:val="0"/>
        <w:numPr>
          <w:ilvl w:val="0"/>
          <w:numId w:val="39"/>
        </w:numPr>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992" w:hanging="425"/>
        <w:contextualSpacing w:val="0"/>
        <w:rPr>
          <w:rFonts w:cs="Calibri"/>
          <w:b/>
          <w:i/>
          <w:sz w:val="24"/>
          <w:szCs w:val="24"/>
          <w:lang w:val="en-US"/>
        </w:rPr>
      </w:pPr>
      <w:r w:rsidRPr="003B53CD">
        <w:rPr>
          <w:rFonts w:cstheme="majorHAnsi"/>
          <w:b/>
          <w:i/>
          <w:sz w:val="24"/>
          <w:szCs w:val="24"/>
          <w:lang w:val="en-US"/>
        </w:rPr>
        <w:t>Engage with State &amp; Territory and Local Government authorities to develop nationally consistent guidelines for disability inclusion action planning.</w:t>
      </w:r>
    </w:p>
    <w:p w14:paraId="086A7348" w14:textId="77777777" w:rsidR="003B53CD" w:rsidRPr="003B53CD" w:rsidRDefault="003B53CD" w:rsidP="003B53CD">
      <w:pPr>
        <w:widowControl w:val="0"/>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b/>
          <w:i/>
          <w:sz w:val="24"/>
          <w:szCs w:val="24"/>
          <w:lang w:val="en-US"/>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6"/>
        <w:gridCol w:w="2552"/>
        <w:gridCol w:w="2301"/>
        <w:gridCol w:w="2656"/>
      </w:tblGrid>
      <w:tr w:rsidR="00F5359F" w:rsidRPr="005629B0" w14:paraId="36677CA5" w14:textId="77777777" w:rsidTr="00007B29">
        <w:trPr>
          <w:trHeight w:val="1847"/>
        </w:trPr>
        <w:tc>
          <w:tcPr>
            <w:tcW w:w="2656" w:type="dxa"/>
          </w:tcPr>
          <w:p w14:paraId="4B6C8D1D" w14:textId="77777777" w:rsidR="00F5359F" w:rsidRPr="005629B0" w:rsidRDefault="00F5359F" w:rsidP="00007B29">
            <w:pPr>
              <w:spacing w:before="120" w:after="120"/>
              <w:rPr>
                <w:rFonts w:asciiTheme="majorHAnsi" w:hAnsiTheme="majorHAnsi" w:cs="Arial"/>
                <w:sz w:val="24"/>
                <w:szCs w:val="24"/>
              </w:rPr>
            </w:pPr>
            <w:r w:rsidRPr="005629B0">
              <w:rPr>
                <w:rFonts w:asciiTheme="majorHAnsi" w:hAnsiTheme="majorHAnsi" w:cs="Arial"/>
                <w:sz w:val="24"/>
                <w:szCs w:val="24"/>
              </w:rPr>
              <w:br w:type="page"/>
            </w:r>
            <w:r w:rsidRPr="005629B0">
              <w:rPr>
                <w:rFonts w:asciiTheme="majorHAnsi" w:hAnsiTheme="majorHAnsi" w:cs="Arial"/>
                <w:noProof/>
                <w:sz w:val="24"/>
                <w:szCs w:val="24"/>
                <w:lang w:val="en-US"/>
              </w:rPr>
              <w:drawing>
                <wp:inline distT="0" distB="0" distL="0" distR="0" wp14:anchorId="3FCB1268" wp14:editId="6C8DF785">
                  <wp:extent cx="1541780" cy="80835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1780" cy="808355"/>
                          </a:xfrm>
                          <a:prstGeom prst="rect">
                            <a:avLst/>
                          </a:prstGeom>
                          <a:noFill/>
                          <a:ln>
                            <a:noFill/>
                          </a:ln>
                        </pic:spPr>
                      </pic:pic>
                    </a:graphicData>
                  </a:graphic>
                </wp:inline>
              </w:drawing>
            </w:r>
          </w:p>
        </w:tc>
        <w:tc>
          <w:tcPr>
            <w:tcW w:w="2552" w:type="dxa"/>
          </w:tcPr>
          <w:p w14:paraId="1E6E7EC8" w14:textId="77777777" w:rsidR="00F5359F" w:rsidRPr="005629B0" w:rsidRDefault="00F5359F" w:rsidP="00007B29">
            <w:pPr>
              <w:spacing w:before="120" w:after="120"/>
              <w:rPr>
                <w:rFonts w:asciiTheme="majorHAnsi" w:hAnsiTheme="majorHAnsi" w:cs="Arial"/>
                <w:sz w:val="24"/>
                <w:szCs w:val="24"/>
              </w:rPr>
            </w:pPr>
            <w:r w:rsidRPr="005629B0">
              <w:rPr>
                <w:rFonts w:asciiTheme="majorHAnsi" w:hAnsiTheme="majorHAnsi" w:cs="Arial"/>
                <w:noProof/>
                <w:sz w:val="24"/>
                <w:szCs w:val="24"/>
                <w:lang w:val="en-US"/>
              </w:rPr>
              <w:drawing>
                <wp:inline distT="0" distB="0" distL="0" distR="0" wp14:anchorId="1D5D9E0F" wp14:editId="2B8558ED">
                  <wp:extent cx="967740" cy="9569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7740" cy="956945"/>
                          </a:xfrm>
                          <a:prstGeom prst="rect">
                            <a:avLst/>
                          </a:prstGeom>
                          <a:noFill/>
                          <a:ln>
                            <a:noFill/>
                          </a:ln>
                        </pic:spPr>
                      </pic:pic>
                    </a:graphicData>
                  </a:graphic>
                </wp:inline>
              </w:drawing>
            </w:r>
          </w:p>
        </w:tc>
        <w:tc>
          <w:tcPr>
            <w:tcW w:w="2301" w:type="dxa"/>
            <w:hideMark/>
          </w:tcPr>
          <w:p w14:paraId="1002920E" w14:textId="77777777" w:rsidR="00F5359F" w:rsidRPr="005629B0" w:rsidRDefault="00F5359F" w:rsidP="00007B29">
            <w:pPr>
              <w:spacing w:before="120" w:after="120"/>
              <w:rPr>
                <w:rFonts w:asciiTheme="majorHAnsi" w:hAnsiTheme="majorHAnsi" w:cs="Arial"/>
                <w:sz w:val="24"/>
                <w:szCs w:val="24"/>
              </w:rPr>
            </w:pPr>
            <w:r w:rsidRPr="005629B0">
              <w:rPr>
                <w:rFonts w:asciiTheme="majorHAnsi" w:hAnsiTheme="majorHAnsi" w:cs="Arial"/>
                <w:noProof/>
                <w:sz w:val="24"/>
                <w:szCs w:val="24"/>
                <w:lang w:val="en-US"/>
              </w:rPr>
              <w:drawing>
                <wp:inline distT="0" distB="0" distL="0" distR="0" wp14:anchorId="35B14DC5" wp14:editId="6E0157F4">
                  <wp:extent cx="775970" cy="71247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5970" cy="712470"/>
                          </a:xfrm>
                          <a:prstGeom prst="rect">
                            <a:avLst/>
                          </a:prstGeom>
                          <a:noFill/>
                          <a:ln>
                            <a:noFill/>
                          </a:ln>
                        </pic:spPr>
                      </pic:pic>
                    </a:graphicData>
                  </a:graphic>
                </wp:inline>
              </w:drawing>
            </w:r>
          </w:p>
        </w:tc>
        <w:tc>
          <w:tcPr>
            <w:tcW w:w="2656" w:type="dxa"/>
          </w:tcPr>
          <w:p w14:paraId="4DA9DCEE" w14:textId="77777777" w:rsidR="00F5359F" w:rsidRPr="005629B0" w:rsidRDefault="00F5359F" w:rsidP="00007B29">
            <w:pPr>
              <w:spacing w:before="120" w:after="120"/>
              <w:rPr>
                <w:rFonts w:asciiTheme="majorHAnsi" w:hAnsiTheme="majorHAnsi" w:cs="Arial"/>
                <w:sz w:val="24"/>
                <w:szCs w:val="24"/>
              </w:rPr>
            </w:pPr>
          </w:p>
          <w:p w14:paraId="088D78FF" w14:textId="77777777" w:rsidR="00F5359F" w:rsidRPr="005629B0" w:rsidRDefault="00F5359F" w:rsidP="00007B29">
            <w:pPr>
              <w:spacing w:before="120" w:after="120"/>
              <w:rPr>
                <w:rFonts w:asciiTheme="majorHAnsi" w:hAnsiTheme="majorHAnsi" w:cs="Arial"/>
                <w:sz w:val="24"/>
                <w:szCs w:val="24"/>
              </w:rPr>
            </w:pPr>
            <w:r w:rsidRPr="005629B0">
              <w:rPr>
                <w:rFonts w:asciiTheme="majorHAnsi" w:hAnsiTheme="majorHAnsi" w:cs="Arial"/>
                <w:noProof/>
                <w:sz w:val="24"/>
                <w:szCs w:val="24"/>
                <w:lang w:val="en-US"/>
              </w:rPr>
              <w:drawing>
                <wp:inline distT="0" distB="0" distL="0" distR="0" wp14:anchorId="4498203B" wp14:editId="1B194330">
                  <wp:extent cx="1552575" cy="4997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2575" cy="499745"/>
                          </a:xfrm>
                          <a:prstGeom prst="rect">
                            <a:avLst/>
                          </a:prstGeom>
                          <a:noFill/>
                          <a:ln>
                            <a:noFill/>
                          </a:ln>
                        </pic:spPr>
                      </pic:pic>
                    </a:graphicData>
                  </a:graphic>
                </wp:inline>
              </w:drawing>
            </w:r>
          </w:p>
        </w:tc>
      </w:tr>
    </w:tbl>
    <w:p w14:paraId="6CFD8F5D" w14:textId="77777777" w:rsidR="0036535D" w:rsidRDefault="0036535D"/>
    <w:sectPr w:rsidR="0036535D" w:rsidSect="007703C1">
      <w:footerReference w:type="even" r:id="rId19"/>
      <w:footerReference w:type="default" r:id="rId20"/>
      <w:pgSz w:w="11900" w:h="16840"/>
      <w:pgMar w:top="1418" w:right="1835" w:bottom="851" w:left="1134"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9B7CF" w14:textId="77777777" w:rsidR="00052351" w:rsidRDefault="00052351" w:rsidP="00F5359F">
      <w:r>
        <w:separator/>
      </w:r>
    </w:p>
  </w:endnote>
  <w:endnote w:type="continuationSeparator" w:id="0">
    <w:p w14:paraId="73568600" w14:textId="77777777" w:rsidR="00052351" w:rsidRDefault="00052351" w:rsidP="00F5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8F6CD" w14:textId="77777777" w:rsidR="00896A8C" w:rsidRDefault="00896A8C" w:rsidP="00007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70F6AD" w14:textId="77777777" w:rsidR="00896A8C" w:rsidRDefault="00896A8C" w:rsidP="00007B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D7477" w14:textId="77777777" w:rsidR="00896A8C" w:rsidRDefault="00896A8C" w:rsidP="00007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1DFB">
      <w:rPr>
        <w:rStyle w:val="PageNumber"/>
        <w:noProof/>
      </w:rPr>
      <w:t>1</w:t>
    </w:r>
    <w:r>
      <w:rPr>
        <w:rStyle w:val="PageNumber"/>
      </w:rPr>
      <w:fldChar w:fldCharType="end"/>
    </w:r>
  </w:p>
  <w:p w14:paraId="4769EE45" w14:textId="77777777" w:rsidR="00896A8C" w:rsidRDefault="00896A8C" w:rsidP="00007B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E1CD2" w14:textId="77777777" w:rsidR="00052351" w:rsidRDefault="00052351" w:rsidP="00F5359F">
      <w:r>
        <w:separator/>
      </w:r>
    </w:p>
  </w:footnote>
  <w:footnote w:type="continuationSeparator" w:id="0">
    <w:p w14:paraId="7A38B413" w14:textId="77777777" w:rsidR="00052351" w:rsidRDefault="00052351" w:rsidP="00F5359F">
      <w:r>
        <w:continuationSeparator/>
      </w:r>
    </w:p>
  </w:footnote>
  <w:footnote w:id="1">
    <w:p w14:paraId="1AA3EC27" w14:textId="5AA7BA99" w:rsidR="00896A8C" w:rsidRPr="00042B65" w:rsidRDefault="00896A8C" w:rsidP="00357956">
      <w:pPr>
        <w:pStyle w:val="FootnoteText"/>
        <w:spacing w:after="0"/>
        <w:rPr>
          <w:lang w:val="en-US"/>
        </w:rPr>
      </w:pPr>
      <w:r>
        <w:rPr>
          <w:rStyle w:val="FootnoteReference"/>
        </w:rPr>
        <w:footnoteRef/>
      </w:r>
      <w:r>
        <w:t xml:space="preserve"> </w:t>
      </w:r>
      <w:r>
        <w:rPr>
          <w:lang w:val="en-US"/>
        </w:rPr>
        <w:t xml:space="preserve">UPR Disability Coordination Group, ‘National Disability Strategy and implementation of the CRPD’, Factsheet for Australia’s Universal Periodic Review 2015 (November 2015), Australian Cross Disability Alliance. </w:t>
      </w:r>
    </w:p>
  </w:footnote>
  <w:footnote w:id="2">
    <w:p w14:paraId="6AB38DBF" w14:textId="386463D3" w:rsidR="00CF3781" w:rsidRDefault="00CF3781" w:rsidP="00357956">
      <w:pPr>
        <w:pStyle w:val="FootnoteText"/>
        <w:spacing w:after="0"/>
      </w:pPr>
      <w:r>
        <w:rPr>
          <w:rStyle w:val="FootnoteReference"/>
        </w:rPr>
        <w:footnoteRef/>
      </w:r>
      <w:r>
        <w:t xml:space="preserve"> National People with Disabilities and Carer Council, </w:t>
      </w:r>
      <w:r w:rsidRPr="00CF3781">
        <w:rPr>
          <w:i/>
        </w:rPr>
        <w:t>Shut Out: The Experience of People with Disabilities and their Families in Australia</w:t>
      </w:r>
      <w:r>
        <w:t xml:space="preserve">, (2009), Commonwealth of Australia. </w:t>
      </w:r>
    </w:p>
  </w:footnote>
  <w:footnote w:id="3">
    <w:p w14:paraId="4733CA67" w14:textId="3B242F0E" w:rsidR="00357956" w:rsidRPr="00357956" w:rsidRDefault="00357956" w:rsidP="00357956">
      <w:pPr>
        <w:pStyle w:val="FootnoteText"/>
        <w:spacing w:after="0"/>
      </w:pPr>
      <w:r>
        <w:rPr>
          <w:rStyle w:val="FootnoteReference"/>
        </w:rPr>
        <w:footnoteRef/>
      </w:r>
      <w:r>
        <w:t xml:space="preserve"> CRPD Civil Society Shadow Report Group, </w:t>
      </w:r>
      <w:r w:rsidRPr="00357956">
        <w:rPr>
          <w:i/>
        </w:rPr>
        <w:t>Disability Rights Now</w:t>
      </w:r>
      <w:r>
        <w:rPr>
          <w:i/>
        </w:rPr>
        <w:t xml:space="preserve"> – Civil society report to the United Nations Committee on the Rights of Persons with Disabilities, </w:t>
      </w:r>
      <w:r w:rsidRPr="00357956">
        <w:t xml:space="preserve">August 2012, </w:t>
      </w:r>
      <w:r>
        <w:t>&lt;</w:t>
      </w:r>
      <w:hyperlink r:id="rId1" w:history="1">
        <w:r w:rsidRPr="00357956">
          <w:rPr>
            <w:rStyle w:val="Hyperlink"/>
          </w:rPr>
          <w:t>http://www.pwd.org.au/issues/crpd-civil-society-shadow-report-group.html</w:t>
        </w:r>
      </w:hyperlink>
      <w:r>
        <w:t>&gt;</w:t>
      </w:r>
      <w:r w:rsidRPr="00357956">
        <w:t xml:space="preserve"> </w:t>
      </w:r>
    </w:p>
  </w:footnote>
  <w:footnote w:id="4">
    <w:p w14:paraId="362DAE15" w14:textId="008ACAF7" w:rsidR="00896A8C" w:rsidRPr="00D60A11" w:rsidRDefault="00896A8C" w:rsidP="00D60A11">
      <w:pPr>
        <w:pStyle w:val="FootnoteText"/>
        <w:spacing w:after="0"/>
        <w:rPr>
          <w:lang w:val="en-US"/>
        </w:rPr>
      </w:pPr>
      <w:r>
        <w:rPr>
          <w:rStyle w:val="FootnoteReference"/>
        </w:rPr>
        <w:footnoteRef/>
      </w:r>
      <w:r>
        <w:t xml:space="preserve"> </w:t>
      </w:r>
      <w:r w:rsidRPr="00CC1E41">
        <w:t xml:space="preserve">Department of Social Services, </w:t>
      </w:r>
      <w:r w:rsidRPr="00D60A11">
        <w:rPr>
          <w:i/>
        </w:rPr>
        <w:t>2010-2020 National Disability Strategy – Second Implementation Plan, Driving Action 2015-2018</w:t>
      </w:r>
      <w:r w:rsidRPr="00CC1E41">
        <w:t xml:space="preserve">, </w:t>
      </w:r>
      <w:r>
        <w:t xml:space="preserve">Commonwealth of Australia, </w:t>
      </w:r>
      <w:hyperlink r:id="rId2" w:history="1">
        <w:r w:rsidRPr="00CC1E41">
          <w:rPr>
            <w:rStyle w:val="Hyperlink"/>
          </w:rPr>
          <w:t>https://www.dss.gov.au/disability-and-carers/programs-services/government-international/national-disability-strategy-second-implementation-plan</w:t>
        </w:r>
      </w:hyperlink>
    </w:p>
  </w:footnote>
  <w:footnote w:id="5">
    <w:p w14:paraId="57A0BFBD" w14:textId="77777777" w:rsidR="00896A8C" w:rsidRDefault="00896A8C" w:rsidP="00D60A11">
      <w:pPr>
        <w:pStyle w:val="FootnoteText"/>
        <w:spacing w:after="0"/>
      </w:pPr>
      <w:r>
        <w:rPr>
          <w:rStyle w:val="FootnoteReference"/>
        </w:rPr>
        <w:footnoteRef/>
      </w:r>
      <w:r>
        <w:t xml:space="preserve"> Disability Support Organisations support local peer support networks of people with disability.  For more information, see e.g.&lt;</w:t>
      </w:r>
      <w:hyperlink r:id="rId3" w:history="1">
        <w:r w:rsidRPr="00823B3E">
          <w:rPr>
            <w:rStyle w:val="Hyperlink"/>
          </w:rPr>
          <w:t>http://www.peerconnect.org.au/</w:t>
        </w:r>
      </w:hyperlink>
      <w:r>
        <w:t xml:space="preserve">&gt;  </w:t>
      </w:r>
    </w:p>
  </w:footnote>
  <w:footnote w:id="6">
    <w:p w14:paraId="44A2FDA7" w14:textId="79FEB3E4" w:rsidR="00896A8C" w:rsidRPr="00172F3D" w:rsidRDefault="00896A8C" w:rsidP="000D0DC6">
      <w:pPr>
        <w:pStyle w:val="FootnoteText"/>
        <w:spacing w:after="0"/>
        <w:rPr>
          <w:rFonts w:asciiTheme="minorHAnsi" w:hAnsiTheme="minorHAnsi"/>
        </w:rPr>
      </w:pPr>
      <w:r w:rsidRPr="00172F3D">
        <w:rPr>
          <w:rStyle w:val="FootnoteReference"/>
          <w:rFonts w:asciiTheme="minorHAnsi" w:hAnsiTheme="minorHAnsi"/>
        </w:rPr>
        <w:footnoteRef/>
      </w:r>
      <w:r w:rsidRPr="00172F3D">
        <w:rPr>
          <w:rFonts w:asciiTheme="minorHAnsi" w:hAnsiTheme="minorHAnsi"/>
        </w:rPr>
        <w:t xml:space="preserve"> </w:t>
      </w:r>
      <w:r w:rsidRPr="00172F3D">
        <w:rPr>
          <w:rFonts w:asciiTheme="minorHAnsi" w:eastAsiaTheme="minorEastAsia" w:hAnsiTheme="minorHAnsi" w:cstheme="majorHAnsi"/>
        </w:rPr>
        <w:t xml:space="preserve">Council of Australian Governments, </w:t>
      </w:r>
      <w:r w:rsidRPr="00172F3D">
        <w:rPr>
          <w:rFonts w:asciiTheme="minorHAnsi" w:eastAsiaTheme="minorEastAsia" w:hAnsiTheme="minorHAnsi" w:cstheme="majorHAnsi"/>
          <w:i/>
        </w:rPr>
        <w:t>National Disability Strategy 2010-2020</w:t>
      </w:r>
      <w:r w:rsidRPr="00172F3D">
        <w:rPr>
          <w:rFonts w:asciiTheme="minorHAnsi" w:eastAsiaTheme="minorEastAsia" w:hAnsiTheme="minorHAnsi" w:cstheme="majorHAnsi"/>
        </w:rPr>
        <w:t xml:space="preserve">, Commonwealth of Australia 2011, </w:t>
      </w:r>
      <w:r w:rsidRPr="00172F3D">
        <w:rPr>
          <w:rFonts w:asciiTheme="minorHAnsi" w:hAnsiTheme="minorHAnsi"/>
        </w:rPr>
        <w:t>p. 9</w:t>
      </w:r>
    </w:p>
  </w:footnote>
  <w:footnote w:id="7">
    <w:p w14:paraId="4E6CAD4A" w14:textId="0918ACB0" w:rsidR="00896A8C" w:rsidRPr="00172F3D" w:rsidRDefault="00896A8C" w:rsidP="000D0DC6">
      <w:pPr>
        <w:pStyle w:val="FootnoteText"/>
        <w:spacing w:after="0"/>
        <w:rPr>
          <w:rFonts w:asciiTheme="minorHAnsi" w:eastAsiaTheme="minorEastAsia" w:hAnsiTheme="minorHAnsi" w:cstheme="majorHAnsi"/>
        </w:rPr>
      </w:pPr>
      <w:r w:rsidRPr="00172F3D">
        <w:rPr>
          <w:rStyle w:val="FootnoteReference"/>
          <w:rFonts w:asciiTheme="minorHAnsi" w:hAnsiTheme="minorHAnsi" w:cstheme="majorHAnsi"/>
        </w:rPr>
        <w:footnoteRef/>
      </w:r>
      <w:r w:rsidRPr="00172F3D">
        <w:rPr>
          <w:rFonts w:asciiTheme="minorHAnsi" w:hAnsiTheme="minorHAnsi" w:cstheme="majorHAnsi"/>
        </w:rPr>
        <w:t xml:space="preserve"> Ibid, </w:t>
      </w:r>
      <w:r w:rsidRPr="00172F3D">
        <w:rPr>
          <w:rFonts w:asciiTheme="minorHAnsi" w:eastAsiaTheme="minorEastAsia" w:hAnsiTheme="minorHAnsi" w:cstheme="majorHAnsi"/>
        </w:rPr>
        <w:t>pp. 16-17</w:t>
      </w:r>
    </w:p>
  </w:footnote>
  <w:footnote w:id="8">
    <w:p w14:paraId="3A40D64F" w14:textId="641F0A3E" w:rsidR="00896A8C" w:rsidRPr="00172F3D" w:rsidRDefault="00896A8C" w:rsidP="000D0DC6">
      <w:pPr>
        <w:pStyle w:val="FootnoteText"/>
        <w:spacing w:after="0"/>
        <w:rPr>
          <w:rFonts w:asciiTheme="minorHAnsi" w:hAnsiTheme="minorHAnsi"/>
        </w:rPr>
      </w:pPr>
      <w:r w:rsidRPr="00172F3D">
        <w:rPr>
          <w:rStyle w:val="FootnoteReference"/>
          <w:rFonts w:asciiTheme="minorHAnsi" w:hAnsiTheme="minorHAnsi"/>
        </w:rPr>
        <w:footnoteRef/>
      </w:r>
      <w:r w:rsidRPr="00172F3D">
        <w:rPr>
          <w:rFonts w:asciiTheme="minorHAnsi" w:hAnsiTheme="minorHAnsi"/>
        </w:rPr>
        <w:t xml:space="preserve"> Ibid, p. 22</w:t>
      </w:r>
    </w:p>
  </w:footnote>
  <w:footnote w:id="9">
    <w:p w14:paraId="646A7A26" w14:textId="15D8E71C" w:rsidR="00896A8C" w:rsidRPr="00172F3D" w:rsidRDefault="00896A8C" w:rsidP="000D0DC6">
      <w:pPr>
        <w:pStyle w:val="FootnoteText"/>
        <w:spacing w:after="0"/>
        <w:rPr>
          <w:rFonts w:asciiTheme="minorHAnsi" w:hAnsiTheme="minorHAnsi"/>
        </w:rPr>
      </w:pPr>
      <w:r w:rsidRPr="00172F3D">
        <w:rPr>
          <w:rStyle w:val="FootnoteReference"/>
          <w:rFonts w:asciiTheme="minorHAnsi" w:hAnsiTheme="minorHAnsi"/>
        </w:rPr>
        <w:footnoteRef/>
      </w:r>
      <w:r w:rsidRPr="00172F3D">
        <w:rPr>
          <w:rFonts w:asciiTheme="minorHAnsi" w:hAnsiTheme="minorHAnsi"/>
        </w:rPr>
        <w:t xml:space="preserve"> Ibid, p. 17</w:t>
      </w:r>
    </w:p>
  </w:footnote>
  <w:footnote w:id="10">
    <w:p w14:paraId="7E26AC48" w14:textId="59F23AAC" w:rsidR="00896A8C" w:rsidRDefault="00896A8C" w:rsidP="000D0DC6">
      <w:pPr>
        <w:pStyle w:val="FootnoteText"/>
        <w:spacing w:after="0"/>
      </w:pPr>
      <w:r>
        <w:rPr>
          <w:rStyle w:val="FootnoteReference"/>
        </w:rPr>
        <w:footnoteRef/>
      </w:r>
      <w:r>
        <w:t xml:space="preserve"> Committee on the Rights of </w:t>
      </w:r>
      <w:proofErr w:type="gramStart"/>
      <w:r>
        <w:t>Persons  with</w:t>
      </w:r>
      <w:proofErr w:type="gramEnd"/>
      <w:r>
        <w:t xml:space="preserve"> Disabilities, </w:t>
      </w:r>
      <w:r w:rsidRPr="005466D3">
        <w:rPr>
          <w:i/>
        </w:rPr>
        <w:t xml:space="preserve">Concluding observations on the initial report of Australia, </w:t>
      </w:r>
      <w:r>
        <w:t>10</w:t>
      </w:r>
      <w:r w:rsidRPr="00BF4DD6">
        <w:rPr>
          <w:vertAlign w:val="superscript"/>
        </w:rPr>
        <w:t>th</w:t>
      </w:r>
      <w:r>
        <w:t xml:space="preserve"> </w:t>
      </w:r>
      <w:proofErr w:type="spellStart"/>
      <w:r>
        <w:t>sess</w:t>
      </w:r>
      <w:proofErr w:type="spellEnd"/>
      <w:r>
        <w:t xml:space="preserve">, UN Doc </w:t>
      </w:r>
      <w:r w:rsidRPr="00BF4DD6">
        <w:rPr>
          <w:rFonts w:cs="Calibri"/>
          <w:bCs/>
        </w:rPr>
        <w:t xml:space="preserve">CRPD/C/AUS/CO/1, </w:t>
      </w:r>
      <w:r>
        <w:rPr>
          <w:rFonts w:cs="Calibri"/>
          <w:bCs/>
        </w:rPr>
        <w:t xml:space="preserve">(21 October 2013) </w:t>
      </w:r>
      <w:r w:rsidRPr="00BF4DD6">
        <w:rPr>
          <w:rFonts w:cs="Calibri"/>
          <w:bCs/>
        </w:rPr>
        <w:t>para 4</w:t>
      </w:r>
      <w:r>
        <w:rPr>
          <w:rFonts w:cs="Calibri"/>
          <w:bCs/>
        </w:rPr>
        <w:t>.</w:t>
      </w:r>
    </w:p>
  </w:footnote>
  <w:footnote w:id="11">
    <w:p w14:paraId="44960BA2" w14:textId="0EF4A6C3" w:rsidR="00896A8C" w:rsidRPr="000D0DC6" w:rsidRDefault="00896A8C" w:rsidP="000D0DC6">
      <w:pPr>
        <w:pStyle w:val="FootnoteText"/>
        <w:spacing w:after="0"/>
        <w:rPr>
          <w:rFonts w:asciiTheme="minorHAnsi" w:hAnsiTheme="minorHAnsi"/>
          <w:lang w:val="en-US"/>
        </w:rPr>
      </w:pPr>
      <w:r>
        <w:rPr>
          <w:rStyle w:val="FootnoteReference"/>
        </w:rPr>
        <w:footnoteRef/>
      </w:r>
      <w:r>
        <w:t xml:space="preserve"> </w:t>
      </w:r>
      <w:r w:rsidRPr="006A0E12">
        <w:rPr>
          <w:rFonts w:asciiTheme="minorHAnsi" w:hAnsiTheme="minorHAnsi"/>
          <w:lang w:val="en-US"/>
        </w:rPr>
        <w:t xml:space="preserve">Department of Social Services, </w:t>
      </w:r>
      <w:r w:rsidRPr="00CC7413">
        <w:rPr>
          <w:rFonts w:asciiTheme="minorHAnsi" w:hAnsiTheme="minorHAnsi"/>
          <w:i/>
          <w:lang w:val="en-US"/>
        </w:rPr>
        <w:t>Progress Report to the Council of Australian Governments 2014</w:t>
      </w:r>
      <w:r>
        <w:rPr>
          <w:rFonts w:asciiTheme="minorHAnsi" w:hAnsiTheme="minorHAnsi"/>
          <w:lang w:val="en-US"/>
        </w:rPr>
        <w:t>, Commonwealth of Australia, p. 37.</w:t>
      </w:r>
    </w:p>
  </w:footnote>
  <w:footnote w:id="12">
    <w:p w14:paraId="348EC187" w14:textId="7D3EAF8A" w:rsidR="00896A8C" w:rsidRDefault="00896A8C" w:rsidP="000D0DC6">
      <w:pPr>
        <w:pStyle w:val="FootnoteText"/>
        <w:spacing w:after="0"/>
      </w:pPr>
      <w:r>
        <w:rPr>
          <w:rStyle w:val="FootnoteReference"/>
        </w:rPr>
        <w:footnoteRef/>
      </w:r>
      <w:r>
        <w:t xml:space="preserve"> Ibid. p. 1</w:t>
      </w:r>
    </w:p>
  </w:footnote>
  <w:footnote w:id="13">
    <w:p w14:paraId="003F3ECC" w14:textId="088C91F7" w:rsidR="00896A8C" w:rsidRDefault="00896A8C" w:rsidP="00D818B0">
      <w:pPr>
        <w:pStyle w:val="FootnoteText"/>
        <w:spacing w:after="0"/>
      </w:pPr>
      <w:r>
        <w:rPr>
          <w:rStyle w:val="FootnoteReference"/>
        </w:rPr>
        <w:footnoteRef/>
      </w:r>
      <w:r>
        <w:t xml:space="preserve"> </w:t>
      </w:r>
      <w:r w:rsidRPr="000A08D4">
        <w:t xml:space="preserve">Department of Social Services, </w:t>
      </w:r>
      <w:r w:rsidRPr="000A08D4">
        <w:rPr>
          <w:i/>
        </w:rPr>
        <w:t xml:space="preserve">2010-2020 National Disability Strategy </w:t>
      </w:r>
      <w:r w:rsidRPr="00BF5B13">
        <w:rPr>
          <w:i/>
        </w:rPr>
        <w:t>– Second Implementation Plan, Driving Action 2015-2018</w:t>
      </w:r>
      <w:r w:rsidRPr="000A08D4">
        <w:t xml:space="preserve">, </w:t>
      </w:r>
      <w:proofErr w:type="spellStart"/>
      <w:r>
        <w:t>op.cit</w:t>
      </w:r>
      <w:proofErr w:type="spellEnd"/>
      <w:r>
        <w:t xml:space="preserve">., p. 5. </w:t>
      </w:r>
      <w:hyperlink r:id="rId4" w:history="1"/>
    </w:p>
  </w:footnote>
  <w:footnote w:id="14">
    <w:p w14:paraId="275C3F7E" w14:textId="4F6559FB" w:rsidR="00896A8C" w:rsidRDefault="00896A8C" w:rsidP="00D818B0">
      <w:pPr>
        <w:pStyle w:val="FootnoteText"/>
        <w:spacing w:after="0"/>
      </w:pPr>
      <w:r>
        <w:rPr>
          <w:rStyle w:val="FootnoteReference"/>
        </w:rPr>
        <w:footnoteRef/>
      </w:r>
      <w:r>
        <w:t xml:space="preserve"> These General Comments as well as draft General Comments are available on the UN website at: &lt;</w:t>
      </w:r>
      <w:hyperlink r:id="rId5" w:history="1">
        <w:r w:rsidRPr="00C946C1">
          <w:rPr>
            <w:rStyle w:val="Hyperlink"/>
          </w:rPr>
          <w:t>http://www.ohchr.org/EN/HRBodies/CRPD/Pages/GC.aspx</w:t>
        </w:r>
      </w:hyperlink>
      <w:r>
        <w:t xml:space="preserve">&gt; </w:t>
      </w:r>
    </w:p>
  </w:footnote>
  <w:footnote w:id="15">
    <w:p w14:paraId="20DDCC9E" w14:textId="0BC2B0F4" w:rsidR="00896A8C" w:rsidRDefault="00896A8C" w:rsidP="004F4E1D">
      <w:pPr>
        <w:pStyle w:val="FootnoteText"/>
        <w:spacing w:after="0"/>
      </w:pPr>
      <w:r>
        <w:rPr>
          <w:rStyle w:val="FootnoteReference"/>
        </w:rPr>
        <w:footnoteRef/>
      </w:r>
      <w:r>
        <w:t xml:space="preserve"> Attorney-General’s Department, ‘Human rights and anti-discrimination’, website information available at: </w:t>
      </w:r>
      <w:hyperlink r:id="rId6" w:history="1">
        <w:r w:rsidRPr="00C946C1">
          <w:rPr>
            <w:rStyle w:val="Hyperlink"/>
          </w:rPr>
          <w:t>https://www.ag.gov.au/RightsAndProtections/HumanRights/Pages/default.aspx</w:t>
        </w:r>
      </w:hyperlink>
      <w:r>
        <w:t xml:space="preserve">  </w:t>
      </w:r>
    </w:p>
  </w:footnote>
  <w:footnote w:id="16">
    <w:p w14:paraId="37686C72" w14:textId="68E35AEC" w:rsidR="00896A8C" w:rsidRPr="004F0D6A" w:rsidRDefault="00896A8C" w:rsidP="004F4E1D">
      <w:pPr>
        <w:pStyle w:val="FootnoteText"/>
        <w:spacing w:after="0"/>
      </w:pPr>
      <w:r>
        <w:rPr>
          <w:rStyle w:val="FootnoteReference"/>
        </w:rPr>
        <w:footnoteRef/>
      </w:r>
      <w:r>
        <w:t xml:space="preserve"> COAG Disability Reform Council, </w:t>
      </w:r>
      <w:r w:rsidRPr="004F0D6A">
        <w:rPr>
          <w:i/>
        </w:rPr>
        <w:t>Communique 3 March 2017</w:t>
      </w:r>
      <w:r>
        <w:t>, available at: &lt;</w:t>
      </w:r>
      <w:hyperlink r:id="rId7" w:history="1">
        <w:r w:rsidRPr="00C946C1">
          <w:rPr>
            <w:rStyle w:val="Hyperlink"/>
          </w:rPr>
          <w:t>https://www.dss.gov.au/disability-and-carers/programs-services/government-international/disability-reform-council/communique-3-march-2017</w:t>
        </w:r>
      </w:hyperlink>
      <w:r>
        <w:t xml:space="preserve">&gt; </w:t>
      </w:r>
    </w:p>
  </w:footnote>
  <w:footnote w:id="17">
    <w:p w14:paraId="2E1F0E83" w14:textId="4FD8DAB0" w:rsidR="00896A8C" w:rsidRDefault="00896A8C" w:rsidP="00C114AD">
      <w:pPr>
        <w:pStyle w:val="FootnoteText"/>
        <w:spacing w:after="0"/>
      </w:pPr>
      <w:r>
        <w:rPr>
          <w:rStyle w:val="FootnoteReference"/>
        </w:rPr>
        <w:footnoteRef/>
      </w:r>
      <w:r>
        <w:t xml:space="preserve"> DPO Australia, </w:t>
      </w:r>
      <w:r w:rsidRPr="00FE7A1E">
        <w:t xml:space="preserve">‘Disabled People’s Organisations Australia (DPO Australia) Submission to the Productivity Commission Issues Paper: National Disability Insurance Scheme (NDIS) </w:t>
      </w:r>
      <w:proofErr w:type="gramStart"/>
      <w:r w:rsidRPr="00FE7A1E">
        <w:t>Costs‘</w:t>
      </w:r>
      <w:proofErr w:type="gramEnd"/>
      <w:r>
        <w:t>, March 2017, p. 6</w:t>
      </w:r>
    </w:p>
  </w:footnote>
  <w:footnote w:id="18">
    <w:p w14:paraId="4638B6CE" w14:textId="572A9DD4" w:rsidR="00896A8C" w:rsidRDefault="00896A8C" w:rsidP="00C114AD">
      <w:pPr>
        <w:pStyle w:val="FootnoteText"/>
        <w:spacing w:after="0"/>
      </w:pPr>
      <w:r>
        <w:rPr>
          <w:rStyle w:val="FootnoteReference"/>
        </w:rPr>
        <w:footnoteRef/>
      </w:r>
      <w:r>
        <w:t xml:space="preserve"> See e.g., Disabled People’s Organisations Australia, ‘Submission t</w:t>
      </w:r>
      <w:r w:rsidRPr="008A492C">
        <w:t>o</w:t>
      </w:r>
      <w:r>
        <w:t xml:space="preserve"> </w:t>
      </w:r>
      <w:r w:rsidRPr="008A492C">
        <w:t>the</w:t>
      </w:r>
      <w:r>
        <w:t xml:space="preserve"> </w:t>
      </w:r>
      <w:r w:rsidRPr="008A492C">
        <w:t>2017/2018</w:t>
      </w:r>
      <w:r>
        <w:t xml:space="preserve"> </w:t>
      </w:r>
      <w:r w:rsidRPr="008A492C">
        <w:t>Federal</w:t>
      </w:r>
      <w:r>
        <w:t xml:space="preserve"> </w:t>
      </w:r>
      <w:r w:rsidRPr="008A492C">
        <w:t>Budget’</w:t>
      </w:r>
      <w:r>
        <w:t>, January 2017 &lt;</w:t>
      </w:r>
      <w:hyperlink r:id="rId8" w:history="1">
        <w:r w:rsidRPr="00C946C1">
          <w:rPr>
            <w:rStyle w:val="Hyperlink"/>
          </w:rPr>
          <w:t>http://dpoa.org.au/submissions/2017-18-federal-budget-priorities/</w:t>
        </w:r>
      </w:hyperlink>
      <w:r>
        <w:t xml:space="preserve">&gt;  </w:t>
      </w:r>
    </w:p>
  </w:footnote>
  <w:footnote w:id="19">
    <w:p w14:paraId="387D447B" w14:textId="7987E25A" w:rsidR="00896A8C" w:rsidRDefault="00896A8C" w:rsidP="00C114AD">
      <w:pPr>
        <w:pStyle w:val="FootnoteText"/>
        <w:spacing w:after="0"/>
      </w:pPr>
      <w:r>
        <w:rPr>
          <w:rStyle w:val="FootnoteReference"/>
        </w:rPr>
        <w:footnoteRef/>
      </w:r>
      <w:r>
        <w:t xml:space="preserve"> See e.g., Carolyn Frohmader, “</w:t>
      </w:r>
      <w:r w:rsidRPr="00B1378E">
        <w:t>‘Gender Blind, Gender Neutral’: The effectiveness of</w:t>
      </w:r>
      <w:r>
        <w:t xml:space="preserve"> </w:t>
      </w:r>
      <w:r w:rsidRPr="00B1378E">
        <w:t xml:space="preserve">the National Disability </w:t>
      </w:r>
      <w:r>
        <w:t>S</w:t>
      </w:r>
      <w:r w:rsidRPr="00B1378E">
        <w:t>trategy in improving the lives</w:t>
      </w:r>
      <w:r>
        <w:t xml:space="preserve"> </w:t>
      </w:r>
      <w:r w:rsidRPr="00B1378E">
        <w:t>of women and girls with disabilities</w:t>
      </w:r>
      <w:r>
        <w:t>”, April 2014, Women With Disabilities Australia, &lt;</w:t>
      </w:r>
      <w:hyperlink r:id="rId9" w:history="1">
        <w:r w:rsidRPr="00C946C1">
          <w:rPr>
            <w:rStyle w:val="Hyperlink"/>
          </w:rPr>
          <w:t>http://wwda.org.au/wp-content/uploads/2013/12/WWDA_Sub_NDS_Review2014.pdf</w:t>
        </w:r>
      </w:hyperlink>
      <w:r>
        <w:t>&gt;; People with Disability Australia, ‘</w:t>
      </w:r>
      <w:r w:rsidRPr="00C777FF">
        <w:t>Membership engagement report to The Department of Social Services (DSS) regarding the implementation of the National Disability Strategy 2010-2020</w:t>
      </w:r>
      <w:r>
        <w:t>’, April 2014,   &lt;</w:t>
      </w:r>
      <w:hyperlink r:id="rId10" w:history="1">
        <w:r w:rsidRPr="00C946C1">
          <w:rPr>
            <w:rStyle w:val="Hyperlink"/>
          </w:rPr>
          <w:t>http://www.pwd.org.au/documents/pubs/1404-PWDAFeedback-NDS2010-2020.doc</w:t>
        </w:r>
      </w:hyperlink>
      <w:r>
        <w:t>&gt;; National Ethnic Disability Alliance, ‘Submission to the Department of Social Services National Disability Strategy 2014 Progress Report to COAG’, 30 April 2014.</w:t>
      </w:r>
    </w:p>
  </w:footnote>
  <w:footnote w:id="20">
    <w:p w14:paraId="444CCAB0" w14:textId="7D992164" w:rsidR="00896A8C" w:rsidRDefault="00896A8C" w:rsidP="00C114AD">
      <w:pPr>
        <w:pStyle w:val="FootnoteText"/>
        <w:spacing w:after="0"/>
      </w:pPr>
      <w:r>
        <w:rPr>
          <w:rStyle w:val="FootnoteReference"/>
        </w:rPr>
        <w:footnoteRef/>
      </w:r>
      <w:r>
        <w:t xml:space="preserve"> Other examples include: Australian Human Rights Commission, </w:t>
      </w:r>
      <w:r w:rsidRPr="0090695B">
        <w:rPr>
          <w:i/>
        </w:rPr>
        <w:t>Equal before the law – Towards Disability Justice Strategies</w:t>
      </w:r>
      <w:r>
        <w:t>, February 2014; Senate Community Affairs References Committee, ‘Indefinite detention of people with cognitive and psychiatric impairment in Australia’, November 2016, Commonwealth of Australia, available at: &lt;</w:t>
      </w:r>
      <w:hyperlink r:id="rId11" w:history="1">
        <w:r w:rsidRPr="00C946C1">
          <w:rPr>
            <w:rStyle w:val="Hyperlink"/>
          </w:rPr>
          <w:t>http://www.aph.gov.au/Parliamentary_Business/Committees/Senate/Community_Affairs/IndefiniteDetention45</w:t>
        </w:r>
      </w:hyperlink>
      <w:r>
        <w:t xml:space="preserve">&gt; </w:t>
      </w:r>
    </w:p>
  </w:footnote>
  <w:footnote w:id="21">
    <w:p w14:paraId="0013D315" w14:textId="187D7597" w:rsidR="00896A8C" w:rsidRDefault="00896A8C" w:rsidP="00C114AD">
      <w:pPr>
        <w:pStyle w:val="FootnoteText"/>
        <w:spacing w:after="0"/>
      </w:pPr>
      <w:r>
        <w:rPr>
          <w:rStyle w:val="FootnoteReference"/>
        </w:rPr>
        <w:footnoteRef/>
      </w:r>
      <w:r>
        <w:t xml:space="preserve"> Australian Law Reform Commission, ‘Equality, Capacity and Disability in Commonwealth Laws’, ALRC Report 124, August 2014, Commonwealth of Australia.  </w:t>
      </w:r>
    </w:p>
  </w:footnote>
  <w:footnote w:id="22">
    <w:p w14:paraId="6C6E4215" w14:textId="2E29A554" w:rsidR="00896A8C" w:rsidRDefault="00896A8C" w:rsidP="00C114AD">
      <w:pPr>
        <w:pStyle w:val="FootnoteText"/>
        <w:spacing w:after="0"/>
      </w:pPr>
      <w:r>
        <w:rPr>
          <w:rStyle w:val="FootnoteReference"/>
        </w:rPr>
        <w:footnoteRef/>
      </w:r>
      <w:r>
        <w:t xml:space="preserve"> </w:t>
      </w:r>
      <w:r w:rsidRPr="00CC7413">
        <w:t xml:space="preserve">Committee on the Rights of </w:t>
      </w:r>
      <w:proofErr w:type="gramStart"/>
      <w:r w:rsidRPr="00CC7413">
        <w:t>Persons  with</w:t>
      </w:r>
      <w:proofErr w:type="gramEnd"/>
      <w:r w:rsidRPr="00CC7413">
        <w:t xml:space="preserve"> Disabilities,</w:t>
      </w:r>
      <w:r>
        <w:t xml:space="preserve"> </w:t>
      </w:r>
      <w:proofErr w:type="spellStart"/>
      <w:r>
        <w:t>op.cit</w:t>
      </w:r>
      <w:proofErr w:type="spellEnd"/>
      <w:r>
        <w:t>., para 7</w:t>
      </w:r>
    </w:p>
  </w:footnote>
  <w:footnote w:id="23">
    <w:p w14:paraId="3F9375C3" w14:textId="2014E3B8" w:rsidR="00896A8C" w:rsidRDefault="00896A8C" w:rsidP="00C114AD">
      <w:pPr>
        <w:pStyle w:val="FootnoteText"/>
        <w:spacing w:after="0"/>
      </w:pPr>
      <w:r>
        <w:rPr>
          <w:rStyle w:val="FootnoteReference"/>
        </w:rPr>
        <w:footnoteRef/>
      </w:r>
      <w:r>
        <w:t xml:space="preserve"> </w:t>
      </w:r>
      <w:r w:rsidRPr="00CC7413">
        <w:rPr>
          <w:lang w:val="en-US"/>
        </w:rPr>
        <w:t xml:space="preserve">Department of Social Services, </w:t>
      </w:r>
      <w:r w:rsidRPr="00CC7413">
        <w:rPr>
          <w:i/>
          <w:lang w:val="en-US"/>
        </w:rPr>
        <w:t>Progress Report to the Council of Australian Governments 2014</w:t>
      </w:r>
      <w:r w:rsidRPr="00CC7413">
        <w:rPr>
          <w:lang w:val="en-US"/>
        </w:rPr>
        <w:t>,</w:t>
      </w:r>
      <w:r>
        <w:rPr>
          <w:lang w:val="en-US"/>
        </w:rPr>
        <w:t xml:space="preserve"> op. cit., p. 40</w:t>
      </w:r>
    </w:p>
  </w:footnote>
  <w:footnote w:id="24">
    <w:p w14:paraId="46B5701A" w14:textId="43CEC71C" w:rsidR="00896A8C" w:rsidRDefault="00896A8C" w:rsidP="00C6495F">
      <w:pPr>
        <w:pStyle w:val="FootnoteText"/>
        <w:spacing w:after="0"/>
      </w:pPr>
      <w:r>
        <w:rPr>
          <w:rStyle w:val="FootnoteReference"/>
        </w:rPr>
        <w:footnoteRef/>
      </w:r>
      <w:r>
        <w:t xml:space="preserve"> </w:t>
      </w:r>
      <w:r w:rsidRPr="00C114AD">
        <w:t>Senate Community Affairs References Committee, ‘</w:t>
      </w:r>
      <w:r>
        <w:t>V</w:t>
      </w:r>
      <w:r w:rsidRPr="00C114AD">
        <w:t>iolence, abuse and neglect against people with disability in institutional and residential settings, including the gender and age related dimensions, and the particular situation of Aboriginal and Torres Strait Islander people with disability, culturally and linguistically diverse p</w:t>
      </w:r>
      <w:r>
        <w:t xml:space="preserve">eople with disability’, November 2015, </w:t>
      </w:r>
      <w:r w:rsidRPr="00C114AD">
        <w:t xml:space="preserve">Commonwealth of Australia, available at: </w:t>
      </w:r>
      <w:r>
        <w:t>&lt;</w:t>
      </w:r>
      <w:hyperlink r:id="rId12" w:history="1">
        <w:r w:rsidRPr="00C946C1">
          <w:rPr>
            <w:rStyle w:val="Hyperlink"/>
          </w:rPr>
          <w:t>http://www.aph.gov.au/Parliamentary_Business/Committees/Senate/Community_Affairs/Violence_abuse_neglect/Report</w:t>
        </w:r>
      </w:hyperlink>
      <w:r>
        <w:t xml:space="preserve">&gt; </w:t>
      </w:r>
    </w:p>
  </w:footnote>
  <w:footnote w:id="25">
    <w:p w14:paraId="04D684C0" w14:textId="2D7B874C" w:rsidR="00896A8C" w:rsidRDefault="00896A8C" w:rsidP="00C6495F">
      <w:pPr>
        <w:pStyle w:val="FootnoteText"/>
        <w:spacing w:after="0"/>
      </w:pPr>
      <w:r>
        <w:rPr>
          <w:rStyle w:val="FootnoteReference"/>
        </w:rPr>
        <w:footnoteRef/>
      </w:r>
      <w:r>
        <w:t xml:space="preserve"> </w:t>
      </w:r>
      <w:r w:rsidRPr="00442943">
        <w:t xml:space="preserve">Council of Australian Governments, </w:t>
      </w:r>
      <w:r w:rsidRPr="00442943">
        <w:rPr>
          <w:i/>
        </w:rPr>
        <w:t>National Disability Strategy 2010-2020</w:t>
      </w:r>
      <w:r w:rsidRPr="00442943">
        <w:t xml:space="preserve">, </w:t>
      </w:r>
      <w:r>
        <w:t xml:space="preserve">p. 38.  </w:t>
      </w:r>
    </w:p>
  </w:footnote>
  <w:footnote w:id="26">
    <w:p w14:paraId="2323A590" w14:textId="3A009208" w:rsidR="00896A8C" w:rsidRDefault="00896A8C" w:rsidP="00C6495F">
      <w:pPr>
        <w:pStyle w:val="FootnoteText"/>
        <w:spacing w:after="0"/>
      </w:pPr>
      <w:r>
        <w:rPr>
          <w:rStyle w:val="FootnoteReference"/>
        </w:rPr>
        <w:footnoteRef/>
      </w:r>
      <w:r>
        <w:t xml:space="preserve"> Ibid, point 2.3, p. 41.</w:t>
      </w:r>
    </w:p>
  </w:footnote>
  <w:footnote w:id="27">
    <w:p w14:paraId="756685E9" w14:textId="770248E5" w:rsidR="00896A8C" w:rsidRDefault="00896A8C" w:rsidP="00C6495F">
      <w:pPr>
        <w:pStyle w:val="FootnoteText"/>
        <w:spacing w:after="0"/>
      </w:pPr>
      <w:r>
        <w:rPr>
          <w:rStyle w:val="FootnoteReference"/>
        </w:rPr>
        <w:footnoteRef/>
      </w:r>
      <w:r>
        <w:t xml:space="preserve"> </w:t>
      </w:r>
      <w:r w:rsidRPr="00FD517A">
        <w:t xml:space="preserve">Council of Australian Governments, </w:t>
      </w:r>
      <w:r w:rsidRPr="00FD517A">
        <w:rPr>
          <w:i/>
        </w:rPr>
        <w:t>National Disability Strategy 2010-2020</w:t>
      </w:r>
      <w:r w:rsidRPr="00FD517A">
        <w:t xml:space="preserve">, p. </w:t>
      </w:r>
      <w:r>
        <w:t>40</w:t>
      </w:r>
      <w:r w:rsidRPr="00FD517A">
        <w:t xml:space="preserve">; Department of Families, Housing, Community Services and Indigenous Affairs, </w:t>
      </w:r>
      <w:r w:rsidRPr="00FD517A">
        <w:rPr>
          <w:i/>
        </w:rPr>
        <w:t>Report to the Council of Australian Governments 2012</w:t>
      </w:r>
      <w:r w:rsidRPr="00FD517A">
        <w:t xml:space="preserve">, Commonwealth of Australia, p. 70; Department of Social Services,  </w:t>
      </w:r>
      <w:r w:rsidRPr="00FD517A">
        <w:rPr>
          <w:i/>
          <w:lang w:val="en-US"/>
        </w:rPr>
        <w:t>Progress Report to the Council of Australian Governments 2014</w:t>
      </w:r>
      <w:r w:rsidRPr="00FD517A">
        <w:rPr>
          <w:lang w:val="en-US"/>
        </w:rPr>
        <w:t>, op. cit., p. 103</w:t>
      </w:r>
      <w:r w:rsidRPr="00FD517A">
        <w:t xml:space="preserve">; Department of Social Services, </w:t>
      </w:r>
      <w:r w:rsidRPr="00FD517A">
        <w:rPr>
          <w:i/>
        </w:rPr>
        <w:t>2010-2020 National Disability Strategy – Second Implementation Plan, Driving Action 2015-2018</w:t>
      </w:r>
      <w:r w:rsidRPr="00FD517A">
        <w:t>, op. cit., p.41.</w:t>
      </w:r>
    </w:p>
  </w:footnote>
  <w:footnote w:id="28">
    <w:p w14:paraId="51898415" w14:textId="3447B1BE" w:rsidR="00896A8C" w:rsidRDefault="00896A8C" w:rsidP="00C6495F">
      <w:pPr>
        <w:pStyle w:val="FootnoteText"/>
        <w:spacing w:after="0"/>
      </w:pPr>
      <w:r>
        <w:rPr>
          <w:rStyle w:val="FootnoteReference"/>
        </w:rPr>
        <w:footnoteRef/>
      </w:r>
      <w:r>
        <w:t xml:space="preserve"> </w:t>
      </w:r>
      <w:r w:rsidRPr="00FD517A">
        <w:t xml:space="preserve">Department of Social Services, </w:t>
      </w:r>
      <w:r w:rsidRPr="00FD517A">
        <w:rPr>
          <w:i/>
        </w:rPr>
        <w:t>2010-2020 National Disability Strategy – Second Implementation Plan, Driving Action 2015-2018</w:t>
      </w:r>
      <w:r w:rsidRPr="00FD517A">
        <w:t>,</w:t>
      </w:r>
      <w:r>
        <w:t xml:space="preserve"> ibid, p. 5.</w:t>
      </w:r>
    </w:p>
  </w:footnote>
  <w:footnote w:id="29">
    <w:p w14:paraId="2F37BF6F" w14:textId="564E9984" w:rsidR="00896A8C" w:rsidRDefault="00896A8C" w:rsidP="00C6495F">
      <w:pPr>
        <w:pStyle w:val="FootnoteText"/>
        <w:spacing w:after="0"/>
      </w:pPr>
      <w:r>
        <w:rPr>
          <w:rStyle w:val="FootnoteReference"/>
        </w:rPr>
        <w:footnoteRef/>
      </w:r>
      <w:r>
        <w:t xml:space="preserve"> Ibid, footnote 4, p. 5.</w:t>
      </w:r>
    </w:p>
  </w:footnote>
  <w:footnote w:id="30">
    <w:p w14:paraId="4B747080" w14:textId="55F2BE54" w:rsidR="00896A8C" w:rsidRDefault="00896A8C" w:rsidP="00FB2B5A">
      <w:pPr>
        <w:pStyle w:val="FootnoteText"/>
        <w:spacing w:after="0"/>
      </w:pPr>
      <w:r>
        <w:rPr>
          <w:rStyle w:val="FootnoteReference"/>
        </w:rPr>
        <w:footnoteRef/>
      </w:r>
      <w:r>
        <w:t xml:space="preserve"> Australian Government, ‘Australian Government response to the Senate Community Affairs References Committee report’, 2 March 2017. &lt;</w:t>
      </w:r>
      <w:hyperlink r:id="rId13" w:history="1">
        <w:r w:rsidRPr="00C946C1">
          <w:rPr>
            <w:rStyle w:val="Hyperlink"/>
          </w:rPr>
          <w:t>http://www.aph.gov.au/Parliamentary_Business/Committees/Senate/Community_Affairs/Violence_abuse_neglect/Government_Response</w:t>
        </w:r>
      </w:hyperlink>
      <w:r>
        <w:t>&gt;</w:t>
      </w:r>
    </w:p>
  </w:footnote>
  <w:footnote w:id="31">
    <w:p w14:paraId="6C00107E" w14:textId="74EE6F3D" w:rsidR="00896A8C" w:rsidRDefault="00896A8C" w:rsidP="00106D47">
      <w:pPr>
        <w:pStyle w:val="FootnoteText"/>
        <w:spacing w:after="0"/>
      </w:pPr>
      <w:r>
        <w:rPr>
          <w:rStyle w:val="FootnoteReference"/>
        </w:rPr>
        <w:footnoteRef/>
      </w:r>
      <w:r>
        <w:t xml:space="preserve"> </w:t>
      </w:r>
      <w:r w:rsidRPr="00CC1E41">
        <w:t xml:space="preserve">Department of Social Services, </w:t>
      </w:r>
      <w:r w:rsidRPr="00FB2B5A">
        <w:rPr>
          <w:i/>
        </w:rPr>
        <w:t>2010-2020 National Disability Strategy – Second Implementation Plan, Driving Action 2015-2018</w:t>
      </w:r>
      <w:r w:rsidRPr="00CC1E41">
        <w:t>,</w:t>
      </w:r>
      <w:r>
        <w:t xml:space="preserve"> p. 5.</w:t>
      </w:r>
    </w:p>
  </w:footnote>
  <w:footnote w:id="32">
    <w:p w14:paraId="73BC9E4F" w14:textId="1962B9F4" w:rsidR="00896A8C" w:rsidRDefault="00896A8C" w:rsidP="00106D47">
      <w:pPr>
        <w:pStyle w:val="FootnoteText"/>
        <w:spacing w:after="0"/>
      </w:pPr>
      <w:r>
        <w:rPr>
          <w:rStyle w:val="FootnoteReference"/>
        </w:rPr>
        <w:footnoteRef/>
      </w:r>
      <w:r>
        <w:t xml:space="preserve"> Ibid, p. 3.</w:t>
      </w:r>
    </w:p>
  </w:footnote>
  <w:footnote w:id="33">
    <w:p w14:paraId="6E969883" w14:textId="74E96F53" w:rsidR="00896A8C" w:rsidRDefault="00896A8C" w:rsidP="00106D47">
      <w:pPr>
        <w:pStyle w:val="FootnoteText"/>
        <w:spacing w:after="0"/>
      </w:pPr>
      <w:r>
        <w:rPr>
          <w:rStyle w:val="FootnoteReference"/>
        </w:rPr>
        <w:footnoteRef/>
      </w:r>
      <w:r>
        <w:t xml:space="preserve"> The Hon. Jane Prentice MP, ‘National Disability and Carers Advisory Council announced’, Media Release, 7 November 2016, &lt;</w:t>
      </w:r>
      <w:hyperlink r:id="rId14" w:history="1">
        <w:r w:rsidRPr="00C946C1">
          <w:rPr>
            <w:rStyle w:val="Hyperlink"/>
          </w:rPr>
          <w:t>http://janeprentice.dss.gov.au/media-releases/national-disability-and-carers-advisory-council-announced</w:t>
        </w:r>
      </w:hyperlink>
      <w:r>
        <w:t xml:space="preserve">&gt; </w:t>
      </w:r>
    </w:p>
  </w:footnote>
  <w:footnote w:id="34">
    <w:p w14:paraId="2415FB13" w14:textId="6BFCC5CC" w:rsidR="00896A8C" w:rsidRDefault="00896A8C" w:rsidP="00CF2B65">
      <w:pPr>
        <w:pStyle w:val="FootnoteText"/>
        <w:spacing w:after="0"/>
      </w:pPr>
      <w:r>
        <w:rPr>
          <w:rStyle w:val="FootnoteReference"/>
        </w:rPr>
        <w:footnoteRef/>
      </w:r>
      <w:r>
        <w:t xml:space="preserve"> </w:t>
      </w:r>
      <w:r w:rsidRPr="00172F3D">
        <w:rPr>
          <w:rFonts w:asciiTheme="minorHAnsi" w:eastAsiaTheme="minorEastAsia" w:hAnsiTheme="minorHAnsi" w:cstheme="majorHAnsi"/>
        </w:rPr>
        <w:t xml:space="preserve">Council of Australian Governments, </w:t>
      </w:r>
      <w:r w:rsidRPr="00172F3D">
        <w:rPr>
          <w:rFonts w:asciiTheme="minorHAnsi" w:eastAsiaTheme="minorEastAsia" w:hAnsiTheme="minorHAnsi" w:cstheme="majorHAnsi"/>
          <w:i/>
        </w:rPr>
        <w:t>National Disability Strategy 2010-2020</w:t>
      </w:r>
      <w:r w:rsidRPr="00172F3D">
        <w:rPr>
          <w:rFonts w:asciiTheme="minorHAnsi" w:eastAsiaTheme="minorEastAsia" w:hAnsiTheme="minorHAnsi" w:cstheme="majorHAnsi"/>
        </w:rPr>
        <w:t>,</w:t>
      </w:r>
      <w:r>
        <w:rPr>
          <w:rFonts w:asciiTheme="minorHAnsi" w:eastAsiaTheme="minorEastAsia" w:hAnsiTheme="minorHAnsi" w:cstheme="majorHAnsi"/>
        </w:rPr>
        <w:t xml:space="preserve"> p. 67.</w:t>
      </w:r>
    </w:p>
  </w:footnote>
  <w:footnote w:id="35">
    <w:p w14:paraId="3859A961" w14:textId="0A824DE0" w:rsidR="00896A8C" w:rsidRDefault="00896A8C" w:rsidP="00CF2B65">
      <w:pPr>
        <w:pStyle w:val="FootnoteText"/>
        <w:spacing w:after="0"/>
      </w:pPr>
      <w:r>
        <w:rPr>
          <w:rStyle w:val="FootnoteReference"/>
        </w:rPr>
        <w:footnoteRef/>
      </w:r>
      <w:r>
        <w:t xml:space="preserve"> </w:t>
      </w:r>
      <w:r w:rsidRPr="00CC1E41">
        <w:t xml:space="preserve">Department of Social Services, </w:t>
      </w:r>
      <w:r w:rsidRPr="00D60A11">
        <w:rPr>
          <w:i/>
        </w:rPr>
        <w:t>2010-2020 National Disability Strategy – Second Implementation Plan, Driving Action 2015-2018</w:t>
      </w:r>
      <w:r w:rsidRPr="00CC1E41">
        <w:t>,</w:t>
      </w:r>
      <w:r>
        <w:t xml:space="preserve"> p.16.</w:t>
      </w:r>
    </w:p>
  </w:footnote>
  <w:footnote w:id="36">
    <w:p w14:paraId="1DBF7B2C" w14:textId="1835EC1D" w:rsidR="00896A8C" w:rsidRDefault="00896A8C" w:rsidP="00393C0C">
      <w:pPr>
        <w:pStyle w:val="FootnoteText"/>
        <w:spacing w:after="0"/>
      </w:pPr>
      <w:r>
        <w:rPr>
          <w:rStyle w:val="FootnoteReference"/>
        </w:rPr>
        <w:footnoteRef/>
      </w:r>
      <w:r>
        <w:t xml:space="preserve"> </w:t>
      </w:r>
      <w:r w:rsidRPr="0027287E">
        <w:rPr>
          <w:lang w:val="en-US"/>
        </w:rPr>
        <w:t xml:space="preserve">Department of Social Services, </w:t>
      </w:r>
      <w:r w:rsidRPr="0027287E">
        <w:rPr>
          <w:i/>
          <w:lang w:val="en-US"/>
        </w:rPr>
        <w:t>Progress Report to the Council of Australian Governments 2014</w:t>
      </w:r>
      <w:r w:rsidRPr="0027287E">
        <w:rPr>
          <w:lang w:val="en-US"/>
        </w:rPr>
        <w:t>,</w:t>
      </w:r>
      <w:r>
        <w:rPr>
          <w:lang w:val="en-US"/>
        </w:rPr>
        <w:t xml:space="preserve"> </w:t>
      </w:r>
      <w:proofErr w:type="spellStart"/>
      <w:r>
        <w:rPr>
          <w:lang w:val="en-US"/>
        </w:rPr>
        <w:t>op.cit</w:t>
      </w:r>
      <w:proofErr w:type="spellEnd"/>
      <w:r>
        <w:rPr>
          <w:lang w:val="en-US"/>
        </w:rPr>
        <w:t>., p. 19</w:t>
      </w:r>
    </w:p>
  </w:footnote>
  <w:footnote w:id="37">
    <w:p w14:paraId="05DED772" w14:textId="1B632EFE" w:rsidR="00896A8C" w:rsidRDefault="00896A8C" w:rsidP="00393C0C">
      <w:pPr>
        <w:pStyle w:val="FootnoteText"/>
        <w:spacing w:after="0"/>
      </w:pPr>
      <w:r>
        <w:rPr>
          <w:rStyle w:val="FootnoteReference"/>
        </w:rPr>
        <w:footnoteRef/>
      </w:r>
      <w:r>
        <w:t xml:space="preserve"> Ibid, p. 20; </w:t>
      </w:r>
      <w:r w:rsidRPr="00393C0C">
        <w:t xml:space="preserve">Department of Social Services, </w:t>
      </w:r>
      <w:r w:rsidRPr="00393C0C">
        <w:rPr>
          <w:i/>
        </w:rPr>
        <w:t>2010-2020 National Disability Strategy – Second Implementation Plan, Driving Action 2015-2018</w:t>
      </w:r>
      <w:r w:rsidRPr="00393C0C">
        <w:t>,</w:t>
      </w:r>
      <w:r>
        <w:t xml:space="preserve"> p. iii</w:t>
      </w:r>
      <w:r w:rsidRPr="00393C0C">
        <w:t>.</w:t>
      </w:r>
    </w:p>
  </w:footnote>
  <w:footnote w:id="38">
    <w:p w14:paraId="7C9DA090" w14:textId="07679C27" w:rsidR="00896A8C" w:rsidRDefault="00896A8C" w:rsidP="00D0533A">
      <w:pPr>
        <w:pStyle w:val="FootnoteText"/>
        <w:spacing w:after="0"/>
      </w:pPr>
      <w:r>
        <w:rPr>
          <w:rStyle w:val="FootnoteReference"/>
        </w:rPr>
        <w:footnoteRef/>
      </w:r>
      <w:r>
        <w:t xml:space="preserve"> Council of Australian Governments, </w:t>
      </w:r>
      <w:r w:rsidRPr="00C902E8">
        <w:rPr>
          <w:i/>
        </w:rPr>
        <w:t>Protecting Children is Everyone’s Business – National Framework for Protecting Australia’s Children 2009-2020</w:t>
      </w:r>
      <w:r>
        <w:t>, Commonwealth of Australia 2009, p. 35.</w:t>
      </w:r>
    </w:p>
  </w:footnote>
  <w:footnote w:id="39">
    <w:p w14:paraId="6A6A0100" w14:textId="4C1AE5CA" w:rsidR="00896A8C" w:rsidRDefault="00896A8C" w:rsidP="00006FA0">
      <w:pPr>
        <w:pStyle w:val="FootnoteText"/>
        <w:spacing w:after="0"/>
      </w:pPr>
      <w:r>
        <w:rPr>
          <w:rStyle w:val="FootnoteReference"/>
        </w:rPr>
        <w:footnoteRef/>
      </w:r>
      <w:r>
        <w:t xml:space="preserve"> Ibid.</w:t>
      </w:r>
    </w:p>
  </w:footnote>
  <w:footnote w:id="40">
    <w:p w14:paraId="0CDEA5EC" w14:textId="2CD4E403" w:rsidR="00896A8C" w:rsidRDefault="00896A8C" w:rsidP="00006FA0">
      <w:pPr>
        <w:pStyle w:val="FootnoteText"/>
        <w:spacing w:after="0"/>
      </w:pPr>
      <w:r>
        <w:rPr>
          <w:rStyle w:val="FootnoteReference"/>
        </w:rPr>
        <w:footnoteRef/>
      </w:r>
      <w:r>
        <w:t xml:space="preserve"> Council of Australian Governments, </w:t>
      </w:r>
      <w:r w:rsidRPr="00172F3D">
        <w:rPr>
          <w:rFonts w:asciiTheme="minorHAnsi" w:eastAsiaTheme="minorEastAsia" w:hAnsiTheme="minorHAnsi" w:cstheme="majorHAnsi"/>
          <w:i/>
        </w:rPr>
        <w:t>National Disability Strategy 2010-2020</w:t>
      </w:r>
      <w:r w:rsidRPr="00172F3D">
        <w:rPr>
          <w:rFonts w:asciiTheme="minorHAnsi" w:eastAsiaTheme="minorEastAsia" w:hAnsiTheme="minorHAnsi" w:cstheme="majorHAnsi"/>
        </w:rPr>
        <w:t>,</w:t>
      </w:r>
      <w:r>
        <w:rPr>
          <w:rFonts w:asciiTheme="minorHAnsi" w:eastAsiaTheme="minorEastAsia" w:hAnsiTheme="minorHAnsi" w:cstheme="majorHAnsi"/>
        </w:rPr>
        <w:t xml:space="preserve"> p. 14.</w:t>
      </w:r>
    </w:p>
  </w:footnote>
  <w:footnote w:id="41">
    <w:p w14:paraId="7214DEE9" w14:textId="629A0875" w:rsidR="00896A8C" w:rsidRDefault="00896A8C" w:rsidP="00006FA0">
      <w:pPr>
        <w:pStyle w:val="FootnoteText"/>
        <w:spacing w:after="0"/>
      </w:pPr>
      <w:r>
        <w:rPr>
          <w:rStyle w:val="FootnoteReference"/>
        </w:rPr>
        <w:footnoteRef/>
      </w:r>
      <w:r>
        <w:t xml:space="preserve"> </w:t>
      </w:r>
      <w:r w:rsidRPr="00D0533A">
        <w:t xml:space="preserve">Department of Social Services, </w:t>
      </w:r>
      <w:r w:rsidRPr="00D0533A">
        <w:rPr>
          <w:i/>
        </w:rPr>
        <w:t>2010-2020 National Disability Strategy – Second Implementation Plan, Driving Action 2015-2018</w:t>
      </w:r>
      <w:r w:rsidRPr="00D0533A">
        <w:t>,</w:t>
      </w:r>
      <w:r>
        <w:t xml:space="preserve"> p. 5.</w:t>
      </w:r>
    </w:p>
  </w:footnote>
  <w:footnote w:id="42">
    <w:p w14:paraId="7F5176B3" w14:textId="45D8F4A3" w:rsidR="00896A8C" w:rsidRDefault="00896A8C" w:rsidP="00006FA0">
      <w:pPr>
        <w:pStyle w:val="FootnoteText"/>
        <w:spacing w:after="0"/>
      </w:pPr>
      <w:r>
        <w:rPr>
          <w:rStyle w:val="FootnoteReference"/>
        </w:rPr>
        <w:footnoteRef/>
      </w:r>
      <w:r>
        <w:t xml:space="preserve"> Ibid, p. 6.</w:t>
      </w:r>
    </w:p>
  </w:footnote>
  <w:footnote w:id="43">
    <w:p w14:paraId="36AFC4E3" w14:textId="36113198" w:rsidR="00896A8C" w:rsidRDefault="00896A8C" w:rsidP="00006FA0">
      <w:pPr>
        <w:pStyle w:val="FootnoteText"/>
        <w:spacing w:after="0"/>
      </w:pPr>
      <w:r>
        <w:rPr>
          <w:rStyle w:val="FootnoteReference"/>
        </w:rPr>
        <w:footnoteRef/>
      </w:r>
      <w:r>
        <w:t xml:space="preserve"> </w:t>
      </w:r>
      <w:r w:rsidRPr="00006FA0">
        <w:t xml:space="preserve">Council of Australian Governments, </w:t>
      </w:r>
      <w:r w:rsidRPr="00006FA0">
        <w:rPr>
          <w:i/>
        </w:rPr>
        <w:t>National Disability Strategy 2010-2020</w:t>
      </w:r>
      <w:r w:rsidRPr="00006FA0">
        <w:t xml:space="preserve">, p. </w:t>
      </w:r>
      <w:r>
        <w:t>25.</w:t>
      </w:r>
    </w:p>
  </w:footnote>
  <w:footnote w:id="44">
    <w:p w14:paraId="1C01B396" w14:textId="1F42B555" w:rsidR="00896A8C" w:rsidRDefault="00896A8C">
      <w:pPr>
        <w:pStyle w:val="FootnoteText"/>
      </w:pPr>
      <w:r>
        <w:rPr>
          <w:rStyle w:val="FootnoteReference"/>
        </w:rPr>
        <w:footnoteRef/>
      </w:r>
      <w:r>
        <w:t xml:space="preserve"> Carolyn Frohmader, op. cit., p. 5.</w:t>
      </w:r>
    </w:p>
  </w:footnote>
  <w:footnote w:id="45">
    <w:p w14:paraId="20DD7B8D" w14:textId="365C42E5" w:rsidR="00896A8C" w:rsidRDefault="00896A8C" w:rsidP="00F6603F">
      <w:pPr>
        <w:pStyle w:val="FootnoteText"/>
        <w:spacing w:after="0"/>
      </w:pPr>
      <w:r>
        <w:rPr>
          <w:rStyle w:val="FootnoteReference"/>
        </w:rPr>
        <w:footnoteRef/>
      </w:r>
      <w:r>
        <w:t xml:space="preserve"> </w:t>
      </w:r>
      <w:r w:rsidRPr="002F229A">
        <w:t>National Ethnic Disability Alliance,</w:t>
      </w:r>
      <w:r>
        <w:t xml:space="preserve"> op. cit.</w:t>
      </w:r>
    </w:p>
  </w:footnote>
  <w:footnote w:id="46">
    <w:p w14:paraId="105C9B47" w14:textId="34B1A356" w:rsidR="00896A8C" w:rsidRDefault="00896A8C" w:rsidP="00E057A1">
      <w:pPr>
        <w:pStyle w:val="FootnoteText"/>
        <w:spacing w:after="0"/>
      </w:pPr>
      <w:r>
        <w:rPr>
          <w:rStyle w:val="FootnoteReference"/>
        </w:rPr>
        <w:footnoteRef/>
      </w:r>
      <w:r>
        <w:t xml:space="preserve"> </w:t>
      </w:r>
      <w:r w:rsidRPr="007D1C8F">
        <w:t xml:space="preserve">Council of Australian Governments, </w:t>
      </w:r>
      <w:r w:rsidRPr="007D1C8F">
        <w:rPr>
          <w:i/>
        </w:rPr>
        <w:t>National Disability Strategy 2010-2020</w:t>
      </w:r>
      <w:r w:rsidRPr="007D1C8F">
        <w:t>,</w:t>
      </w:r>
      <w:r>
        <w:t xml:space="preserve"> p. 25.</w:t>
      </w:r>
    </w:p>
  </w:footnote>
  <w:footnote w:id="47">
    <w:p w14:paraId="730E3A60" w14:textId="5E58016B" w:rsidR="00896A8C" w:rsidRDefault="00896A8C" w:rsidP="00E057A1">
      <w:pPr>
        <w:pStyle w:val="FootnoteText"/>
        <w:spacing w:after="0"/>
      </w:pPr>
      <w:r>
        <w:rPr>
          <w:rStyle w:val="FootnoteReference"/>
        </w:rPr>
        <w:footnoteRef/>
      </w:r>
      <w:r>
        <w:t xml:space="preserve"> </w:t>
      </w:r>
      <w:r w:rsidRPr="007D1C8F">
        <w:t xml:space="preserve">Department of Social Services, </w:t>
      </w:r>
      <w:r w:rsidRPr="007D1C8F">
        <w:rPr>
          <w:i/>
        </w:rPr>
        <w:t>2010-2020 National Disability Strategy – Second Implementation Plan, Driving Action 2015-2018</w:t>
      </w:r>
      <w:r w:rsidRPr="007D1C8F">
        <w:t>,</w:t>
      </w:r>
      <w:r>
        <w:t xml:space="preserve"> p. 33.</w:t>
      </w:r>
    </w:p>
  </w:footnote>
  <w:footnote w:id="48">
    <w:p w14:paraId="3886CD6E" w14:textId="0A14A8FB" w:rsidR="00896A8C" w:rsidRDefault="00896A8C" w:rsidP="00E057A1">
      <w:pPr>
        <w:pStyle w:val="FootnoteText"/>
        <w:spacing w:after="0"/>
      </w:pPr>
      <w:r>
        <w:rPr>
          <w:rStyle w:val="FootnoteReference"/>
        </w:rPr>
        <w:footnoteRef/>
      </w:r>
      <w:r>
        <w:t xml:space="preserve"> Ibid, p. 32.</w:t>
      </w:r>
    </w:p>
  </w:footnote>
  <w:footnote w:id="49">
    <w:p w14:paraId="56E8A55F" w14:textId="49A8AAE4" w:rsidR="00896A8C" w:rsidRDefault="00896A8C" w:rsidP="00E057A1">
      <w:pPr>
        <w:pStyle w:val="FootnoteText"/>
        <w:spacing w:after="0"/>
      </w:pPr>
      <w:r>
        <w:rPr>
          <w:rStyle w:val="FootnoteReference"/>
        </w:rPr>
        <w:footnoteRef/>
      </w:r>
      <w:r>
        <w:t xml:space="preserve"> Ibid.</w:t>
      </w:r>
    </w:p>
  </w:footnote>
  <w:footnote w:id="50">
    <w:p w14:paraId="5B4E2821" w14:textId="3C650602" w:rsidR="00E057A1" w:rsidRDefault="00E057A1" w:rsidP="00E057A1">
      <w:pPr>
        <w:pStyle w:val="FootnoteText"/>
        <w:spacing w:after="0"/>
      </w:pPr>
      <w:r>
        <w:rPr>
          <w:rStyle w:val="FootnoteReference"/>
        </w:rPr>
        <w:footnoteRef/>
      </w:r>
      <w:r>
        <w:t xml:space="preserve"> This information was outlined at the Redfern Statement Disability Workshop conducted by FPDN on Tuesday 1 May 2017.</w:t>
      </w:r>
    </w:p>
  </w:footnote>
  <w:footnote w:id="51">
    <w:p w14:paraId="30763BE5" w14:textId="1785B1C9" w:rsidR="00896A8C" w:rsidRDefault="00896A8C" w:rsidP="00A613A2">
      <w:pPr>
        <w:pStyle w:val="FootnoteText"/>
        <w:spacing w:after="0"/>
      </w:pPr>
      <w:r>
        <w:rPr>
          <w:rStyle w:val="FootnoteReference"/>
        </w:rPr>
        <w:footnoteRef/>
      </w:r>
      <w:r>
        <w:t xml:space="preserve"> DPO Australia, ‘</w:t>
      </w:r>
      <w:r w:rsidRPr="00130E83">
        <w:t>Disabled People’s Organisations Australia (DPO Australia) Submission to the 2017/2018 Federal Budget’</w:t>
      </w:r>
      <w:r>
        <w:t>, p. 15; Australian Cross Disability Alliance, ‘Election Policy Platform – Building a Disability Inclusive Australia”, June 2016, p. 11.</w:t>
      </w:r>
    </w:p>
  </w:footnote>
  <w:footnote w:id="52">
    <w:p w14:paraId="37558ADB" w14:textId="3706B620" w:rsidR="00896A8C" w:rsidRDefault="00896A8C" w:rsidP="00A613A2">
      <w:pPr>
        <w:pStyle w:val="FootnoteText"/>
        <w:spacing w:after="0"/>
      </w:pPr>
      <w:r>
        <w:rPr>
          <w:rStyle w:val="FootnoteReference"/>
        </w:rPr>
        <w:footnoteRef/>
      </w:r>
      <w:r>
        <w:t xml:space="preserve"> DPO Australia, op. cit., p. 15. </w:t>
      </w:r>
    </w:p>
  </w:footnote>
  <w:footnote w:id="53">
    <w:p w14:paraId="364DFECC" w14:textId="19A5294A" w:rsidR="00896A8C" w:rsidRDefault="00896A8C" w:rsidP="00623241">
      <w:pPr>
        <w:pStyle w:val="FootnoteText"/>
        <w:spacing w:after="0"/>
      </w:pPr>
      <w:r>
        <w:rPr>
          <w:rStyle w:val="FootnoteReference"/>
        </w:rPr>
        <w:footnoteRef/>
      </w:r>
      <w:r>
        <w:t xml:space="preserve"> Department of Social Services, ‘National Disability Strategy Initiatives’, DSS website: &lt;</w:t>
      </w:r>
      <w:hyperlink r:id="rId15" w:history="1">
        <w:r w:rsidRPr="000F1E76">
          <w:rPr>
            <w:rStyle w:val="Hyperlink"/>
          </w:rPr>
          <w:t>https://www.dss.gov.au/our-responsibilities/disability-and-carers/program-services/government-international/national-disability-strategy-initiatives</w:t>
        </w:r>
      </w:hyperlink>
      <w:r>
        <w:t xml:space="preserve"> &gt;</w:t>
      </w:r>
    </w:p>
  </w:footnote>
  <w:footnote w:id="54">
    <w:p w14:paraId="08D57D4F" w14:textId="4199A1A3" w:rsidR="00896A8C" w:rsidRDefault="00896A8C" w:rsidP="00623241">
      <w:pPr>
        <w:pStyle w:val="FootnoteText"/>
        <w:spacing w:after="0"/>
      </w:pPr>
      <w:r>
        <w:rPr>
          <w:rStyle w:val="FootnoteReference"/>
        </w:rPr>
        <w:footnoteRef/>
      </w:r>
      <w:r>
        <w:t xml:space="preserve"> Ibid. </w:t>
      </w:r>
    </w:p>
  </w:footnote>
  <w:footnote w:id="55">
    <w:p w14:paraId="48BD98B7" w14:textId="5046C980" w:rsidR="00896A8C" w:rsidRDefault="00896A8C" w:rsidP="00623241">
      <w:pPr>
        <w:pStyle w:val="FootnoteText"/>
        <w:spacing w:after="0"/>
      </w:pPr>
      <w:r>
        <w:rPr>
          <w:rStyle w:val="FootnoteReference"/>
        </w:rPr>
        <w:footnoteRef/>
      </w:r>
      <w:r>
        <w:t xml:space="preserve"> People with Disability Australia, ‘Submission to the Willing to Work: National Inquiry into Employment Discrimination against Older Australians and Australians with Disability’, December 2015, para 17. </w:t>
      </w:r>
    </w:p>
  </w:footnote>
  <w:footnote w:id="56">
    <w:p w14:paraId="4D596B7C" w14:textId="7D98C8D8" w:rsidR="00896A8C" w:rsidRDefault="00896A8C" w:rsidP="00623241">
      <w:pPr>
        <w:pStyle w:val="FootnoteText"/>
        <w:spacing w:after="0"/>
      </w:pPr>
      <w:r>
        <w:rPr>
          <w:rStyle w:val="FootnoteReference"/>
        </w:rPr>
        <w:footnoteRef/>
      </w:r>
      <w:r>
        <w:t xml:space="preserve"> DPO Australia, op. cit., p. 16. </w:t>
      </w:r>
    </w:p>
  </w:footnote>
  <w:footnote w:id="57">
    <w:p w14:paraId="096D8385" w14:textId="08464B25" w:rsidR="00896A8C" w:rsidRDefault="00896A8C" w:rsidP="00623241">
      <w:pPr>
        <w:pStyle w:val="FootnoteText"/>
        <w:spacing w:after="0"/>
      </w:pPr>
      <w:r>
        <w:rPr>
          <w:rStyle w:val="FootnoteReference"/>
        </w:rPr>
        <w:footnoteRef/>
      </w:r>
      <w:r>
        <w:t xml:space="preserve"> BBC Radio, Ouch: Disability Talk, &lt;</w:t>
      </w:r>
      <w:hyperlink r:id="rId16" w:history="1">
        <w:r w:rsidRPr="000F1E76">
          <w:rPr>
            <w:rStyle w:val="Hyperlink"/>
          </w:rPr>
          <w:t>http://www.bbc.co.uk/programmes/p02r6yqw</w:t>
        </w:r>
      </w:hyperlink>
      <w:r>
        <w:t>&gt;</w:t>
      </w:r>
    </w:p>
  </w:footnote>
  <w:footnote w:id="58">
    <w:p w14:paraId="07250C5A" w14:textId="4786ADF4" w:rsidR="00896A8C" w:rsidRDefault="00896A8C" w:rsidP="00623241">
      <w:pPr>
        <w:pStyle w:val="FootnoteText"/>
        <w:spacing w:after="0"/>
      </w:pPr>
      <w:r>
        <w:rPr>
          <w:rStyle w:val="FootnoteReference"/>
        </w:rPr>
        <w:footnoteRef/>
      </w:r>
      <w:r>
        <w:t xml:space="preserve"> Channel 4, &lt;</w:t>
      </w:r>
      <w:hyperlink r:id="rId17" w:history="1">
        <w:r w:rsidRPr="000F1E76">
          <w:rPr>
            <w:rStyle w:val="Hyperlink"/>
          </w:rPr>
          <w:t>http://www.channel4.com/info/press/news/channel-4-launches-360-diversity-charter</w:t>
        </w:r>
      </w:hyperlink>
      <w:r>
        <w:t>&gt;</w:t>
      </w:r>
    </w:p>
  </w:footnote>
  <w:footnote w:id="59">
    <w:p w14:paraId="68425FC8" w14:textId="0FD5730F" w:rsidR="00896A8C" w:rsidRDefault="00896A8C" w:rsidP="00623241">
      <w:pPr>
        <w:pStyle w:val="FootnoteText"/>
        <w:spacing w:after="0"/>
      </w:pPr>
      <w:r>
        <w:rPr>
          <w:rStyle w:val="FootnoteReference"/>
        </w:rPr>
        <w:footnoteRef/>
      </w:r>
      <w:r>
        <w:t xml:space="preserve"> </w:t>
      </w:r>
      <w:r w:rsidRPr="00623241">
        <w:t xml:space="preserve">Department of Social Services, ‘National Disability Strategy Initiatives’, </w:t>
      </w:r>
      <w:r>
        <w:t>op. cit.</w:t>
      </w:r>
    </w:p>
  </w:footnote>
  <w:footnote w:id="60">
    <w:p w14:paraId="53AFA734" w14:textId="795316CE" w:rsidR="00896A8C" w:rsidRDefault="00896A8C" w:rsidP="00896A8C">
      <w:pPr>
        <w:pStyle w:val="FootnoteText"/>
        <w:spacing w:after="0"/>
      </w:pPr>
      <w:r>
        <w:rPr>
          <w:rStyle w:val="FootnoteReference"/>
        </w:rPr>
        <w:footnoteRef/>
      </w:r>
      <w:r>
        <w:t xml:space="preserve"> Margaret Ward &amp; Michael Fox, ‘Proposal for Change:  Accessibility in housing – To provide for accessibility in all new housing’, (2016) Australian Network for Universal Housing Design, &amp; Rights &amp; Inclusion Australia, p. 10</w:t>
      </w:r>
    </w:p>
  </w:footnote>
  <w:footnote w:id="61">
    <w:p w14:paraId="0DA09429" w14:textId="1AB8854D" w:rsidR="00896A8C" w:rsidRDefault="00896A8C" w:rsidP="00896A8C">
      <w:pPr>
        <w:pStyle w:val="FootnoteText"/>
        <w:spacing w:after="0"/>
      </w:pPr>
      <w:r>
        <w:rPr>
          <w:rStyle w:val="FootnoteReference"/>
        </w:rPr>
        <w:footnoteRef/>
      </w:r>
      <w:r>
        <w:t xml:space="preserve"> Joint Standing Committee on the NDIS, ‘Accommodation for people with disabilities and the NDIS’, 5 May 2016, Commonwealth of Australia, p. xi, &lt;</w:t>
      </w:r>
      <w:hyperlink r:id="rId18" w:history="1">
        <w:r w:rsidRPr="000F1E76">
          <w:rPr>
            <w:rStyle w:val="Hyperlink"/>
          </w:rPr>
          <w:t>http://www.aph.gov.au/Parliamentary_Business/Committees/Joint/National_Disability_Insurance_Scheme/JNDIS-44th/NDIS_accommodation/Report</w:t>
        </w:r>
      </w:hyperlink>
      <w:r>
        <w:t xml:space="preserve">&gt;  </w:t>
      </w:r>
    </w:p>
  </w:footnote>
  <w:footnote w:id="62">
    <w:p w14:paraId="6D1B1350" w14:textId="2A0D7512" w:rsidR="00896A8C" w:rsidRDefault="00896A8C" w:rsidP="00896A8C">
      <w:pPr>
        <w:pStyle w:val="FootnoteText"/>
        <w:spacing w:after="0"/>
      </w:pPr>
      <w:r>
        <w:rPr>
          <w:rStyle w:val="FootnoteReference"/>
        </w:rPr>
        <w:footnoteRef/>
      </w:r>
      <w:r>
        <w:t xml:space="preserve"> DPO Australia, op. cit., p. 15</w:t>
      </w:r>
    </w:p>
  </w:footnote>
  <w:footnote w:id="63">
    <w:p w14:paraId="5B3AE878" w14:textId="5A36A74B" w:rsidR="00896A8C" w:rsidRDefault="00896A8C" w:rsidP="00896A8C">
      <w:pPr>
        <w:pStyle w:val="FootnoteText"/>
        <w:spacing w:after="0"/>
      </w:pPr>
      <w:r>
        <w:rPr>
          <w:rStyle w:val="FootnoteReference"/>
        </w:rPr>
        <w:footnoteRef/>
      </w:r>
      <w:r>
        <w:t xml:space="preserve"> People with Disability Australia, ‘Submission to the Review of the Disability (Access to Premises – Building) Standards 2010 Discussion Paper April 2015’, 15 June 2015, p. 8.</w:t>
      </w:r>
    </w:p>
  </w:footnote>
  <w:footnote w:id="64">
    <w:p w14:paraId="0E43F7BA" w14:textId="33678BC5" w:rsidR="004105BE" w:rsidRDefault="004105BE" w:rsidP="003B53CD">
      <w:pPr>
        <w:pStyle w:val="FootnoteText"/>
        <w:spacing w:after="0"/>
      </w:pPr>
      <w:r>
        <w:rPr>
          <w:rStyle w:val="FootnoteReference"/>
        </w:rPr>
        <w:footnoteRef/>
      </w:r>
      <w:r>
        <w:t xml:space="preserve"> Local Government NSW &amp; Family &amp; Community Services, NSW Disability Inclusion Action Planning Guidelines, Local Government, November 2015.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644" w:hanging="360"/>
      </w:pPr>
      <w:rPr>
        <w:rFonts w:ascii="Symbol" w:hAnsi="Symbol" w:cs="Symbol"/>
        <w:b w:val="0"/>
        <w:color w:val="000000"/>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b w:val="0"/>
        <w:color w:val="000000"/>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b w:val="0"/>
        <w:color w:val="000000"/>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1">
    <w:nsid w:val="00000004"/>
    <w:multiLevelType w:val="multilevel"/>
    <w:tmpl w:val="00000004"/>
    <w:name w:val="WWNum3"/>
    <w:lvl w:ilvl="0">
      <w:start w:val="1"/>
      <w:numFmt w:val="bullet"/>
      <w:lvlText w:val="•"/>
      <w:lvlJc w:val="left"/>
      <w:pPr>
        <w:tabs>
          <w:tab w:val="num" w:pos="0"/>
        </w:tabs>
        <w:ind w:left="453" w:hanging="260"/>
      </w:pPr>
      <w:rPr>
        <w:rFonts w:ascii="Verdana" w:hAnsi="Verdana"/>
        <w:color w:val="00659E"/>
        <w:sz w:val="24"/>
        <w:szCs w:val="24"/>
      </w:rPr>
    </w:lvl>
    <w:lvl w:ilvl="1">
      <w:start w:val="1"/>
      <w:numFmt w:val="bullet"/>
      <w:lvlText w:val=""/>
      <w:lvlJc w:val="left"/>
      <w:pPr>
        <w:tabs>
          <w:tab w:val="num" w:pos="0"/>
        </w:tabs>
        <w:ind w:left="1598" w:hanging="260"/>
      </w:pPr>
      <w:rPr>
        <w:rFonts w:ascii="Symbol" w:hAnsi="Symbol"/>
      </w:rPr>
    </w:lvl>
    <w:lvl w:ilvl="2">
      <w:start w:val="1"/>
      <w:numFmt w:val="bullet"/>
      <w:lvlText w:val=""/>
      <w:lvlJc w:val="left"/>
      <w:pPr>
        <w:tabs>
          <w:tab w:val="num" w:pos="0"/>
        </w:tabs>
        <w:ind w:left="2743" w:hanging="260"/>
      </w:pPr>
      <w:rPr>
        <w:rFonts w:ascii="Symbol" w:hAnsi="Symbol"/>
      </w:rPr>
    </w:lvl>
    <w:lvl w:ilvl="3">
      <w:start w:val="1"/>
      <w:numFmt w:val="bullet"/>
      <w:lvlText w:val=""/>
      <w:lvlJc w:val="left"/>
      <w:pPr>
        <w:tabs>
          <w:tab w:val="num" w:pos="0"/>
        </w:tabs>
        <w:ind w:left="3889" w:hanging="260"/>
      </w:pPr>
      <w:rPr>
        <w:rFonts w:ascii="Symbol" w:hAnsi="Symbol"/>
      </w:rPr>
    </w:lvl>
    <w:lvl w:ilvl="4">
      <w:start w:val="1"/>
      <w:numFmt w:val="bullet"/>
      <w:lvlText w:val=""/>
      <w:lvlJc w:val="left"/>
      <w:pPr>
        <w:tabs>
          <w:tab w:val="num" w:pos="0"/>
        </w:tabs>
        <w:ind w:left="5034" w:hanging="260"/>
      </w:pPr>
      <w:rPr>
        <w:rFonts w:ascii="Symbol" w:hAnsi="Symbol"/>
      </w:rPr>
    </w:lvl>
    <w:lvl w:ilvl="5">
      <w:start w:val="1"/>
      <w:numFmt w:val="bullet"/>
      <w:lvlText w:val=""/>
      <w:lvlJc w:val="left"/>
      <w:pPr>
        <w:tabs>
          <w:tab w:val="num" w:pos="0"/>
        </w:tabs>
        <w:ind w:left="6179" w:hanging="260"/>
      </w:pPr>
      <w:rPr>
        <w:rFonts w:ascii="Symbol" w:hAnsi="Symbol"/>
      </w:rPr>
    </w:lvl>
    <w:lvl w:ilvl="6">
      <w:start w:val="1"/>
      <w:numFmt w:val="bullet"/>
      <w:lvlText w:val=""/>
      <w:lvlJc w:val="left"/>
      <w:pPr>
        <w:tabs>
          <w:tab w:val="num" w:pos="0"/>
        </w:tabs>
        <w:ind w:left="7324" w:hanging="260"/>
      </w:pPr>
      <w:rPr>
        <w:rFonts w:ascii="Symbol" w:hAnsi="Symbol"/>
      </w:rPr>
    </w:lvl>
    <w:lvl w:ilvl="7">
      <w:start w:val="1"/>
      <w:numFmt w:val="bullet"/>
      <w:lvlText w:val=""/>
      <w:lvlJc w:val="left"/>
      <w:pPr>
        <w:tabs>
          <w:tab w:val="num" w:pos="0"/>
        </w:tabs>
        <w:ind w:left="8469" w:hanging="260"/>
      </w:pPr>
      <w:rPr>
        <w:rFonts w:ascii="Symbol" w:hAnsi="Symbol"/>
      </w:rPr>
    </w:lvl>
    <w:lvl w:ilvl="8">
      <w:start w:val="1"/>
      <w:numFmt w:val="bullet"/>
      <w:lvlText w:val=""/>
      <w:lvlJc w:val="left"/>
      <w:pPr>
        <w:tabs>
          <w:tab w:val="num" w:pos="0"/>
        </w:tabs>
        <w:ind w:left="9615" w:hanging="260"/>
      </w:pPr>
      <w:rPr>
        <w:rFonts w:ascii="Symbol" w:hAnsi="Symbol"/>
      </w:rPr>
    </w:lvl>
  </w:abstractNum>
  <w:abstractNum w:abstractNumId="2">
    <w:nsid w:val="058F7B76"/>
    <w:multiLevelType w:val="hybridMultilevel"/>
    <w:tmpl w:val="98266DFC"/>
    <w:lvl w:ilvl="0" w:tplc="6706C45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8D296F"/>
    <w:multiLevelType w:val="multilevel"/>
    <w:tmpl w:val="90A825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98726A2"/>
    <w:multiLevelType w:val="hybridMultilevel"/>
    <w:tmpl w:val="D16A4596"/>
    <w:lvl w:ilvl="0" w:tplc="4914103A">
      <w:start w:val="3"/>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C33D83"/>
    <w:multiLevelType w:val="hybridMultilevel"/>
    <w:tmpl w:val="365A7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A337A2"/>
    <w:multiLevelType w:val="hybridMultilevel"/>
    <w:tmpl w:val="23525CB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nsid w:val="1CDE1596"/>
    <w:multiLevelType w:val="hybridMultilevel"/>
    <w:tmpl w:val="9C781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451C8A"/>
    <w:multiLevelType w:val="hybridMultilevel"/>
    <w:tmpl w:val="02420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6E5A4D"/>
    <w:multiLevelType w:val="hybridMultilevel"/>
    <w:tmpl w:val="4D702E60"/>
    <w:lvl w:ilvl="0" w:tplc="AAD06528">
      <w:start w:val="1"/>
      <w:numFmt w:val="lowerRoman"/>
      <w:lvlText w:val="%1)"/>
      <w:lvlJc w:val="left"/>
      <w:pPr>
        <w:ind w:left="1571" w:hanging="72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nsid w:val="23454F32"/>
    <w:multiLevelType w:val="hybridMultilevel"/>
    <w:tmpl w:val="C77C75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2B05058"/>
    <w:multiLevelType w:val="hybridMultilevel"/>
    <w:tmpl w:val="84C26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62C767F"/>
    <w:multiLevelType w:val="multilevel"/>
    <w:tmpl w:val="C0145842"/>
    <w:lvl w:ilvl="0">
      <w:start w:val="1"/>
      <w:numFmt w:val="decimal"/>
      <w:pStyle w:val="Heading1"/>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93F77D5"/>
    <w:multiLevelType w:val="hybridMultilevel"/>
    <w:tmpl w:val="E230D534"/>
    <w:lvl w:ilvl="0" w:tplc="0C09000F">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E5C0657"/>
    <w:multiLevelType w:val="hybridMultilevel"/>
    <w:tmpl w:val="2C58A2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F5B55DB"/>
    <w:multiLevelType w:val="hybridMultilevel"/>
    <w:tmpl w:val="3FE821A2"/>
    <w:lvl w:ilvl="0" w:tplc="DD5E20D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66C64EE"/>
    <w:multiLevelType w:val="hybridMultilevel"/>
    <w:tmpl w:val="2D60322C"/>
    <w:lvl w:ilvl="0" w:tplc="70585E40">
      <w:start w:val="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A22137"/>
    <w:multiLevelType w:val="hybridMultilevel"/>
    <w:tmpl w:val="09183A54"/>
    <w:lvl w:ilvl="0" w:tplc="2B06E864">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5FF4E10"/>
    <w:multiLevelType w:val="hybridMultilevel"/>
    <w:tmpl w:val="40FC5E8E"/>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9">
    <w:nsid w:val="574A09B7"/>
    <w:multiLevelType w:val="hybridMultilevel"/>
    <w:tmpl w:val="C958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5853D0"/>
    <w:multiLevelType w:val="hybridMultilevel"/>
    <w:tmpl w:val="4454ADCA"/>
    <w:lvl w:ilvl="0" w:tplc="AAD06528">
      <w:start w:val="1"/>
      <w:numFmt w:val="lowerRoman"/>
      <w:lvlText w:val="%1)"/>
      <w:lvlJc w:val="left"/>
      <w:pPr>
        <w:ind w:left="1571" w:hanging="72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nsid w:val="63126EEE"/>
    <w:multiLevelType w:val="hybridMultilevel"/>
    <w:tmpl w:val="F0A0E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7E171E"/>
    <w:multiLevelType w:val="hybridMultilevel"/>
    <w:tmpl w:val="4454ADCA"/>
    <w:lvl w:ilvl="0" w:tplc="AAD06528">
      <w:start w:val="1"/>
      <w:numFmt w:val="lowerRoman"/>
      <w:lvlText w:val="%1)"/>
      <w:lvlJc w:val="left"/>
      <w:pPr>
        <w:ind w:left="1571" w:hanging="72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nsid w:val="67C3719F"/>
    <w:multiLevelType w:val="hybridMultilevel"/>
    <w:tmpl w:val="8056D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9151745"/>
    <w:multiLevelType w:val="multilevel"/>
    <w:tmpl w:val="E31A02C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93025A3"/>
    <w:multiLevelType w:val="hybridMultilevel"/>
    <w:tmpl w:val="84C26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A8D7E57"/>
    <w:multiLevelType w:val="hybridMultilevel"/>
    <w:tmpl w:val="C20E0396"/>
    <w:lvl w:ilvl="0" w:tplc="505654B2">
      <w:start w:val="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1BE5E56"/>
    <w:multiLevelType w:val="hybridMultilevel"/>
    <w:tmpl w:val="84C26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33D3213"/>
    <w:multiLevelType w:val="hybridMultilevel"/>
    <w:tmpl w:val="41608D1A"/>
    <w:lvl w:ilvl="0" w:tplc="B910346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795E4F37"/>
    <w:multiLevelType w:val="hybridMultilevel"/>
    <w:tmpl w:val="4454ADCA"/>
    <w:lvl w:ilvl="0" w:tplc="AAD06528">
      <w:start w:val="1"/>
      <w:numFmt w:val="lowerRoman"/>
      <w:lvlText w:val="%1)"/>
      <w:lvlJc w:val="left"/>
      <w:pPr>
        <w:ind w:left="1571" w:hanging="72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nsid w:val="7D3F2E1B"/>
    <w:multiLevelType w:val="hybridMultilevel"/>
    <w:tmpl w:val="84C26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DA901CB"/>
    <w:multiLevelType w:val="hybridMultilevel"/>
    <w:tmpl w:val="D674DD88"/>
    <w:lvl w:ilvl="0" w:tplc="4ABC688A">
      <w:start w:val="1"/>
      <w:numFmt w:val="bullet"/>
      <w:lvlText w:val=""/>
      <w:lvlJc w:val="left"/>
      <w:pPr>
        <w:tabs>
          <w:tab w:val="num" w:pos="340"/>
        </w:tabs>
        <w:ind w:left="340" w:hanging="340"/>
      </w:pPr>
      <w:rPr>
        <w:rFonts w:ascii="Wingdings" w:hAnsi="Wingdings"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2">
    <w:nsid w:val="7F744DE7"/>
    <w:multiLevelType w:val="hybridMultilevel"/>
    <w:tmpl w:val="DA70B8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27"/>
  </w:num>
  <w:num w:numId="5">
    <w:abstractNumId w:val="17"/>
  </w:num>
  <w:num w:numId="6">
    <w:abstractNumId w:val="28"/>
  </w:num>
  <w:num w:numId="7">
    <w:abstractNumId w:val="25"/>
  </w:num>
  <w:num w:numId="8">
    <w:abstractNumId w:val="30"/>
  </w:num>
  <w:num w:numId="9">
    <w:abstractNumId w:val="6"/>
  </w:num>
  <w:num w:numId="10">
    <w:abstractNumId w:val="19"/>
  </w:num>
  <w:num w:numId="11">
    <w:abstractNumId w:val="5"/>
  </w:num>
  <w:num w:numId="12">
    <w:abstractNumId w:val="7"/>
  </w:num>
  <w:num w:numId="13">
    <w:abstractNumId w:val="32"/>
  </w:num>
  <w:num w:numId="14">
    <w:abstractNumId w:val="4"/>
  </w:num>
  <w:num w:numId="15">
    <w:abstractNumId w:val="14"/>
  </w:num>
  <w:num w:numId="16">
    <w:abstractNumId w:val="1"/>
  </w:num>
  <w:num w:numId="17">
    <w:abstractNumId w:val="0"/>
  </w:num>
  <w:num w:numId="18">
    <w:abstractNumId w:val="31"/>
  </w:num>
  <w:num w:numId="19">
    <w:abstractNumId w:val="12"/>
    <w:lvlOverride w:ilvl="0">
      <w:startOverride w:val="2"/>
    </w:lvlOverride>
    <w:lvlOverride w:ilvl="1">
      <w:startOverride w:val="4"/>
    </w:lvlOverride>
  </w:num>
  <w:num w:numId="20">
    <w:abstractNumId w:val="16"/>
  </w:num>
  <w:num w:numId="21">
    <w:abstractNumId w:val="18"/>
  </w:num>
  <w:num w:numId="22">
    <w:abstractNumId w:val="3"/>
  </w:num>
  <w:num w:numId="23">
    <w:abstractNumId w:val="21"/>
  </w:num>
  <w:num w:numId="24">
    <w:abstractNumId w:val="26"/>
  </w:num>
  <w:num w:numId="25">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3"/>
  </w:num>
  <w:num w:numId="28">
    <w:abstractNumId w:val="23"/>
  </w:num>
  <w:num w:numId="29">
    <w:abstractNumId w:val="12"/>
    <w:lvlOverride w:ilvl="0">
      <w:startOverride w:val="2"/>
    </w:lvlOverride>
    <w:lvlOverride w:ilvl="1">
      <w:startOverride w:val="8"/>
    </w:lvlOverride>
  </w:num>
  <w:num w:numId="30">
    <w:abstractNumId w:val="8"/>
  </w:num>
  <w:num w:numId="31">
    <w:abstractNumId w:val="12"/>
    <w:lvlOverride w:ilvl="0">
      <w:startOverride w:val="3"/>
    </w:lvlOverride>
    <w:lvlOverride w:ilvl="1">
      <w:startOverride w:val="1"/>
    </w:lvlOverride>
    <w:lvlOverride w:ilvl="2">
      <w:startOverride w:val="13"/>
    </w:lvlOverride>
  </w:num>
  <w:num w:numId="32">
    <w:abstractNumId w:val="2"/>
  </w:num>
  <w:num w:numId="33">
    <w:abstractNumId w:val="12"/>
    <w:lvlOverride w:ilvl="0">
      <w:startOverride w:val="3"/>
    </w:lvlOverride>
    <w:lvlOverride w:ilvl="1">
      <w:startOverride w:val="1"/>
    </w:lvlOverride>
    <w:lvlOverride w:ilvl="2">
      <w:startOverride w:val="13"/>
    </w:lvlOverride>
  </w:num>
  <w:num w:numId="34">
    <w:abstractNumId w:val="22"/>
  </w:num>
  <w:num w:numId="35">
    <w:abstractNumId w:val="20"/>
  </w:num>
  <w:num w:numId="36">
    <w:abstractNumId w:val="9"/>
  </w:num>
  <w:num w:numId="37">
    <w:abstractNumId w:val="29"/>
  </w:num>
  <w:num w:numId="38">
    <w:abstractNumId w:val="12"/>
    <w:lvlOverride w:ilvl="0">
      <w:startOverride w:val="4"/>
    </w:lvlOverride>
    <w:lvlOverride w:ilvl="1">
      <w:startOverride w:val="12"/>
    </w:lvlOverride>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9F"/>
    <w:rsid w:val="00001C9C"/>
    <w:rsid w:val="00003D2A"/>
    <w:rsid w:val="00004DE2"/>
    <w:rsid w:val="00006FA0"/>
    <w:rsid w:val="00007B29"/>
    <w:rsid w:val="0001000D"/>
    <w:rsid w:val="0001660C"/>
    <w:rsid w:val="00016778"/>
    <w:rsid w:val="000172E3"/>
    <w:rsid w:val="00021622"/>
    <w:rsid w:val="000221A9"/>
    <w:rsid w:val="000314D5"/>
    <w:rsid w:val="00031B67"/>
    <w:rsid w:val="00033656"/>
    <w:rsid w:val="00034A13"/>
    <w:rsid w:val="00042928"/>
    <w:rsid w:val="00042B65"/>
    <w:rsid w:val="000479A5"/>
    <w:rsid w:val="00052351"/>
    <w:rsid w:val="0007183E"/>
    <w:rsid w:val="00072711"/>
    <w:rsid w:val="0007374D"/>
    <w:rsid w:val="00074AF4"/>
    <w:rsid w:val="00075D58"/>
    <w:rsid w:val="00077064"/>
    <w:rsid w:val="0008247B"/>
    <w:rsid w:val="0008307F"/>
    <w:rsid w:val="00085049"/>
    <w:rsid w:val="00086427"/>
    <w:rsid w:val="000874A0"/>
    <w:rsid w:val="000973E7"/>
    <w:rsid w:val="000A08D4"/>
    <w:rsid w:val="000A1B68"/>
    <w:rsid w:val="000A6C4D"/>
    <w:rsid w:val="000B18A2"/>
    <w:rsid w:val="000C20EF"/>
    <w:rsid w:val="000C4B73"/>
    <w:rsid w:val="000C6CC8"/>
    <w:rsid w:val="000C6D8A"/>
    <w:rsid w:val="000D02F9"/>
    <w:rsid w:val="000D0DC6"/>
    <w:rsid w:val="000D1904"/>
    <w:rsid w:val="000D212B"/>
    <w:rsid w:val="000D2F29"/>
    <w:rsid w:val="000D432E"/>
    <w:rsid w:val="000E33D0"/>
    <w:rsid w:val="000E3ECE"/>
    <w:rsid w:val="000F709C"/>
    <w:rsid w:val="00101687"/>
    <w:rsid w:val="00103427"/>
    <w:rsid w:val="00103BCD"/>
    <w:rsid w:val="00106D47"/>
    <w:rsid w:val="00113CAF"/>
    <w:rsid w:val="00114425"/>
    <w:rsid w:val="00114D6E"/>
    <w:rsid w:val="00120629"/>
    <w:rsid w:val="00126525"/>
    <w:rsid w:val="00130E83"/>
    <w:rsid w:val="00132D43"/>
    <w:rsid w:val="00134DAC"/>
    <w:rsid w:val="00140B59"/>
    <w:rsid w:val="00141B1A"/>
    <w:rsid w:val="0014650E"/>
    <w:rsid w:val="001471C5"/>
    <w:rsid w:val="0014777A"/>
    <w:rsid w:val="00161019"/>
    <w:rsid w:val="001618B1"/>
    <w:rsid w:val="00172F3D"/>
    <w:rsid w:val="00172FAE"/>
    <w:rsid w:val="0017386E"/>
    <w:rsid w:val="001776A5"/>
    <w:rsid w:val="00184B28"/>
    <w:rsid w:val="001961D0"/>
    <w:rsid w:val="001A0A78"/>
    <w:rsid w:val="001B1328"/>
    <w:rsid w:val="001B3D2B"/>
    <w:rsid w:val="001C06A9"/>
    <w:rsid w:val="001E59E7"/>
    <w:rsid w:val="001E7B6B"/>
    <w:rsid w:val="001F12ED"/>
    <w:rsid w:val="001F1836"/>
    <w:rsid w:val="001F3E46"/>
    <w:rsid w:val="001F69B0"/>
    <w:rsid w:val="00200AB1"/>
    <w:rsid w:val="0020430A"/>
    <w:rsid w:val="00204529"/>
    <w:rsid w:val="0020615A"/>
    <w:rsid w:val="00211DFB"/>
    <w:rsid w:val="00226846"/>
    <w:rsid w:val="002351FB"/>
    <w:rsid w:val="00236EBA"/>
    <w:rsid w:val="00247702"/>
    <w:rsid w:val="00253558"/>
    <w:rsid w:val="002558D2"/>
    <w:rsid w:val="00261C10"/>
    <w:rsid w:val="00262225"/>
    <w:rsid w:val="0027287E"/>
    <w:rsid w:val="002745AB"/>
    <w:rsid w:val="00274BF8"/>
    <w:rsid w:val="00291C5D"/>
    <w:rsid w:val="00295280"/>
    <w:rsid w:val="00296047"/>
    <w:rsid w:val="002970BC"/>
    <w:rsid w:val="002A5A36"/>
    <w:rsid w:val="002A5C23"/>
    <w:rsid w:val="002A63E9"/>
    <w:rsid w:val="002C7383"/>
    <w:rsid w:val="002D02D9"/>
    <w:rsid w:val="002D1364"/>
    <w:rsid w:val="002D2D68"/>
    <w:rsid w:val="002D2E2E"/>
    <w:rsid w:val="002D3616"/>
    <w:rsid w:val="002D6D7D"/>
    <w:rsid w:val="002F229A"/>
    <w:rsid w:val="002F2AA4"/>
    <w:rsid w:val="002F4497"/>
    <w:rsid w:val="002F724C"/>
    <w:rsid w:val="00302C47"/>
    <w:rsid w:val="0031358E"/>
    <w:rsid w:val="00322E18"/>
    <w:rsid w:val="00324269"/>
    <w:rsid w:val="003323C4"/>
    <w:rsid w:val="00336B98"/>
    <w:rsid w:val="00340B70"/>
    <w:rsid w:val="00341A16"/>
    <w:rsid w:val="00350A0F"/>
    <w:rsid w:val="003556CA"/>
    <w:rsid w:val="00357956"/>
    <w:rsid w:val="0036535D"/>
    <w:rsid w:val="0036765E"/>
    <w:rsid w:val="00367817"/>
    <w:rsid w:val="00370155"/>
    <w:rsid w:val="0038266E"/>
    <w:rsid w:val="003828F2"/>
    <w:rsid w:val="00387F43"/>
    <w:rsid w:val="00393C0C"/>
    <w:rsid w:val="00394836"/>
    <w:rsid w:val="003A52C6"/>
    <w:rsid w:val="003A659D"/>
    <w:rsid w:val="003B53CD"/>
    <w:rsid w:val="003B544D"/>
    <w:rsid w:val="003B6ED0"/>
    <w:rsid w:val="003C1679"/>
    <w:rsid w:val="003D0B24"/>
    <w:rsid w:val="003D0F8B"/>
    <w:rsid w:val="003D37F1"/>
    <w:rsid w:val="003D6EA4"/>
    <w:rsid w:val="003D7FC1"/>
    <w:rsid w:val="003E1B04"/>
    <w:rsid w:val="003E3B99"/>
    <w:rsid w:val="003E4DFB"/>
    <w:rsid w:val="003E6D10"/>
    <w:rsid w:val="004007B0"/>
    <w:rsid w:val="00405F37"/>
    <w:rsid w:val="004105BE"/>
    <w:rsid w:val="004114F9"/>
    <w:rsid w:val="00413606"/>
    <w:rsid w:val="00415978"/>
    <w:rsid w:val="00421285"/>
    <w:rsid w:val="004235FE"/>
    <w:rsid w:val="0042523B"/>
    <w:rsid w:val="00426153"/>
    <w:rsid w:val="004333C8"/>
    <w:rsid w:val="0043577A"/>
    <w:rsid w:val="00440153"/>
    <w:rsid w:val="00442943"/>
    <w:rsid w:val="00446178"/>
    <w:rsid w:val="004461D5"/>
    <w:rsid w:val="004463F3"/>
    <w:rsid w:val="00452B76"/>
    <w:rsid w:val="004578F3"/>
    <w:rsid w:val="0048585C"/>
    <w:rsid w:val="00485DDA"/>
    <w:rsid w:val="004868F9"/>
    <w:rsid w:val="004919E6"/>
    <w:rsid w:val="0049545B"/>
    <w:rsid w:val="00496D0E"/>
    <w:rsid w:val="00497228"/>
    <w:rsid w:val="004A6363"/>
    <w:rsid w:val="004B30E3"/>
    <w:rsid w:val="004B3E39"/>
    <w:rsid w:val="004F0D6A"/>
    <w:rsid w:val="004F4E1D"/>
    <w:rsid w:val="005131F6"/>
    <w:rsid w:val="00514229"/>
    <w:rsid w:val="005209EA"/>
    <w:rsid w:val="00525C27"/>
    <w:rsid w:val="005327CC"/>
    <w:rsid w:val="00532F9B"/>
    <w:rsid w:val="0053582A"/>
    <w:rsid w:val="005434D4"/>
    <w:rsid w:val="005441D8"/>
    <w:rsid w:val="005466D3"/>
    <w:rsid w:val="005533BC"/>
    <w:rsid w:val="0055396E"/>
    <w:rsid w:val="00555CF3"/>
    <w:rsid w:val="00556932"/>
    <w:rsid w:val="005677EF"/>
    <w:rsid w:val="00573E02"/>
    <w:rsid w:val="00574648"/>
    <w:rsid w:val="00575C1D"/>
    <w:rsid w:val="00581439"/>
    <w:rsid w:val="005930BA"/>
    <w:rsid w:val="00595B28"/>
    <w:rsid w:val="005971F6"/>
    <w:rsid w:val="005975E4"/>
    <w:rsid w:val="005A2E44"/>
    <w:rsid w:val="005B48E5"/>
    <w:rsid w:val="005B52EE"/>
    <w:rsid w:val="005D20AB"/>
    <w:rsid w:val="005D4B0E"/>
    <w:rsid w:val="005F3697"/>
    <w:rsid w:val="005F42CF"/>
    <w:rsid w:val="005F6E2B"/>
    <w:rsid w:val="005F7079"/>
    <w:rsid w:val="00600352"/>
    <w:rsid w:val="0060737C"/>
    <w:rsid w:val="0061133B"/>
    <w:rsid w:val="00614D93"/>
    <w:rsid w:val="00616C09"/>
    <w:rsid w:val="00616EF8"/>
    <w:rsid w:val="00623241"/>
    <w:rsid w:val="006245C4"/>
    <w:rsid w:val="006245EE"/>
    <w:rsid w:val="006249DA"/>
    <w:rsid w:val="0062618D"/>
    <w:rsid w:val="00626293"/>
    <w:rsid w:val="006352A0"/>
    <w:rsid w:val="00636D0B"/>
    <w:rsid w:val="00642B31"/>
    <w:rsid w:val="00645807"/>
    <w:rsid w:val="00651F57"/>
    <w:rsid w:val="006522A5"/>
    <w:rsid w:val="00654372"/>
    <w:rsid w:val="0065481E"/>
    <w:rsid w:val="0065486C"/>
    <w:rsid w:val="006549E7"/>
    <w:rsid w:val="006555CE"/>
    <w:rsid w:val="00657663"/>
    <w:rsid w:val="0066138D"/>
    <w:rsid w:val="0066573B"/>
    <w:rsid w:val="0067181A"/>
    <w:rsid w:val="00681B59"/>
    <w:rsid w:val="00694A2B"/>
    <w:rsid w:val="006A0E12"/>
    <w:rsid w:val="006B2405"/>
    <w:rsid w:val="006B45FF"/>
    <w:rsid w:val="006B5958"/>
    <w:rsid w:val="006B7E9A"/>
    <w:rsid w:val="006B7F90"/>
    <w:rsid w:val="006C1D09"/>
    <w:rsid w:val="006C2064"/>
    <w:rsid w:val="006C3C4C"/>
    <w:rsid w:val="006E2EAB"/>
    <w:rsid w:val="006E4424"/>
    <w:rsid w:val="006F66E8"/>
    <w:rsid w:val="0070075C"/>
    <w:rsid w:val="007040FC"/>
    <w:rsid w:val="00710493"/>
    <w:rsid w:val="0071173F"/>
    <w:rsid w:val="00711F55"/>
    <w:rsid w:val="00712237"/>
    <w:rsid w:val="00714A58"/>
    <w:rsid w:val="00716CDD"/>
    <w:rsid w:val="007223A8"/>
    <w:rsid w:val="00722ADE"/>
    <w:rsid w:val="0072456F"/>
    <w:rsid w:val="00732DE3"/>
    <w:rsid w:val="00733078"/>
    <w:rsid w:val="007443AC"/>
    <w:rsid w:val="00744786"/>
    <w:rsid w:val="00745766"/>
    <w:rsid w:val="00746965"/>
    <w:rsid w:val="00747510"/>
    <w:rsid w:val="0074771B"/>
    <w:rsid w:val="007479ED"/>
    <w:rsid w:val="00752A63"/>
    <w:rsid w:val="00755367"/>
    <w:rsid w:val="00755E61"/>
    <w:rsid w:val="007703C1"/>
    <w:rsid w:val="0077432F"/>
    <w:rsid w:val="00777F15"/>
    <w:rsid w:val="00781C6F"/>
    <w:rsid w:val="00782677"/>
    <w:rsid w:val="00784E25"/>
    <w:rsid w:val="00785933"/>
    <w:rsid w:val="0078694D"/>
    <w:rsid w:val="00791F3A"/>
    <w:rsid w:val="0079699A"/>
    <w:rsid w:val="007A0B93"/>
    <w:rsid w:val="007A417A"/>
    <w:rsid w:val="007A518D"/>
    <w:rsid w:val="007A58A2"/>
    <w:rsid w:val="007A6092"/>
    <w:rsid w:val="007A68A8"/>
    <w:rsid w:val="007B517C"/>
    <w:rsid w:val="007B6049"/>
    <w:rsid w:val="007C0964"/>
    <w:rsid w:val="007C2B0B"/>
    <w:rsid w:val="007C302D"/>
    <w:rsid w:val="007C3EC1"/>
    <w:rsid w:val="007C4355"/>
    <w:rsid w:val="007D1C8F"/>
    <w:rsid w:val="007E1A5F"/>
    <w:rsid w:val="007E2F3E"/>
    <w:rsid w:val="007F0C27"/>
    <w:rsid w:val="007F42EE"/>
    <w:rsid w:val="00801162"/>
    <w:rsid w:val="00811B2D"/>
    <w:rsid w:val="00813634"/>
    <w:rsid w:val="008156F0"/>
    <w:rsid w:val="00820868"/>
    <w:rsid w:val="0082124B"/>
    <w:rsid w:val="00830CB9"/>
    <w:rsid w:val="008329D3"/>
    <w:rsid w:val="008339BD"/>
    <w:rsid w:val="00837EE4"/>
    <w:rsid w:val="0084069F"/>
    <w:rsid w:val="00850045"/>
    <w:rsid w:val="0086289D"/>
    <w:rsid w:val="00863BAF"/>
    <w:rsid w:val="00867654"/>
    <w:rsid w:val="008760A6"/>
    <w:rsid w:val="0088252F"/>
    <w:rsid w:val="0088686E"/>
    <w:rsid w:val="008905A8"/>
    <w:rsid w:val="00895A3A"/>
    <w:rsid w:val="00896A8C"/>
    <w:rsid w:val="008979E1"/>
    <w:rsid w:val="008A492C"/>
    <w:rsid w:val="008B201A"/>
    <w:rsid w:val="008B44AB"/>
    <w:rsid w:val="008B4A19"/>
    <w:rsid w:val="008B7755"/>
    <w:rsid w:val="008C1F6E"/>
    <w:rsid w:val="008C3601"/>
    <w:rsid w:val="008C3970"/>
    <w:rsid w:val="008C6838"/>
    <w:rsid w:val="008D09B4"/>
    <w:rsid w:val="008D28D4"/>
    <w:rsid w:val="008D70C7"/>
    <w:rsid w:val="008E039D"/>
    <w:rsid w:val="008E181C"/>
    <w:rsid w:val="008E3F92"/>
    <w:rsid w:val="008E74D9"/>
    <w:rsid w:val="008F463D"/>
    <w:rsid w:val="008F6000"/>
    <w:rsid w:val="008F708C"/>
    <w:rsid w:val="00903839"/>
    <w:rsid w:val="0090695B"/>
    <w:rsid w:val="009112C7"/>
    <w:rsid w:val="00912B28"/>
    <w:rsid w:val="00916ABF"/>
    <w:rsid w:val="00920A03"/>
    <w:rsid w:val="00920BCF"/>
    <w:rsid w:val="009251C7"/>
    <w:rsid w:val="00953578"/>
    <w:rsid w:val="00960B6C"/>
    <w:rsid w:val="009636CE"/>
    <w:rsid w:val="00972243"/>
    <w:rsid w:val="00973781"/>
    <w:rsid w:val="00976F11"/>
    <w:rsid w:val="00977D2C"/>
    <w:rsid w:val="0098308A"/>
    <w:rsid w:val="00985C98"/>
    <w:rsid w:val="009878D5"/>
    <w:rsid w:val="00987D92"/>
    <w:rsid w:val="00987F94"/>
    <w:rsid w:val="00992856"/>
    <w:rsid w:val="009A1DE3"/>
    <w:rsid w:val="009A1E96"/>
    <w:rsid w:val="009A4D5F"/>
    <w:rsid w:val="009A6CB1"/>
    <w:rsid w:val="009B62F8"/>
    <w:rsid w:val="009C38D2"/>
    <w:rsid w:val="009C434C"/>
    <w:rsid w:val="009C5022"/>
    <w:rsid w:val="009C63D3"/>
    <w:rsid w:val="009D07BA"/>
    <w:rsid w:val="009D39F9"/>
    <w:rsid w:val="009E5FD3"/>
    <w:rsid w:val="009F05FA"/>
    <w:rsid w:val="009F301F"/>
    <w:rsid w:val="00A1016F"/>
    <w:rsid w:val="00A1081E"/>
    <w:rsid w:val="00A13655"/>
    <w:rsid w:val="00A22123"/>
    <w:rsid w:val="00A248C1"/>
    <w:rsid w:val="00A2761A"/>
    <w:rsid w:val="00A31110"/>
    <w:rsid w:val="00A3120E"/>
    <w:rsid w:val="00A41682"/>
    <w:rsid w:val="00A4236A"/>
    <w:rsid w:val="00A44BB3"/>
    <w:rsid w:val="00A46F80"/>
    <w:rsid w:val="00A53F75"/>
    <w:rsid w:val="00A55BCE"/>
    <w:rsid w:val="00A6080E"/>
    <w:rsid w:val="00A613A2"/>
    <w:rsid w:val="00A65C92"/>
    <w:rsid w:val="00A70C81"/>
    <w:rsid w:val="00A7275A"/>
    <w:rsid w:val="00A80A43"/>
    <w:rsid w:val="00A84AE8"/>
    <w:rsid w:val="00A850E8"/>
    <w:rsid w:val="00A9645C"/>
    <w:rsid w:val="00A97D4F"/>
    <w:rsid w:val="00AB4729"/>
    <w:rsid w:val="00AB62E3"/>
    <w:rsid w:val="00AC3711"/>
    <w:rsid w:val="00AC718A"/>
    <w:rsid w:val="00AD553C"/>
    <w:rsid w:val="00AE0DD0"/>
    <w:rsid w:val="00AE443D"/>
    <w:rsid w:val="00AE5C29"/>
    <w:rsid w:val="00AE60C5"/>
    <w:rsid w:val="00AF6184"/>
    <w:rsid w:val="00AF685C"/>
    <w:rsid w:val="00B025A2"/>
    <w:rsid w:val="00B10CEA"/>
    <w:rsid w:val="00B1113B"/>
    <w:rsid w:val="00B1378E"/>
    <w:rsid w:val="00B23901"/>
    <w:rsid w:val="00B300F0"/>
    <w:rsid w:val="00B3607F"/>
    <w:rsid w:val="00B410F6"/>
    <w:rsid w:val="00B44958"/>
    <w:rsid w:val="00B51091"/>
    <w:rsid w:val="00B63647"/>
    <w:rsid w:val="00B73F0E"/>
    <w:rsid w:val="00B76B3A"/>
    <w:rsid w:val="00B772AC"/>
    <w:rsid w:val="00B823E3"/>
    <w:rsid w:val="00B875E6"/>
    <w:rsid w:val="00B90176"/>
    <w:rsid w:val="00B95686"/>
    <w:rsid w:val="00B95CA0"/>
    <w:rsid w:val="00B96649"/>
    <w:rsid w:val="00BA133C"/>
    <w:rsid w:val="00BA7CC8"/>
    <w:rsid w:val="00BB1BF5"/>
    <w:rsid w:val="00BB3B61"/>
    <w:rsid w:val="00BB46A9"/>
    <w:rsid w:val="00BB5574"/>
    <w:rsid w:val="00BB6E66"/>
    <w:rsid w:val="00BC13E3"/>
    <w:rsid w:val="00BD54B9"/>
    <w:rsid w:val="00BD681E"/>
    <w:rsid w:val="00BE3FBD"/>
    <w:rsid w:val="00BF1875"/>
    <w:rsid w:val="00BF2908"/>
    <w:rsid w:val="00BF3985"/>
    <w:rsid w:val="00BF4DD6"/>
    <w:rsid w:val="00BF5B13"/>
    <w:rsid w:val="00C03D19"/>
    <w:rsid w:val="00C064B8"/>
    <w:rsid w:val="00C0676B"/>
    <w:rsid w:val="00C07E4F"/>
    <w:rsid w:val="00C11203"/>
    <w:rsid w:val="00C114AD"/>
    <w:rsid w:val="00C209C4"/>
    <w:rsid w:val="00C20E06"/>
    <w:rsid w:val="00C219C8"/>
    <w:rsid w:val="00C2272B"/>
    <w:rsid w:val="00C255E6"/>
    <w:rsid w:val="00C31F7A"/>
    <w:rsid w:val="00C35DC2"/>
    <w:rsid w:val="00C40D0E"/>
    <w:rsid w:val="00C4399F"/>
    <w:rsid w:val="00C444A3"/>
    <w:rsid w:val="00C44CC2"/>
    <w:rsid w:val="00C44CFB"/>
    <w:rsid w:val="00C45400"/>
    <w:rsid w:val="00C50A9C"/>
    <w:rsid w:val="00C61206"/>
    <w:rsid w:val="00C61EF4"/>
    <w:rsid w:val="00C6495F"/>
    <w:rsid w:val="00C649D1"/>
    <w:rsid w:val="00C71107"/>
    <w:rsid w:val="00C72901"/>
    <w:rsid w:val="00C72C08"/>
    <w:rsid w:val="00C74A91"/>
    <w:rsid w:val="00C777FF"/>
    <w:rsid w:val="00C902E8"/>
    <w:rsid w:val="00C90797"/>
    <w:rsid w:val="00C90F0C"/>
    <w:rsid w:val="00CA21A2"/>
    <w:rsid w:val="00CA240C"/>
    <w:rsid w:val="00CA46AD"/>
    <w:rsid w:val="00CA5830"/>
    <w:rsid w:val="00CB509D"/>
    <w:rsid w:val="00CB70DD"/>
    <w:rsid w:val="00CC11B9"/>
    <w:rsid w:val="00CC7413"/>
    <w:rsid w:val="00CC75CC"/>
    <w:rsid w:val="00CD04D1"/>
    <w:rsid w:val="00CD206E"/>
    <w:rsid w:val="00CD5836"/>
    <w:rsid w:val="00CE4182"/>
    <w:rsid w:val="00CE7C64"/>
    <w:rsid w:val="00CF1A4D"/>
    <w:rsid w:val="00CF2781"/>
    <w:rsid w:val="00CF2B65"/>
    <w:rsid w:val="00CF3781"/>
    <w:rsid w:val="00CF53E9"/>
    <w:rsid w:val="00D00536"/>
    <w:rsid w:val="00D0502A"/>
    <w:rsid w:val="00D0533A"/>
    <w:rsid w:val="00D07459"/>
    <w:rsid w:val="00D13DDC"/>
    <w:rsid w:val="00D13EAD"/>
    <w:rsid w:val="00D175A4"/>
    <w:rsid w:val="00D22726"/>
    <w:rsid w:val="00D22947"/>
    <w:rsid w:val="00D23C6C"/>
    <w:rsid w:val="00D258EE"/>
    <w:rsid w:val="00D25936"/>
    <w:rsid w:val="00D25CA1"/>
    <w:rsid w:val="00D31C6E"/>
    <w:rsid w:val="00D32B3A"/>
    <w:rsid w:val="00D44735"/>
    <w:rsid w:val="00D46E7D"/>
    <w:rsid w:val="00D5068B"/>
    <w:rsid w:val="00D60A11"/>
    <w:rsid w:val="00D72A49"/>
    <w:rsid w:val="00D774D8"/>
    <w:rsid w:val="00D818B0"/>
    <w:rsid w:val="00D81BB1"/>
    <w:rsid w:val="00D82D59"/>
    <w:rsid w:val="00D8483B"/>
    <w:rsid w:val="00D937F1"/>
    <w:rsid w:val="00DA2CA5"/>
    <w:rsid w:val="00DB202E"/>
    <w:rsid w:val="00DB7834"/>
    <w:rsid w:val="00DC037C"/>
    <w:rsid w:val="00DC4C08"/>
    <w:rsid w:val="00DC4D68"/>
    <w:rsid w:val="00DC5B5C"/>
    <w:rsid w:val="00DD1C42"/>
    <w:rsid w:val="00DD48B8"/>
    <w:rsid w:val="00DF108A"/>
    <w:rsid w:val="00DF4CDD"/>
    <w:rsid w:val="00DF64B8"/>
    <w:rsid w:val="00E00845"/>
    <w:rsid w:val="00E04758"/>
    <w:rsid w:val="00E057A1"/>
    <w:rsid w:val="00E065DC"/>
    <w:rsid w:val="00E10508"/>
    <w:rsid w:val="00E109CF"/>
    <w:rsid w:val="00E11722"/>
    <w:rsid w:val="00E24313"/>
    <w:rsid w:val="00E3436E"/>
    <w:rsid w:val="00E35B06"/>
    <w:rsid w:val="00E3644C"/>
    <w:rsid w:val="00E51578"/>
    <w:rsid w:val="00E521CD"/>
    <w:rsid w:val="00E53934"/>
    <w:rsid w:val="00E54524"/>
    <w:rsid w:val="00E556AE"/>
    <w:rsid w:val="00E576FC"/>
    <w:rsid w:val="00E57B9F"/>
    <w:rsid w:val="00E60CA3"/>
    <w:rsid w:val="00E61EE9"/>
    <w:rsid w:val="00E67BDA"/>
    <w:rsid w:val="00E70094"/>
    <w:rsid w:val="00E733A9"/>
    <w:rsid w:val="00E73E8F"/>
    <w:rsid w:val="00E77C16"/>
    <w:rsid w:val="00E80FD9"/>
    <w:rsid w:val="00E84637"/>
    <w:rsid w:val="00E85B05"/>
    <w:rsid w:val="00E878CB"/>
    <w:rsid w:val="00E90268"/>
    <w:rsid w:val="00E92E8D"/>
    <w:rsid w:val="00E96F0B"/>
    <w:rsid w:val="00E97F19"/>
    <w:rsid w:val="00EA0D5F"/>
    <w:rsid w:val="00EA2BB2"/>
    <w:rsid w:val="00EB128F"/>
    <w:rsid w:val="00EB1AF2"/>
    <w:rsid w:val="00EB752D"/>
    <w:rsid w:val="00EC0E00"/>
    <w:rsid w:val="00EC0E2B"/>
    <w:rsid w:val="00EC524C"/>
    <w:rsid w:val="00EC7B3E"/>
    <w:rsid w:val="00ED6130"/>
    <w:rsid w:val="00EE24A5"/>
    <w:rsid w:val="00EE3951"/>
    <w:rsid w:val="00EE7A4B"/>
    <w:rsid w:val="00EF61FA"/>
    <w:rsid w:val="00F0042F"/>
    <w:rsid w:val="00F03F4D"/>
    <w:rsid w:val="00F11145"/>
    <w:rsid w:val="00F126EF"/>
    <w:rsid w:val="00F14502"/>
    <w:rsid w:val="00F14598"/>
    <w:rsid w:val="00F1516A"/>
    <w:rsid w:val="00F2290C"/>
    <w:rsid w:val="00F2645B"/>
    <w:rsid w:val="00F26952"/>
    <w:rsid w:val="00F27318"/>
    <w:rsid w:val="00F2756F"/>
    <w:rsid w:val="00F37C29"/>
    <w:rsid w:val="00F40AF1"/>
    <w:rsid w:val="00F446BD"/>
    <w:rsid w:val="00F50EA1"/>
    <w:rsid w:val="00F51595"/>
    <w:rsid w:val="00F5359F"/>
    <w:rsid w:val="00F61780"/>
    <w:rsid w:val="00F65818"/>
    <w:rsid w:val="00F6603F"/>
    <w:rsid w:val="00F71FD1"/>
    <w:rsid w:val="00F77B3C"/>
    <w:rsid w:val="00F81F71"/>
    <w:rsid w:val="00F822AD"/>
    <w:rsid w:val="00F94FA4"/>
    <w:rsid w:val="00FB26D8"/>
    <w:rsid w:val="00FB2B5A"/>
    <w:rsid w:val="00FB3E00"/>
    <w:rsid w:val="00FB551F"/>
    <w:rsid w:val="00FB6B3C"/>
    <w:rsid w:val="00FB71B1"/>
    <w:rsid w:val="00FC59CE"/>
    <w:rsid w:val="00FD1ACD"/>
    <w:rsid w:val="00FD2BF6"/>
    <w:rsid w:val="00FD2C91"/>
    <w:rsid w:val="00FD45F0"/>
    <w:rsid w:val="00FD517A"/>
    <w:rsid w:val="00FE3D17"/>
    <w:rsid w:val="00FE7A1E"/>
    <w:rsid w:val="00FF04E8"/>
    <w:rsid w:val="00FF43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4E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9F"/>
    <w:rPr>
      <w:rFonts w:ascii="Calibri" w:eastAsia="Calibri" w:hAnsi="Calibri" w:cs="Times New Roman"/>
    </w:rPr>
  </w:style>
  <w:style w:type="paragraph" w:styleId="Heading1">
    <w:name w:val="heading 1"/>
    <w:basedOn w:val="Normal"/>
    <w:next w:val="Normal"/>
    <w:link w:val="Heading1Char"/>
    <w:uiPriority w:val="9"/>
    <w:qFormat/>
    <w:rsid w:val="00F5359F"/>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76F1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31C6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59F"/>
    <w:rPr>
      <w:rFonts w:asciiTheme="majorHAnsi" w:eastAsiaTheme="majorEastAsia" w:hAnsiTheme="majorHAnsi" w:cstheme="majorBidi"/>
      <w:b/>
      <w:bCs/>
      <w:color w:val="2E74B5" w:themeColor="accent1" w:themeShade="BF"/>
      <w:sz w:val="28"/>
      <w:szCs w:val="28"/>
    </w:rPr>
  </w:style>
  <w:style w:type="character" w:styleId="Hyperlink">
    <w:name w:val="Hyperlink"/>
    <w:uiPriority w:val="99"/>
    <w:unhideWhenUsed/>
    <w:rsid w:val="00F5359F"/>
    <w:rPr>
      <w:color w:val="0000FF"/>
      <w:u w:val="single"/>
    </w:rPr>
  </w:style>
  <w:style w:type="table" w:styleId="TableGrid">
    <w:name w:val="Table Grid"/>
    <w:basedOn w:val="TableNormal"/>
    <w:uiPriority w:val="59"/>
    <w:rsid w:val="00F53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next w:val="Normal"/>
    <w:uiPriority w:val="1"/>
    <w:qFormat/>
    <w:rsid w:val="00F5359F"/>
    <w:pPr>
      <w:jc w:val="both"/>
    </w:pPr>
    <w:rPr>
      <w:rFonts w:ascii="Cambria" w:eastAsiaTheme="minorEastAsia" w:hAnsi="Cambria" w:cs="Calibri"/>
      <w:bCs/>
      <w:color w:val="404040" w:themeColor="text1" w:themeTint="BF"/>
      <w:sz w:val="20"/>
      <w:szCs w:val="20"/>
      <w:lang w:val="en-US" w:eastAsia="en-AU"/>
    </w:rPr>
  </w:style>
  <w:style w:type="paragraph" w:styleId="Footer">
    <w:name w:val="footer"/>
    <w:basedOn w:val="Normal"/>
    <w:link w:val="FooterChar"/>
    <w:uiPriority w:val="99"/>
    <w:unhideWhenUsed/>
    <w:rsid w:val="00F5359F"/>
    <w:pPr>
      <w:tabs>
        <w:tab w:val="center" w:pos="4320"/>
        <w:tab w:val="right" w:pos="8640"/>
      </w:tabs>
    </w:pPr>
  </w:style>
  <w:style w:type="character" w:customStyle="1" w:styleId="FooterChar">
    <w:name w:val="Footer Char"/>
    <w:basedOn w:val="DefaultParagraphFont"/>
    <w:link w:val="Footer"/>
    <w:uiPriority w:val="99"/>
    <w:rsid w:val="00F5359F"/>
    <w:rPr>
      <w:rFonts w:ascii="Calibri" w:eastAsia="Calibri" w:hAnsi="Calibri" w:cs="Times New Roman"/>
    </w:rPr>
  </w:style>
  <w:style w:type="character" w:styleId="PageNumber">
    <w:name w:val="page number"/>
    <w:basedOn w:val="DefaultParagraphFont"/>
    <w:uiPriority w:val="99"/>
    <w:semiHidden/>
    <w:unhideWhenUsed/>
    <w:rsid w:val="00F5359F"/>
  </w:style>
  <w:style w:type="paragraph" w:styleId="TOCHeading">
    <w:name w:val="TOC Heading"/>
    <w:basedOn w:val="Heading1"/>
    <w:next w:val="Normal"/>
    <w:uiPriority w:val="39"/>
    <w:unhideWhenUsed/>
    <w:qFormat/>
    <w:rsid w:val="00F5359F"/>
    <w:pPr>
      <w:numPr>
        <w:numId w:val="0"/>
      </w:numPr>
      <w:outlineLvl w:val="9"/>
    </w:pPr>
    <w:rPr>
      <w:lang w:val="en-US" w:eastAsia="ja-JP"/>
    </w:rPr>
  </w:style>
  <w:style w:type="paragraph" w:styleId="TOC1">
    <w:name w:val="toc 1"/>
    <w:basedOn w:val="Normal"/>
    <w:next w:val="Normal"/>
    <w:autoRedefine/>
    <w:uiPriority w:val="39"/>
    <w:unhideWhenUsed/>
    <w:rsid w:val="00F5359F"/>
    <w:pPr>
      <w:spacing w:after="100"/>
    </w:pPr>
  </w:style>
  <w:style w:type="paragraph" w:styleId="ListParagraph">
    <w:name w:val="List Paragraph"/>
    <w:basedOn w:val="Normal"/>
    <w:link w:val="ListParagraphChar"/>
    <w:uiPriority w:val="34"/>
    <w:qFormat/>
    <w:rsid w:val="00F5359F"/>
    <w:pPr>
      <w:ind w:left="720"/>
      <w:contextualSpacing/>
    </w:pPr>
  </w:style>
  <w:style w:type="paragraph" w:customStyle="1" w:styleId="BodyA">
    <w:name w:val="Body A"/>
    <w:rsid w:val="00F5359F"/>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character" w:customStyle="1" w:styleId="NoneA">
    <w:name w:val="None A"/>
    <w:rsid w:val="00F5359F"/>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Text Char Char Char Char Char Char"/>
    <w:basedOn w:val="Normal"/>
    <w:link w:val="FootnoteTextChar"/>
    <w:uiPriority w:val="99"/>
    <w:unhideWhenUsed/>
    <w:qFormat/>
    <w:rsid w:val="00F5359F"/>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F5359F"/>
    <w:rPr>
      <w:rFonts w:ascii="Calibri" w:eastAsia="Calibri" w:hAnsi="Calibri" w:cs="Times New Roman"/>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link w:val="4GCharCharChar"/>
    <w:unhideWhenUsed/>
    <w:rsid w:val="00F5359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F5359F"/>
    <w:pPr>
      <w:spacing w:line="240" w:lineRule="exact"/>
      <w:jc w:val="both"/>
    </w:pPr>
    <w:rPr>
      <w:rFonts w:asciiTheme="minorHAnsi" w:eastAsiaTheme="minorHAnsi" w:hAnsiTheme="minorHAnsi" w:cstheme="minorBidi"/>
      <w:vertAlign w:val="superscript"/>
    </w:rPr>
  </w:style>
  <w:style w:type="character" w:customStyle="1" w:styleId="Hyperlink2">
    <w:name w:val="Hyperlink.2"/>
    <w:basedOn w:val="NoneA"/>
    <w:rsid w:val="00F5359F"/>
    <w:rPr>
      <w:rFonts w:ascii="Arial" w:eastAsia="Arial" w:hAnsi="Arial" w:cs="Arial"/>
      <w:color w:val="0000FF"/>
      <w:sz w:val="16"/>
      <w:szCs w:val="16"/>
      <w:u w:val="single" w:color="0000FF"/>
    </w:rPr>
  </w:style>
  <w:style w:type="paragraph" w:customStyle="1" w:styleId="Body">
    <w:name w:val="Body"/>
    <w:rsid w:val="00F5359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AU"/>
    </w:rPr>
  </w:style>
  <w:style w:type="character" w:styleId="CommentReference">
    <w:name w:val="annotation reference"/>
    <w:basedOn w:val="DefaultParagraphFont"/>
    <w:uiPriority w:val="99"/>
    <w:semiHidden/>
    <w:unhideWhenUsed/>
    <w:rsid w:val="00F5359F"/>
    <w:rPr>
      <w:sz w:val="16"/>
      <w:szCs w:val="16"/>
    </w:rPr>
  </w:style>
  <w:style w:type="paragraph" w:styleId="CommentText">
    <w:name w:val="annotation text"/>
    <w:basedOn w:val="Normal"/>
    <w:link w:val="CommentTextChar"/>
    <w:uiPriority w:val="99"/>
    <w:semiHidden/>
    <w:unhideWhenUsed/>
    <w:rsid w:val="00F5359F"/>
    <w:rPr>
      <w:sz w:val="20"/>
      <w:szCs w:val="20"/>
    </w:rPr>
  </w:style>
  <w:style w:type="character" w:customStyle="1" w:styleId="CommentTextChar">
    <w:name w:val="Comment Text Char"/>
    <w:basedOn w:val="DefaultParagraphFont"/>
    <w:link w:val="CommentText"/>
    <w:uiPriority w:val="99"/>
    <w:semiHidden/>
    <w:rsid w:val="00F5359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53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59F"/>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F5359F"/>
    <w:rPr>
      <w:b/>
      <w:bCs/>
    </w:rPr>
  </w:style>
  <w:style w:type="character" w:customStyle="1" w:styleId="CommentSubjectChar">
    <w:name w:val="Comment Subject Char"/>
    <w:basedOn w:val="CommentTextChar"/>
    <w:link w:val="CommentSubject"/>
    <w:uiPriority w:val="99"/>
    <w:semiHidden/>
    <w:rsid w:val="00F5359F"/>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976F11"/>
    <w:rPr>
      <w:rFonts w:asciiTheme="majorHAnsi" w:eastAsiaTheme="majorEastAsia" w:hAnsiTheme="majorHAnsi" w:cstheme="majorBidi"/>
      <w:b/>
      <w:bCs/>
      <w:color w:val="5B9BD5" w:themeColor="accent1"/>
      <w:sz w:val="26"/>
      <w:szCs w:val="26"/>
    </w:rPr>
  </w:style>
  <w:style w:type="character" w:customStyle="1" w:styleId="ListParagraphChar">
    <w:name w:val="List Paragraph Char"/>
    <w:link w:val="ListParagraph"/>
    <w:uiPriority w:val="34"/>
    <w:rsid w:val="00976F11"/>
    <w:rPr>
      <w:rFonts w:ascii="Calibri" w:eastAsia="Calibri" w:hAnsi="Calibri" w:cs="Times New Roman"/>
    </w:rPr>
  </w:style>
  <w:style w:type="character" w:styleId="BookTitle">
    <w:name w:val="Book Title"/>
    <w:basedOn w:val="DefaultParagraphFont"/>
    <w:uiPriority w:val="33"/>
    <w:qFormat/>
    <w:rsid w:val="008E181C"/>
  </w:style>
  <w:style w:type="paragraph" w:styleId="TOC2">
    <w:name w:val="toc 2"/>
    <w:basedOn w:val="Normal"/>
    <w:next w:val="Normal"/>
    <w:autoRedefine/>
    <w:uiPriority w:val="39"/>
    <w:unhideWhenUsed/>
    <w:rsid w:val="002F2AA4"/>
    <w:pPr>
      <w:spacing w:after="100"/>
      <w:ind w:left="220"/>
    </w:pPr>
  </w:style>
  <w:style w:type="character" w:customStyle="1" w:styleId="Heading3Char">
    <w:name w:val="Heading 3 Char"/>
    <w:basedOn w:val="DefaultParagraphFont"/>
    <w:link w:val="Heading3"/>
    <w:uiPriority w:val="9"/>
    <w:semiHidden/>
    <w:rsid w:val="00D31C6E"/>
    <w:rPr>
      <w:rFonts w:asciiTheme="majorHAnsi" w:eastAsiaTheme="majorEastAsia" w:hAnsiTheme="majorHAnsi" w:cstheme="majorBidi"/>
      <w:b/>
      <w:bCs/>
      <w:color w:val="5B9BD5" w:themeColor="accent1"/>
    </w:rPr>
  </w:style>
  <w:style w:type="character" w:styleId="FollowedHyperlink">
    <w:name w:val="FollowedHyperlink"/>
    <w:basedOn w:val="DefaultParagraphFont"/>
    <w:uiPriority w:val="99"/>
    <w:semiHidden/>
    <w:unhideWhenUsed/>
    <w:rsid w:val="000166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4949">
      <w:bodyDiv w:val="1"/>
      <w:marLeft w:val="0"/>
      <w:marRight w:val="0"/>
      <w:marTop w:val="0"/>
      <w:marBottom w:val="0"/>
      <w:divBdr>
        <w:top w:val="none" w:sz="0" w:space="0" w:color="auto"/>
        <w:left w:val="none" w:sz="0" w:space="0" w:color="auto"/>
        <w:bottom w:val="none" w:sz="0" w:space="0" w:color="auto"/>
        <w:right w:val="none" w:sz="0" w:space="0" w:color="auto"/>
      </w:divBdr>
    </w:div>
    <w:div w:id="403380507">
      <w:bodyDiv w:val="1"/>
      <w:marLeft w:val="0"/>
      <w:marRight w:val="0"/>
      <w:marTop w:val="0"/>
      <w:marBottom w:val="0"/>
      <w:divBdr>
        <w:top w:val="none" w:sz="0" w:space="0" w:color="auto"/>
        <w:left w:val="none" w:sz="0" w:space="0" w:color="auto"/>
        <w:bottom w:val="none" w:sz="0" w:space="0" w:color="auto"/>
        <w:right w:val="none" w:sz="0" w:space="0" w:color="auto"/>
      </w:divBdr>
      <w:divsChild>
        <w:div w:id="1117523963">
          <w:marLeft w:val="0"/>
          <w:marRight w:val="0"/>
          <w:marTop w:val="0"/>
          <w:marBottom w:val="0"/>
          <w:divBdr>
            <w:top w:val="none" w:sz="0" w:space="0" w:color="auto"/>
            <w:left w:val="none" w:sz="0" w:space="0" w:color="auto"/>
            <w:bottom w:val="none" w:sz="0" w:space="0" w:color="auto"/>
            <w:right w:val="none" w:sz="0" w:space="0" w:color="auto"/>
          </w:divBdr>
          <w:divsChild>
            <w:div w:id="1307318369">
              <w:marLeft w:val="0"/>
              <w:marRight w:val="0"/>
              <w:marTop w:val="0"/>
              <w:marBottom w:val="0"/>
              <w:divBdr>
                <w:top w:val="none" w:sz="0" w:space="0" w:color="auto"/>
                <w:left w:val="none" w:sz="0" w:space="0" w:color="auto"/>
                <w:bottom w:val="none" w:sz="0" w:space="0" w:color="auto"/>
                <w:right w:val="none" w:sz="0" w:space="0" w:color="auto"/>
              </w:divBdr>
              <w:divsChild>
                <w:div w:id="363596656">
                  <w:marLeft w:val="0"/>
                  <w:marRight w:val="0"/>
                  <w:marTop w:val="0"/>
                  <w:marBottom w:val="0"/>
                  <w:divBdr>
                    <w:top w:val="none" w:sz="0" w:space="0" w:color="auto"/>
                    <w:left w:val="none" w:sz="0" w:space="0" w:color="auto"/>
                    <w:bottom w:val="none" w:sz="0" w:space="0" w:color="auto"/>
                    <w:right w:val="none" w:sz="0" w:space="0" w:color="auto"/>
                  </w:divBdr>
                  <w:divsChild>
                    <w:div w:id="14893905">
                      <w:marLeft w:val="0"/>
                      <w:marRight w:val="0"/>
                      <w:marTop w:val="0"/>
                      <w:marBottom w:val="0"/>
                      <w:divBdr>
                        <w:top w:val="none" w:sz="0" w:space="0" w:color="auto"/>
                        <w:left w:val="none" w:sz="0" w:space="0" w:color="auto"/>
                        <w:bottom w:val="none" w:sz="0" w:space="0" w:color="auto"/>
                        <w:right w:val="none" w:sz="0" w:space="0" w:color="auto"/>
                      </w:divBdr>
                      <w:divsChild>
                        <w:div w:id="270477748">
                          <w:marLeft w:val="0"/>
                          <w:marRight w:val="0"/>
                          <w:marTop w:val="0"/>
                          <w:marBottom w:val="0"/>
                          <w:divBdr>
                            <w:top w:val="none" w:sz="0" w:space="0" w:color="auto"/>
                            <w:left w:val="none" w:sz="0" w:space="0" w:color="auto"/>
                            <w:bottom w:val="none" w:sz="0" w:space="0" w:color="auto"/>
                            <w:right w:val="none" w:sz="0" w:space="0" w:color="auto"/>
                          </w:divBdr>
                          <w:divsChild>
                            <w:div w:id="162211529">
                              <w:marLeft w:val="0"/>
                              <w:marRight w:val="0"/>
                              <w:marTop w:val="0"/>
                              <w:marBottom w:val="0"/>
                              <w:divBdr>
                                <w:top w:val="none" w:sz="0" w:space="0" w:color="auto"/>
                                <w:left w:val="none" w:sz="0" w:space="0" w:color="auto"/>
                                <w:bottom w:val="none" w:sz="0" w:space="0" w:color="auto"/>
                                <w:right w:val="none" w:sz="0" w:space="0" w:color="auto"/>
                              </w:divBdr>
                              <w:divsChild>
                                <w:div w:id="307444770">
                                  <w:marLeft w:val="0"/>
                                  <w:marRight w:val="0"/>
                                  <w:marTop w:val="0"/>
                                  <w:marBottom w:val="0"/>
                                  <w:divBdr>
                                    <w:top w:val="none" w:sz="0" w:space="0" w:color="auto"/>
                                    <w:left w:val="none" w:sz="0" w:space="0" w:color="auto"/>
                                    <w:bottom w:val="none" w:sz="0" w:space="0" w:color="auto"/>
                                    <w:right w:val="none" w:sz="0" w:space="0" w:color="auto"/>
                                  </w:divBdr>
                                  <w:divsChild>
                                    <w:div w:id="6768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770301">
      <w:bodyDiv w:val="1"/>
      <w:marLeft w:val="0"/>
      <w:marRight w:val="0"/>
      <w:marTop w:val="0"/>
      <w:marBottom w:val="0"/>
      <w:divBdr>
        <w:top w:val="none" w:sz="0" w:space="0" w:color="auto"/>
        <w:left w:val="none" w:sz="0" w:space="0" w:color="auto"/>
        <w:bottom w:val="none" w:sz="0" w:space="0" w:color="auto"/>
        <w:right w:val="none" w:sz="0" w:space="0" w:color="auto"/>
      </w:divBdr>
    </w:div>
    <w:div w:id="643972481">
      <w:bodyDiv w:val="1"/>
      <w:marLeft w:val="0"/>
      <w:marRight w:val="0"/>
      <w:marTop w:val="0"/>
      <w:marBottom w:val="0"/>
      <w:divBdr>
        <w:top w:val="none" w:sz="0" w:space="0" w:color="auto"/>
        <w:left w:val="none" w:sz="0" w:space="0" w:color="auto"/>
        <w:bottom w:val="none" w:sz="0" w:space="0" w:color="auto"/>
        <w:right w:val="none" w:sz="0" w:space="0" w:color="auto"/>
      </w:divBdr>
    </w:div>
    <w:div w:id="822507372">
      <w:bodyDiv w:val="1"/>
      <w:marLeft w:val="0"/>
      <w:marRight w:val="0"/>
      <w:marTop w:val="0"/>
      <w:marBottom w:val="0"/>
      <w:divBdr>
        <w:top w:val="none" w:sz="0" w:space="0" w:color="auto"/>
        <w:left w:val="none" w:sz="0" w:space="0" w:color="auto"/>
        <w:bottom w:val="none" w:sz="0" w:space="0" w:color="auto"/>
        <w:right w:val="none" w:sz="0" w:space="0" w:color="auto"/>
      </w:divBdr>
    </w:div>
    <w:div w:id="884828132">
      <w:bodyDiv w:val="1"/>
      <w:marLeft w:val="0"/>
      <w:marRight w:val="0"/>
      <w:marTop w:val="0"/>
      <w:marBottom w:val="0"/>
      <w:divBdr>
        <w:top w:val="none" w:sz="0" w:space="0" w:color="auto"/>
        <w:left w:val="none" w:sz="0" w:space="0" w:color="auto"/>
        <w:bottom w:val="none" w:sz="0" w:space="0" w:color="auto"/>
        <w:right w:val="none" w:sz="0" w:space="0" w:color="auto"/>
      </w:divBdr>
      <w:divsChild>
        <w:div w:id="1905682174">
          <w:marLeft w:val="0"/>
          <w:marRight w:val="0"/>
          <w:marTop w:val="0"/>
          <w:marBottom w:val="0"/>
          <w:divBdr>
            <w:top w:val="none" w:sz="0" w:space="0" w:color="auto"/>
            <w:left w:val="none" w:sz="0" w:space="0" w:color="auto"/>
            <w:bottom w:val="none" w:sz="0" w:space="0" w:color="auto"/>
            <w:right w:val="none" w:sz="0" w:space="0" w:color="auto"/>
          </w:divBdr>
          <w:divsChild>
            <w:div w:id="702366004">
              <w:marLeft w:val="0"/>
              <w:marRight w:val="0"/>
              <w:marTop w:val="0"/>
              <w:marBottom w:val="0"/>
              <w:divBdr>
                <w:top w:val="none" w:sz="0" w:space="0" w:color="auto"/>
                <w:left w:val="none" w:sz="0" w:space="0" w:color="auto"/>
                <w:bottom w:val="none" w:sz="0" w:space="0" w:color="auto"/>
                <w:right w:val="none" w:sz="0" w:space="0" w:color="auto"/>
              </w:divBdr>
              <w:divsChild>
                <w:div w:id="1847355544">
                  <w:marLeft w:val="0"/>
                  <w:marRight w:val="0"/>
                  <w:marTop w:val="0"/>
                  <w:marBottom w:val="0"/>
                  <w:divBdr>
                    <w:top w:val="none" w:sz="0" w:space="0" w:color="auto"/>
                    <w:left w:val="none" w:sz="0" w:space="0" w:color="auto"/>
                    <w:bottom w:val="none" w:sz="0" w:space="0" w:color="auto"/>
                    <w:right w:val="none" w:sz="0" w:space="0" w:color="auto"/>
                  </w:divBdr>
                  <w:divsChild>
                    <w:div w:id="669523259">
                      <w:marLeft w:val="0"/>
                      <w:marRight w:val="0"/>
                      <w:marTop w:val="0"/>
                      <w:marBottom w:val="0"/>
                      <w:divBdr>
                        <w:top w:val="none" w:sz="0" w:space="0" w:color="auto"/>
                        <w:left w:val="none" w:sz="0" w:space="0" w:color="auto"/>
                        <w:bottom w:val="none" w:sz="0" w:space="0" w:color="auto"/>
                        <w:right w:val="none" w:sz="0" w:space="0" w:color="auto"/>
                      </w:divBdr>
                      <w:divsChild>
                        <w:div w:id="2057462268">
                          <w:marLeft w:val="0"/>
                          <w:marRight w:val="0"/>
                          <w:marTop w:val="0"/>
                          <w:marBottom w:val="0"/>
                          <w:divBdr>
                            <w:top w:val="none" w:sz="0" w:space="0" w:color="auto"/>
                            <w:left w:val="none" w:sz="0" w:space="0" w:color="auto"/>
                            <w:bottom w:val="none" w:sz="0" w:space="0" w:color="auto"/>
                            <w:right w:val="none" w:sz="0" w:space="0" w:color="auto"/>
                          </w:divBdr>
                          <w:divsChild>
                            <w:div w:id="719550886">
                              <w:marLeft w:val="0"/>
                              <w:marRight w:val="0"/>
                              <w:marTop w:val="0"/>
                              <w:marBottom w:val="0"/>
                              <w:divBdr>
                                <w:top w:val="none" w:sz="0" w:space="0" w:color="auto"/>
                                <w:left w:val="none" w:sz="0" w:space="0" w:color="auto"/>
                                <w:bottom w:val="none" w:sz="0" w:space="0" w:color="auto"/>
                                <w:right w:val="none" w:sz="0" w:space="0" w:color="auto"/>
                              </w:divBdr>
                              <w:divsChild>
                                <w:div w:id="484905736">
                                  <w:marLeft w:val="0"/>
                                  <w:marRight w:val="0"/>
                                  <w:marTop w:val="0"/>
                                  <w:marBottom w:val="0"/>
                                  <w:divBdr>
                                    <w:top w:val="none" w:sz="0" w:space="0" w:color="auto"/>
                                    <w:left w:val="none" w:sz="0" w:space="0" w:color="auto"/>
                                    <w:bottom w:val="none" w:sz="0" w:space="0" w:color="auto"/>
                                    <w:right w:val="none" w:sz="0" w:space="0" w:color="auto"/>
                                  </w:divBdr>
                                  <w:divsChild>
                                    <w:div w:id="1155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54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irector@dpoa.org.au"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thereses@pwd.org.au" TargetMode="External"/><Relationship Id="rId11" Type="http://schemas.openxmlformats.org/officeDocument/2006/relationships/hyperlink" Target="http://www.wwda.org.au" TargetMode="External"/><Relationship Id="rId12" Type="http://schemas.openxmlformats.org/officeDocument/2006/relationships/hyperlink" Target="http://fpdn.org.au/" TargetMode="External"/><Relationship Id="rId13" Type="http://schemas.openxmlformats.org/officeDocument/2006/relationships/hyperlink" Target="http://pwd.org.au" TargetMode="External"/><Relationship Id="rId14" Type="http://schemas.openxmlformats.org/officeDocument/2006/relationships/hyperlink" Target="http://neda.org.au/" TargetMode="External"/><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image" Target="media/image5.gif"/><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1" Type="http://schemas.openxmlformats.org/officeDocument/2006/relationships/hyperlink" Target="http://www.aph.gov.au/Parliamentary_Business/Committees/Senate/Community_Affairs/IndefiniteDetention45" TargetMode="External"/><Relationship Id="rId12" Type="http://schemas.openxmlformats.org/officeDocument/2006/relationships/hyperlink" Target="http://www.aph.gov.au/Parliamentary_Business/Committees/Senate/Community_Affairs/Violence_abuse_neglect/Report" TargetMode="External"/><Relationship Id="rId13" Type="http://schemas.openxmlformats.org/officeDocument/2006/relationships/hyperlink" Target="http://www.aph.gov.au/Parliamentary_Business/Committees/Senate/Community_Affairs/Violence_abuse_neglect/Government_Response" TargetMode="External"/><Relationship Id="rId14" Type="http://schemas.openxmlformats.org/officeDocument/2006/relationships/hyperlink" Target="http://janeprentice.dss.gov.au/media-releases/national-disability-and-carers-advisory-council-announced" TargetMode="External"/><Relationship Id="rId15" Type="http://schemas.openxmlformats.org/officeDocument/2006/relationships/hyperlink" Target="https://www.dss.gov.au/our-responsibilities/disability-and-carers/program-services/government-international/national-disability-strategy-initiatives" TargetMode="External"/><Relationship Id="rId16" Type="http://schemas.openxmlformats.org/officeDocument/2006/relationships/hyperlink" Target="http://www.bbc.co.uk/programmes/p02r6yqw" TargetMode="External"/><Relationship Id="rId17" Type="http://schemas.openxmlformats.org/officeDocument/2006/relationships/hyperlink" Target="http://www.channel4.com/info/press/news/channel-4-launches-360-diversity-charter" TargetMode="External"/><Relationship Id="rId18" Type="http://schemas.openxmlformats.org/officeDocument/2006/relationships/hyperlink" Target="http://www.aph.gov.au/Parliamentary_Business/Committees/Joint/National_Disability_Insurance_Scheme/JNDIS-44th/NDIS_accommodation/Report" TargetMode="External"/><Relationship Id="rId1" Type="http://schemas.openxmlformats.org/officeDocument/2006/relationships/hyperlink" Target="http://www.pwd.org.au/issues/crpd-civil-society-shadow-report-group.html" TargetMode="External"/><Relationship Id="rId2" Type="http://schemas.openxmlformats.org/officeDocument/2006/relationships/hyperlink" Target="https://www.dss.gov.au/disability-and-carers/programs-services/government-international/national-disability-strategy-second-implementation-plan" TargetMode="External"/><Relationship Id="rId3" Type="http://schemas.openxmlformats.org/officeDocument/2006/relationships/hyperlink" Target="http://www.peerconnect.org.au/" TargetMode="External"/><Relationship Id="rId4" Type="http://schemas.openxmlformats.org/officeDocument/2006/relationships/hyperlink" Target="https://www.dss.gov.au/disability-and-carers/programs-services/government-international/national-disability-strategy-second-implementation-plan" TargetMode="External"/><Relationship Id="rId5" Type="http://schemas.openxmlformats.org/officeDocument/2006/relationships/hyperlink" Target="http://www.ohchr.org/EN/HRBodies/CRPD/Pages/GC.aspx" TargetMode="External"/><Relationship Id="rId6" Type="http://schemas.openxmlformats.org/officeDocument/2006/relationships/hyperlink" Target="https://www.ag.gov.au/RightsAndProtections/HumanRights/Pages/default.aspx" TargetMode="External"/><Relationship Id="rId7" Type="http://schemas.openxmlformats.org/officeDocument/2006/relationships/hyperlink" Target="https://www.dss.gov.au/disability-and-carers/programs-services/government-international/disability-reform-council/communique-3-march-2017" TargetMode="External"/><Relationship Id="rId8" Type="http://schemas.openxmlformats.org/officeDocument/2006/relationships/hyperlink" Target="http://dpoa.org.au/submissions/2017-18-federal-budget-priorities/" TargetMode="External"/><Relationship Id="rId9" Type="http://schemas.openxmlformats.org/officeDocument/2006/relationships/hyperlink" Target="http://wwda.org.au/wp-content/uploads/2013/12/WWDA_Sub_NDS_Review2014.pdf" TargetMode="External"/><Relationship Id="rId10" Type="http://schemas.openxmlformats.org/officeDocument/2006/relationships/hyperlink" Target="http://www.pwd.org.au/documents/pubs/1404-PWDAFeedback-NDS2010-202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B1FE9-349C-8749-AA5E-3BBC7ED2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2641</TotalTime>
  <Pages>22</Pages>
  <Words>7071</Words>
  <Characters>40308</Characters>
  <Application>Microsoft Macintosh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Christopher Brophy</cp:lastModifiedBy>
  <cp:revision>150</cp:revision>
  <cp:lastPrinted>2017-05-07T08:32:00Z</cp:lastPrinted>
  <dcterms:created xsi:type="dcterms:W3CDTF">2017-04-29T01:20:00Z</dcterms:created>
  <dcterms:modified xsi:type="dcterms:W3CDTF">2017-05-07T23:03:00Z</dcterms:modified>
</cp:coreProperties>
</file>