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22A026" w14:textId="77777777" w:rsidR="0029479C" w:rsidRDefault="0029479C"/>
    <w:p w14:paraId="7F66A9EB" w14:textId="77777777" w:rsidR="000107BF" w:rsidRDefault="000107BF" w:rsidP="00A838B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libri" w:hAnsi="Calibri"/>
          <w:b/>
          <w:lang w:val="en-AU"/>
        </w:rPr>
      </w:pPr>
    </w:p>
    <w:p w14:paraId="06B411B3" w14:textId="54A3A994" w:rsidR="00A838B0" w:rsidRDefault="00A838B0" w:rsidP="00A838B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40" w:hanging="1440"/>
        <w:jc w:val="both"/>
        <w:rPr>
          <w:rFonts w:ascii="Calibri" w:hAnsi="Calibri"/>
          <w:color w:val="2E74B5" w:themeColor="accent1" w:themeShade="BF"/>
          <w:sz w:val="28"/>
          <w:szCs w:val="28"/>
          <w:lang w:val="en-AU"/>
        </w:rPr>
      </w:pPr>
      <w:r>
        <w:rPr>
          <w:rFonts w:ascii="Calibri" w:hAnsi="Calibri"/>
          <w:b/>
          <w:color w:val="2E74B5" w:themeColor="accent1" w:themeShade="BF"/>
          <w:sz w:val="28"/>
          <w:szCs w:val="28"/>
          <w:lang w:val="en-AU"/>
        </w:rPr>
        <w:t>ISSUE:</w:t>
      </w:r>
      <w:r>
        <w:rPr>
          <w:rFonts w:ascii="Calibri" w:hAnsi="Calibri"/>
          <w:b/>
          <w:color w:val="2E74B5" w:themeColor="accent1" w:themeShade="BF"/>
          <w:sz w:val="28"/>
          <w:szCs w:val="28"/>
          <w:lang w:val="en-AU"/>
        </w:rPr>
        <w:tab/>
      </w:r>
      <w:r w:rsidR="000107BF" w:rsidRPr="00A838B0">
        <w:rPr>
          <w:rFonts w:ascii="Calibri" w:hAnsi="Calibri"/>
          <w:b/>
          <w:color w:val="2E74B5" w:themeColor="accent1" w:themeShade="BF"/>
          <w:sz w:val="28"/>
          <w:szCs w:val="28"/>
          <w:lang w:val="en-AU"/>
        </w:rPr>
        <w:t>Indefinite detention of persons with disability within the criminal justice system</w:t>
      </w:r>
    </w:p>
    <w:p w14:paraId="36FE082D" w14:textId="77777777" w:rsidR="00A838B0" w:rsidRDefault="00A838B0" w:rsidP="00A838B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libri" w:hAnsi="Calibri"/>
          <w:color w:val="2E74B5" w:themeColor="accent1" w:themeShade="BF"/>
          <w:sz w:val="28"/>
          <w:szCs w:val="28"/>
          <w:lang w:val="en-AU"/>
        </w:rPr>
      </w:pPr>
    </w:p>
    <w:p w14:paraId="20918D97" w14:textId="4517A411" w:rsidR="000107BF" w:rsidRPr="00A838B0" w:rsidRDefault="000107BF" w:rsidP="00A838B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libri" w:hAnsi="Calibri"/>
          <w:color w:val="2E74B5" w:themeColor="accent1" w:themeShade="BF"/>
          <w:sz w:val="20"/>
          <w:szCs w:val="20"/>
          <w:lang w:val="en-AU"/>
        </w:rPr>
      </w:pPr>
      <w:r w:rsidRPr="00A838B0">
        <w:rPr>
          <w:rFonts w:ascii="Calibri" w:hAnsi="Calibri"/>
          <w:color w:val="2E74B5" w:themeColor="accent1" w:themeShade="BF"/>
          <w:sz w:val="20"/>
          <w:szCs w:val="20"/>
          <w:lang w:val="en-AU"/>
        </w:rPr>
        <w:t xml:space="preserve">(See Article 14 on page 11 of DPO Australia Submission to the CRPD) </w:t>
      </w:r>
    </w:p>
    <w:p w14:paraId="0AF19F05" w14:textId="77777777" w:rsidR="000107BF" w:rsidRDefault="000107BF" w:rsidP="00A838B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libri" w:hAnsi="Calibri"/>
          <w:b/>
          <w:lang w:val="en-AU"/>
        </w:rPr>
      </w:pPr>
    </w:p>
    <w:p w14:paraId="4A6D8584" w14:textId="77777777" w:rsidR="002B1892" w:rsidRPr="00E414A6" w:rsidRDefault="002B1892" w:rsidP="00A838B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libri" w:hAnsi="Calibri"/>
          <w:b/>
          <w:lang w:val="en-AU"/>
        </w:rPr>
      </w:pPr>
    </w:p>
    <w:p w14:paraId="726E2907" w14:textId="77777777" w:rsidR="000107BF" w:rsidRPr="00A838B0" w:rsidRDefault="000107BF" w:rsidP="00A838B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jc w:val="both"/>
        <w:rPr>
          <w:rFonts w:ascii="Calibri" w:hAnsi="Calibri"/>
          <w:b/>
          <w:color w:val="2E74B5" w:themeColor="accent1" w:themeShade="BF"/>
          <w:sz w:val="28"/>
          <w:szCs w:val="28"/>
          <w:lang w:val="en-AU"/>
        </w:rPr>
      </w:pPr>
      <w:r w:rsidRPr="00A838B0">
        <w:rPr>
          <w:rFonts w:ascii="Calibri" w:hAnsi="Calibri"/>
          <w:b/>
          <w:color w:val="2E74B5" w:themeColor="accent1" w:themeShade="BF"/>
          <w:sz w:val="28"/>
          <w:szCs w:val="28"/>
          <w:lang w:val="en-AU"/>
        </w:rPr>
        <w:t>Background</w:t>
      </w:r>
    </w:p>
    <w:p w14:paraId="0728E3D0" w14:textId="7A8BDAFA" w:rsidR="00A838B0" w:rsidRPr="00A838B0" w:rsidRDefault="000107BF" w:rsidP="00A50622">
      <w:pPr>
        <w:pStyle w:val="PFNumLevel1"/>
        <w:numPr>
          <w:ilvl w:val="0"/>
          <w:numId w:val="0"/>
        </w:numPr>
        <w:spacing w:before="0" w:after="0"/>
        <w:jc w:val="both"/>
        <w:rPr>
          <w:rFonts w:cs="Times New Roman"/>
          <w:szCs w:val="22"/>
          <w:lang w:val="en-AU"/>
        </w:rPr>
      </w:pPr>
      <w:r w:rsidRPr="00A838B0">
        <w:rPr>
          <w:szCs w:val="22"/>
          <w:u w:color="BC2504"/>
          <w:lang w:val="en-AU"/>
        </w:rPr>
        <w:t xml:space="preserve">All Australian jurisdictions have in place legislation that addresses a defendant within the criminal justice system and their ‘fitness’ to stand trial. </w:t>
      </w:r>
      <w:r w:rsidRPr="00A838B0">
        <w:rPr>
          <w:szCs w:val="22"/>
          <w:lang w:val="en-AU"/>
        </w:rPr>
        <w:t xml:space="preserve">These justice diversion provisions are applied when people with disability, particularly those with cognitive or psychosocial disability are deemed ‘unfit’ to stand trial. </w:t>
      </w:r>
      <w:r w:rsidRPr="00A838B0">
        <w:rPr>
          <w:szCs w:val="22"/>
          <w:u w:color="BC2504"/>
          <w:lang w:val="en-AU"/>
        </w:rPr>
        <w:t>An unfitness test may arise as an issue before or during the trial process.</w:t>
      </w:r>
      <w:r w:rsidR="00A838B0" w:rsidRPr="00A838B0">
        <w:rPr>
          <w:rStyle w:val="EndnoteReference"/>
          <w:szCs w:val="22"/>
          <w:u w:color="BC2504"/>
          <w:lang w:val="en-AU"/>
        </w:rPr>
        <w:endnoteReference w:id="1"/>
      </w:r>
      <w:r w:rsidR="00A838B0" w:rsidRPr="00A838B0">
        <w:rPr>
          <w:szCs w:val="22"/>
          <w:u w:color="BC2504"/>
          <w:lang w:val="en-AU"/>
        </w:rPr>
        <w:t xml:space="preserve">  </w:t>
      </w:r>
    </w:p>
    <w:p w14:paraId="46B85630" w14:textId="77777777" w:rsidR="00A838B0" w:rsidRPr="00A838B0" w:rsidRDefault="00A838B0" w:rsidP="00A50622">
      <w:pPr>
        <w:pStyle w:val="PFNumLevel1"/>
        <w:numPr>
          <w:ilvl w:val="0"/>
          <w:numId w:val="0"/>
        </w:numPr>
        <w:spacing w:before="0" w:after="0"/>
        <w:jc w:val="both"/>
        <w:rPr>
          <w:rFonts w:cs="Times New Roman"/>
          <w:szCs w:val="22"/>
          <w:lang w:val="en-AU"/>
        </w:rPr>
      </w:pPr>
    </w:p>
    <w:p w14:paraId="28CF4F0C" w14:textId="77777777" w:rsidR="00A838B0" w:rsidRPr="00A838B0" w:rsidRDefault="00A838B0" w:rsidP="00A50622">
      <w:pPr>
        <w:pStyle w:val="PFNumLevel1"/>
        <w:numPr>
          <w:ilvl w:val="0"/>
          <w:numId w:val="0"/>
        </w:numPr>
        <w:spacing w:before="0" w:after="0"/>
        <w:jc w:val="both"/>
        <w:rPr>
          <w:rFonts w:cs="Times New Roman"/>
          <w:szCs w:val="22"/>
          <w:lang w:val="en-AU"/>
        </w:rPr>
      </w:pPr>
      <w:r w:rsidRPr="00A838B0">
        <w:rPr>
          <w:bCs/>
          <w:szCs w:val="22"/>
          <w:lang w:val="en-AU"/>
        </w:rPr>
        <w:t xml:space="preserve">Justice diversion provisions have resulted in </w:t>
      </w:r>
      <w:r w:rsidRPr="00A838B0">
        <w:rPr>
          <w:szCs w:val="22"/>
          <w:lang w:val="en-AU"/>
        </w:rPr>
        <w:t>people with disability being detained indefinitely in prisons or psychiatric facilities without being convicted of a crime.  In numerous cases, people are being detained for a longer period than if they had been convicted.</w:t>
      </w:r>
      <w:r w:rsidRPr="00A838B0">
        <w:rPr>
          <w:rStyle w:val="EndnoteReference"/>
          <w:szCs w:val="22"/>
          <w:lang w:val="en-AU"/>
        </w:rPr>
        <w:endnoteReference w:id="2"/>
      </w:r>
      <w:r w:rsidRPr="00A838B0">
        <w:rPr>
          <w:szCs w:val="22"/>
          <w:lang w:val="en-AU"/>
        </w:rPr>
        <w:t xml:space="preserve">  This situation is exacerbated by a lack of community based housing, therapeutic and disability support options available for people with disability who are deemed ‘unfit’ to stand trial. </w:t>
      </w:r>
    </w:p>
    <w:p w14:paraId="34185082" w14:textId="77777777" w:rsidR="00A838B0" w:rsidRPr="00A838B0" w:rsidRDefault="00A838B0" w:rsidP="00A50622">
      <w:pPr>
        <w:pStyle w:val="PFNumLevel1"/>
        <w:numPr>
          <w:ilvl w:val="0"/>
          <w:numId w:val="0"/>
        </w:numPr>
        <w:spacing w:before="0" w:after="0"/>
        <w:jc w:val="both"/>
        <w:rPr>
          <w:rFonts w:cs="Times New Roman"/>
          <w:szCs w:val="22"/>
          <w:lang w:val="en-AU"/>
        </w:rPr>
      </w:pPr>
    </w:p>
    <w:p w14:paraId="23D55A34" w14:textId="15F54F55" w:rsidR="00A838B0" w:rsidRPr="00A838B0" w:rsidRDefault="00A838B0" w:rsidP="00A50622">
      <w:pPr>
        <w:spacing w:line="276" w:lineRule="auto"/>
        <w:jc w:val="both"/>
        <w:rPr>
          <w:rFonts w:ascii="Calibri" w:eastAsia="Times New Roman" w:hAnsi="Calibri"/>
          <w:sz w:val="22"/>
          <w:szCs w:val="22"/>
        </w:rPr>
      </w:pPr>
      <w:r w:rsidRPr="00A838B0">
        <w:rPr>
          <w:rFonts w:ascii="Calibri" w:eastAsia="Times New Roman" w:hAnsi="Calibri"/>
          <w:sz w:val="22"/>
          <w:szCs w:val="22"/>
          <w:lang w:val="en-AU"/>
        </w:rPr>
        <w:t>This practice of indefinite detention is disproportionately experienced by Aboriginal and Torres Strait Islander people with disability.</w:t>
      </w:r>
      <w:r w:rsidRPr="00A838B0">
        <w:rPr>
          <w:rStyle w:val="EndnoteReference"/>
          <w:rFonts w:ascii="Calibri" w:eastAsia="Times New Roman" w:hAnsi="Calibri"/>
          <w:sz w:val="22"/>
          <w:szCs w:val="22"/>
          <w:lang w:val="en-AU"/>
        </w:rPr>
        <w:endnoteReference w:id="3"/>
      </w:r>
      <w:r w:rsidRPr="00A838B0">
        <w:rPr>
          <w:rFonts w:ascii="Calibri" w:eastAsia="Times New Roman" w:hAnsi="Calibri"/>
          <w:sz w:val="22"/>
          <w:szCs w:val="22"/>
          <w:lang w:val="en-AU"/>
        </w:rPr>
        <w:t xml:space="preserve"> A lack of transparency in data makes it difficult to quantify the number of people indefinitely detained, however evidence provided to a Senate Inquiry on indefinite detention estimated, that there are at least 100 people detained across Australia without conviction under mental impairment legislation.</w:t>
      </w:r>
      <w:r w:rsidRPr="00A838B0">
        <w:rPr>
          <w:rFonts w:ascii="Calibri" w:eastAsia="Times New Roman" w:hAnsi="Calibri"/>
          <w:sz w:val="22"/>
          <w:szCs w:val="22"/>
          <w:vertAlign w:val="superscript"/>
          <w:lang w:val="en-AU"/>
        </w:rPr>
        <w:endnoteReference w:id="4"/>
      </w:r>
      <w:r w:rsidRPr="00A838B0">
        <w:rPr>
          <w:rFonts w:ascii="Calibri" w:eastAsia="Times New Roman" w:hAnsi="Calibri"/>
          <w:sz w:val="22"/>
          <w:szCs w:val="22"/>
          <w:lang w:val="en-AU"/>
        </w:rPr>
        <w:t xml:space="preserve"> This issue intersects with the high rates of incarceration of Aboriginal and Torres Strait Islander people, who whilst making up 2.5% of the Australian population, comprise at least 50</w:t>
      </w:r>
      <w:r w:rsidR="00951815">
        <w:rPr>
          <w:rFonts w:ascii="Calibri" w:eastAsia="Times New Roman" w:hAnsi="Calibri"/>
          <w:sz w:val="22"/>
          <w:szCs w:val="22"/>
          <w:lang w:val="en-AU"/>
        </w:rPr>
        <w:t>%</w:t>
      </w:r>
      <w:r w:rsidRPr="00A838B0">
        <w:rPr>
          <w:rFonts w:ascii="Calibri" w:eastAsia="Times New Roman" w:hAnsi="Calibri"/>
          <w:sz w:val="22"/>
          <w:szCs w:val="22"/>
          <w:lang w:val="en-AU"/>
        </w:rPr>
        <w:t xml:space="preserve"> or one-half of </w:t>
      </w:r>
      <w:r w:rsidR="00951815">
        <w:rPr>
          <w:rFonts w:ascii="Calibri" w:eastAsia="Times New Roman" w:hAnsi="Calibri"/>
          <w:sz w:val="22"/>
          <w:szCs w:val="22"/>
          <w:lang w:val="en-AU"/>
        </w:rPr>
        <w:t xml:space="preserve">the </w:t>
      </w:r>
      <w:r w:rsidRPr="00A838B0">
        <w:rPr>
          <w:rFonts w:ascii="Calibri" w:eastAsia="Times New Roman" w:hAnsi="Calibri"/>
          <w:sz w:val="22"/>
          <w:szCs w:val="22"/>
          <w:lang w:val="en-AU"/>
        </w:rPr>
        <w:t>people detained</w:t>
      </w:r>
      <w:r w:rsidR="00951815">
        <w:rPr>
          <w:rFonts w:ascii="Calibri" w:eastAsia="Times New Roman" w:hAnsi="Calibri"/>
          <w:sz w:val="22"/>
          <w:szCs w:val="22"/>
          <w:lang w:val="en-AU"/>
        </w:rPr>
        <w:t xml:space="preserve"> without conviction</w:t>
      </w:r>
      <w:r w:rsidRPr="00A838B0">
        <w:rPr>
          <w:rFonts w:ascii="Calibri" w:eastAsia="Times New Roman" w:hAnsi="Calibri"/>
          <w:sz w:val="22"/>
          <w:szCs w:val="22"/>
          <w:lang w:val="en-AU"/>
        </w:rPr>
        <w:t>.</w:t>
      </w:r>
      <w:r w:rsidRPr="00A838B0">
        <w:rPr>
          <w:rFonts w:ascii="Calibri" w:eastAsia="Times New Roman" w:hAnsi="Calibri"/>
          <w:sz w:val="22"/>
          <w:szCs w:val="22"/>
          <w:vertAlign w:val="superscript"/>
          <w:lang w:val="en-AU"/>
        </w:rPr>
        <w:endnoteReference w:id="5"/>
      </w:r>
      <w:r w:rsidRPr="00A838B0">
        <w:rPr>
          <w:rFonts w:ascii="Calibri" w:eastAsia="Times New Roman" w:hAnsi="Calibri"/>
          <w:sz w:val="22"/>
          <w:szCs w:val="22"/>
          <w:lang w:val="en-AU"/>
        </w:rPr>
        <w:t xml:space="preserve"> </w:t>
      </w:r>
    </w:p>
    <w:p w14:paraId="4AF24199" w14:textId="77777777" w:rsidR="00A838B0" w:rsidRPr="00A838B0" w:rsidRDefault="00A838B0" w:rsidP="00A50622">
      <w:pPr>
        <w:spacing w:line="276" w:lineRule="auto"/>
        <w:jc w:val="both"/>
        <w:rPr>
          <w:rFonts w:ascii="Calibri" w:eastAsia="Times New Roman" w:hAnsi="Calibri"/>
          <w:sz w:val="22"/>
          <w:szCs w:val="22"/>
          <w:lang w:val="en-AU"/>
        </w:rPr>
      </w:pPr>
    </w:p>
    <w:p w14:paraId="3EBBAC13" w14:textId="05B1951C" w:rsidR="00A838B0" w:rsidRPr="00A838B0" w:rsidRDefault="00A838B0" w:rsidP="00A50622">
      <w:pPr>
        <w:spacing w:line="276" w:lineRule="auto"/>
        <w:jc w:val="both"/>
        <w:rPr>
          <w:rFonts w:ascii="Calibri" w:eastAsia="Times New Roman" w:hAnsi="Calibri"/>
          <w:bCs/>
          <w:sz w:val="22"/>
          <w:szCs w:val="22"/>
          <w:lang w:val="en-AU"/>
        </w:rPr>
      </w:pPr>
      <w:r w:rsidRPr="00A838B0">
        <w:rPr>
          <w:rFonts w:ascii="Calibri" w:eastAsia="Times New Roman" w:hAnsi="Calibri"/>
          <w:bCs/>
          <w:sz w:val="22"/>
          <w:szCs w:val="22"/>
          <w:lang w:val="en-AU"/>
        </w:rPr>
        <w:t xml:space="preserve">In detention, people with disability are vulnerable to punitive treatment and practices, such as chemical and physical restraints, and solitary confinement.  For example, in the situation of four Aboriginal men with disability indefinitely detained in prisons, the Australian Human </w:t>
      </w:r>
      <w:bookmarkStart w:id="0" w:name="_GoBack"/>
      <w:bookmarkEnd w:id="0"/>
      <w:r w:rsidRPr="00A838B0">
        <w:rPr>
          <w:rFonts w:ascii="Calibri" w:eastAsia="Times New Roman" w:hAnsi="Calibri"/>
          <w:bCs/>
          <w:sz w:val="22"/>
          <w:szCs w:val="22"/>
          <w:lang w:val="en-AU"/>
        </w:rPr>
        <w:t>Rights Commission found that detention conditions amounted to cruel, inhuman or degrading treatment and that Australia was in breach of its international obligations.</w:t>
      </w:r>
      <w:r w:rsidRPr="00A838B0">
        <w:rPr>
          <w:rStyle w:val="EndnoteReference"/>
          <w:rFonts w:ascii="Calibri" w:eastAsia="Times New Roman" w:hAnsi="Calibri"/>
          <w:bCs/>
          <w:sz w:val="22"/>
          <w:szCs w:val="22"/>
          <w:lang w:val="en-AU"/>
        </w:rPr>
        <w:endnoteReference w:id="6"/>
      </w:r>
      <w:r w:rsidRPr="00A838B0">
        <w:rPr>
          <w:rFonts w:ascii="Calibri" w:eastAsia="Times New Roman" w:hAnsi="Calibri"/>
          <w:bCs/>
          <w:sz w:val="22"/>
          <w:szCs w:val="22"/>
          <w:lang w:val="en-AU"/>
        </w:rPr>
        <w:t xml:space="preserve">  </w:t>
      </w:r>
    </w:p>
    <w:p w14:paraId="40C51C76" w14:textId="77777777" w:rsidR="00A838B0" w:rsidRPr="00A838B0" w:rsidRDefault="00A838B0" w:rsidP="00A50622">
      <w:pPr>
        <w:spacing w:line="276" w:lineRule="auto"/>
        <w:jc w:val="both"/>
        <w:rPr>
          <w:rFonts w:ascii="Calibri" w:eastAsia="Times New Roman" w:hAnsi="Calibri"/>
          <w:bCs/>
          <w:sz w:val="22"/>
          <w:szCs w:val="22"/>
          <w:lang w:val="en-AU"/>
        </w:rPr>
      </w:pPr>
    </w:p>
    <w:p w14:paraId="64E1A040" w14:textId="77777777" w:rsidR="00A838B0" w:rsidRPr="00A838B0" w:rsidRDefault="00A838B0" w:rsidP="00A50622">
      <w:pPr>
        <w:spacing w:line="276" w:lineRule="auto"/>
        <w:jc w:val="both"/>
        <w:rPr>
          <w:rFonts w:ascii="Calibri" w:eastAsia="Times New Roman" w:hAnsi="Calibri"/>
          <w:sz w:val="22"/>
          <w:szCs w:val="22"/>
          <w:lang w:val="en-AU"/>
        </w:rPr>
      </w:pPr>
      <w:r w:rsidRPr="00A838B0">
        <w:rPr>
          <w:rFonts w:ascii="Calibri" w:eastAsia="Times New Roman" w:hAnsi="Calibri"/>
          <w:bCs/>
          <w:sz w:val="22"/>
          <w:szCs w:val="22"/>
          <w:lang w:val="en-AU"/>
        </w:rPr>
        <w:t>In reviewing Commonwealth laws and programs and legal capacity for people with disability, the Australian Law Reform Commission recommended reform of the ‘unfitness’ test, the provision of appropriate supports, limits and reviews on detention.</w:t>
      </w:r>
      <w:r w:rsidRPr="00A838B0">
        <w:rPr>
          <w:rFonts w:ascii="Calibri" w:eastAsia="Times New Roman" w:hAnsi="Calibri"/>
          <w:bCs/>
          <w:sz w:val="22"/>
          <w:szCs w:val="22"/>
          <w:vertAlign w:val="superscript"/>
          <w:lang w:val="en-AU"/>
        </w:rPr>
        <w:t xml:space="preserve"> </w:t>
      </w:r>
      <w:r w:rsidRPr="00A838B0">
        <w:rPr>
          <w:rFonts w:ascii="Calibri" w:eastAsia="Times New Roman" w:hAnsi="Calibri"/>
          <w:bCs/>
          <w:sz w:val="22"/>
          <w:szCs w:val="22"/>
          <w:vertAlign w:val="superscript"/>
          <w:lang w:val="en-AU"/>
        </w:rPr>
        <w:endnoteReference w:id="7"/>
      </w:r>
      <w:r w:rsidRPr="00A838B0">
        <w:rPr>
          <w:rFonts w:ascii="Calibri" w:eastAsia="Times New Roman" w:hAnsi="Calibri"/>
          <w:bCs/>
          <w:sz w:val="22"/>
          <w:szCs w:val="22"/>
          <w:lang w:val="en-AU"/>
        </w:rPr>
        <w:t xml:space="preserve"> The Australian Government has yet to respond to this report.</w:t>
      </w:r>
    </w:p>
    <w:p w14:paraId="3ECD98BB" w14:textId="77777777" w:rsidR="00A838B0" w:rsidRPr="00A838B0" w:rsidRDefault="00A838B0" w:rsidP="00A50622">
      <w:pPr>
        <w:spacing w:line="276" w:lineRule="auto"/>
        <w:jc w:val="both"/>
        <w:rPr>
          <w:rFonts w:ascii="Calibri" w:eastAsia="Times New Roman" w:hAnsi="Calibri"/>
          <w:sz w:val="22"/>
          <w:szCs w:val="22"/>
          <w:lang w:val="en-AU"/>
        </w:rPr>
      </w:pPr>
    </w:p>
    <w:p w14:paraId="706923D5" w14:textId="77777777" w:rsidR="00A838B0" w:rsidRPr="00A838B0" w:rsidRDefault="00A838B0" w:rsidP="00A50622">
      <w:pPr>
        <w:spacing w:line="276" w:lineRule="auto"/>
        <w:jc w:val="both"/>
        <w:rPr>
          <w:rFonts w:ascii="Calibri" w:eastAsia="Times New Roman" w:hAnsi="Calibri"/>
          <w:sz w:val="22"/>
          <w:szCs w:val="22"/>
          <w:lang w:eastAsia="en-AU"/>
        </w:rPr>
      </w:pPr>
      <w:r w:rsidRPr="00A838B0">
        <w:rPr>
          <w:rFonts w:ascii="Calibri" w:eastAsia="Times New Roman" w:hAnsi="Calibri"/>
          <w:sz w:val="22"/>
          <w:szCs w:val="22"/>
          <w:lang w:eastAsia="en-AU"/>
        </w:rPr>
        <w:t>The Australian Government has also not responded to the Senate Committee’s recommendations from its inquiry into indefinite detention of people with disability.  These recommendations outline comprehensive law, policy and program reform to address this situation.</w:t>
      </w:r>
      <w:r w:rsidRPr="00A838B0">
        <w:rPr>
          <w:rFonts w:ascii="Calibri" w:eastAsia="Times New Roman" w:hAnsi="Calibri"/>
          <w:sz w:val="22"/>
          <w:szCs w:val="22"/>
          <w:vertAlign w:val="superscript"/>
          <w:lang w:eastAsia="en-AU"/>
        </w:rPr>
        <w:endnoteReference w:id="8"/>
      </w:r>
      <w:r w:rsidRPr="00A838B0">
        <w:rPr>
          <w:rFonts w:ascii="Calibri" w:eastAsia="Times New Roman" w:hAnsi="Calibri"/>
          <w:sz w:val="22"/>
          <w:szCs w:val="22"/>
          <w:lang w:eastAsia="en-AU"/>
        </w:rPr>
        <w:t xml:space="preserve"> </w:t>
      </w:r>
    </w:p>
    <w:p w14:paraId="0C90A3C9" w14:textId="77777777" w:rsidR="00A838B0" w:rsidRPr="00A838B0" w:rsidRDefault="00A838B0" w:rsidP="00A50622">
      <w:pPr>
        <w:spacing w:line="276" w:lineRule="auto"/>
        <w:jc w:val="both"/>
        <w:rPr>
          <w:rFonts w:ascii="Calibri" w:eastAsia="Times New Roman" w:hAnsi="Calibri"/>
          <w:sz w:val="22"/>
          <w:szCs w:val="22"/>
          <w:lang w:eastAsia="en-AU"/>
        </w:rPr>
      </w:pPr>
    </w:p>
    <w:p w14:paraId="23E7FDCF" w14:textId="77777777" w:rsidR="00A838B0" w:rsidRPr="00A838B0" w:rsidRDefault="00A838B0" w:rsidP="00A50622">
      <w:pPr>
        <w:spacing w:line="276" w:lineRule="auto"/>
        <w:jc w:val="both"/>
        <w:rPr>
          <w:rFonts w:ascii="Calibri" w:eastAsia="Times New Roman" w:hAnsi="Calibri"/>
          <w:sz w:val="22"/>
          <w:szCs w:val="22"/>
          <w:lang w:eastAsia="en-AU"/>
        </w:rPr>
      </w:pPr>
      <w:r w:rsidRPr="00A838B0">
        <w:rPr>
          <w:rFonts w:ascii="Calibri" w:eastAsia="Times New Roman" w:hAnsi="Calibri"/>
          <w:sz w:val="22"/>
          <w:szCs w:val="22"/>
          <w:lang w:eastAsia="en-AU"/>
        </w:rPr>
        <w:t>During its second Universal Periodic Review (UPR), the Australian Government made a voluntary commitment to improve the way the criminal justice system treats people with disability.</w:t>
      </w:r>
      <w:r w:rsidRPr="00A838B0">
        <w:rPr>
          <w:rFonts w:ascii="Calibri" w:eastAsia="Times New Roman" w:hAnsi="Calibri"/>
          <w:sz w:val="22"/>
          <w:szCs w:val="22"/>
          <w:vertAlign w:val="superscript"/>
          <w:lang w:eastAsia="en-AU"/>
        </w:rPr>
        <w:endnoteReference w:id="9"/>
      </w:r>
      <w:r w:rsidRPr="00A838B0">
        <w:rPr>
          <w:rFonts w:ascii="Calibri" w:eastAsia="Times New Roman" w:hAnsi="Calibri"/>
          <w:sz w:val="22"/>
          <w:szCs w:val="22"/>
          <w:lang w:eastAsia="en-AU"/>
        </w:rPr>
        <w:t xml:space="preserve"> While this is welcome, there has been little public information on what tangible outcomes have been achieved from the cross-jurisdictional working group established to implement this commitment.</w:t>
      </w:r>
      <w:r w:rsidRPr="00A838B0">
        <w:rPr>
          <w:rFonts w:ascii="Calibri" w:eastAsia="Times New Roman" w:hAnsi="Calibri"/>
          <w:sz w:val="22"/>
          <w:szCs w:val="22"/>
          <w:vertAlign w:val="superscript"/>
          <w:lang w:eastAsia="en-AU"/>
        </w:rPr>
        <w:endnoteReference w:id="10"/>
      </w:r>
      <w:r w:rsidRPr="00A838B0">
        <w:rPr>
          <w:rFonts w:ascii="Calibri" w:eastAsia="Times New Roman" w:hAnsi="Calibri"/>
          <w:sz w:val="22"/>
          <w:szCs w:val="22"/>
          <w:lang w:eastAsia="en-AU"/>
        </w:rPr>
        <w:t xml:space="preserve">  </w:t>
      </w:r>
    </w:p>
    <w:p w14:paraId="1600B2FC" w14:textId="77777777" w:rsidR="00A838B0" w:rsidRPr="00A838B0" w:rsidRDefault="00A838B0" w:rsidP="00A50622">
      <w:pPr>
        <w:spacing w:line="276" w:lineRule="auto"/>
        <w:jc w:val="both"/>
        <w:rPr>
          <w:rFonts w:ascii="Calibri" w:eastAsia="Times New Roman" w:hAnsi="Calibri"/>
          <w:sz w:val="22"/>
          <w:szCs w:val="22"/>
          <w:lang w:eastAsia="en-AU"/>
        </w:rPr>
      </w:pPr>
    </w:p>
    <w:p w14:paraId="33DF3DA5" w14:textId="4DBE62AF" w:rsidR="000107BF" w:rsidRPr="00A838B0" w:rsidRDefault="00A838B0" w:rsidP="00A50622">
      <w:pPr>
        <w:spacing w:line="276" w:lineRule="auto"/>
        <w:jc w:val="both"/>
        <w:rPr>
          <w:rFonts w:ascii="Calibri" w:eastAsia="Times New Roman" w:hAnsi="Calibri"/>
          <w:sz w:val="22"/>
          <w:szCs w:val="22"/>
          <w:lang w:eastAsia="en-AU"/>
        </w:rPr>
      </w:pPr>
      <w:r w:rsidRPr="00A838B0">
        <w:rPr>
          <w:rFonts w:ascii="Calibri" w:eastAsia="Times New Roman" w:hAnsi="Calibri"/>
          <w:sz w:val="22"/>
          <w:szCs w:val="22"/>
          <w:lang w:eastAsia="en-AU"/>
        </w:rPr>
        <w:t>It is also unclear if this commitment aims to address the concluding observation made to Australia by the Committee on the Rights of Persons with Disabilities regarding the indefinite detention of un-convicted persons with disability, particularly Aboriginal and Torres Strait Islander persons with disability.</w:t>
      </w:r>
      <w:r w:rsidRPr="00A838B0">
        <w:rPr>
          <w:rStyle w:val="EndnoteReference"/>
          <w:rFonts w:ascii="Calibri" w:eastAsia="Times New Roman" w:hAnsi="Calibri"/>
          <w:sz w:val="22"/>
          <w:szCs w:val="22"/>
          <w:lang w:eastAsia="en-AU"/>
        </w:rPr>
        <w:endnoteReference w:id="11"/>
      </w:r>
      <w:r w:rsidRPr="00A838B0">
        <w:rPr>
          <w:rFonts w:ascii="Calibri" w:eastAsia="Times New Roman" w:hAnsi="Calibri"/>
          <w:sz w:val="22"/>
          <w:szCs w:val="22"/>
          <w:lang w:eastAsia="en-AU"/>
        </w:rPr>
        <w:t xml:space="preserve"> </w:t>
      </w:r>
    </w:p>
    <w:p w14:paraId="164CC374" w14:textId="77777777" w:rsidR="000107BF" w:rsidRDefault="000107BF" w:rsidP="00A50622">
      <w:pPr>
        <w:spacing w:line="276" w:lineRule="auto"/>
        <w:jc w:val="both"/>
        <w:rPr>
          <w:rFonts w:ascii="Calibri" w:eastAsia="Times New Roman" w:hAnsi="Calibri"/>
          <w:sz w:val="22"/>
          <w:szCs w:val="22"/>
          <w:lang w:eastAsia="en-AU"/>
        </w:rPr>
      </w:pPr>
    </w:p>
    <w:p w14:paraId="7B61536A" w14:textId="77777777" w:rsidR="00A50622" w:rsidRPr="004D3B5A" w:rsidRDefault="00A50622" w:rsidP="00A5062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rPr>
          <w:rFonts w:ascii="Calibri" w:hAnsi="Calibri"/>
          <w:b/>
          <w:color w:val="2E74B5" w:themeColor="accent1" w:themeShade="BF"/>
          <w:sz w:val="28"/>
          <w:szCs w:val="28"/>
          <w:lang w:val="en-AU"/>
        </w:rPr>
      </w:pPr>
      <w:r w:rsidRPr="004D3B5A">
        <w:rPr>
          <w:rFonts w:ascii="Calibri" w:hAnsi="Calibri"/>
          <w:b/>
          <w:color w:val="2E74B5" w:themeColor="accent1" w:themeShade="BF"/>
          <w:sz w:val="28"/>
          <w:szCs w:val="28"/>
          <w:lang w:val="en-AU"/>
        </w:rPr>
        <w:t>Proposed Questions</w:t>
      </w:r>
    </w:p>
    <w:p w14:paraId="5FC9FE78" w14:textId="77777777" w:rsidR="00A50622" w:rsidRDefault="00A50622" w:rsidP="00A5062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both"/>
        <w:rPr>
          <w:rFonts w:ascii="Calibri" w:hAnsi="Calibri"/>
          <w:b/>
          <w:lang w:val="en-AU"/>
        </w:rPr>
      </w:pPr>
    </w:p>
    <w:p w14:paraId="17273E2D" w14:textId="1BDCAE17" w:rsidR="000107BF" w:rsidRPr="00A50622" w:rsidRDefault="000107BF" w:rsidP="00A5062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both"/>
        <w:rPr>
          <w:rFonts w:ascii="Calibri" w:hAnsi="Calibri"/>
          <w:b/>
          <w:sz w:val="22"/>
          <w:szCs w:val="22"/>
          <w:lang w:val="en-AU"/>
        </w:rPr>
      </w:pPr>
      <w:r w:rsidRPr="00A50622">
        <w:rPr>
          <w:rFonts w:ascii="Calibri" w:hAnsi="Calibri"/>
          <w:b/>
          <w:sz w:val="22"/>
          <w:szCs w:val="22"/>
          <w:lang w:val="en-AU"/>
        </w:rPr>
        <w:t>Please update the Committee on measures taken to end the unwarranted use of prisons for the management of unconvicted persons with disability, with a focus on Aboriginal and Torres Strait Islander persons with disability</w:t>
      </w:r>
      <w:r w:rsidR="004B2470" w:rsidRPr="00A50622">
        <w:rPr>
          <w:rFonts w:ascii="Calibri" w:hAnsi="Calibri"/>
          <w:b/>
          <w:sz w:val="22"/>
          <w:szCs w:val="22"/>
          <w:lang w:val="en-AU"/>
        </w:rPr>
        <w:t>, with reference to its voluntary commitment provided during its latest Universal Periodic Review.</w:t>
      </w:r>
    </w:p>
    <w:p w14:paraId="57890D8D" w14:textId="77777777" w:rsidR="000107BF" w:rsidRPr="00A838B0" w:rsidRDefault="000107BF" w:rsidP="00A5062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both"/>
        <w:rPr>
          <w:rFonts w:ascii="Calibri" w:hAnsi="Calibri"/>
          <w:sz w:val="22"/>
          <w:szCs w:val="22"/>
          <w:lang w:val="en-AU"/>
        </w:rPr>
      </w:pPr>
    </w:p>
    <w:p w14:paraId="3FD9C5D2" w14:textId="77777777" w:rsidR="000107BF" w:rsidRPr="00A838B0" w:rsidRDefault="000107BF" w:rsidP="00A5062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both"/>
        <w:rPr>
          <w:rFonts w:ascii="Calibri" w:hAnsi="Calibri"/>
          <w:sz w:val="22"/>
          <w:szCs w:val="22"/>
          <w:lang w:val="en-AU"/>
        </w:rPr>
      </w:pPr>
      <w:r w:rsidRPr="00A838B0">
        <w:rPr>
          <w:rFonts w:ascii="Calibri" w:hAnsi="Calibri"/>
          <w:sz w:val="22"/>
          <w:szCs w:val="22"/>
          <w:lang w:val="en-AU"/>
        </w:rPr>
        <w:t xml:space="preserve">Please update the Committee on findings, and progress towards implementing all recommendations from the </w:t>
      </w:r>
      <w:r w:rsidRPr="00A838B0">
        <w:rPr>
          <w:rFonts w:ascii="Calibri" w:eastAsia="MS Mincho" w:hAnsi="Calibri" w:cs="Arial"/>
          <w:i/>
          <w:color w:val="000000"/>
          <w:sz w:val="22"/>
          <w:szCs w:val="22"/>
          <w:bdr w:val="none" w:sz="0" w:space="0" w:color="auto"/>
          <w:lang w:val="en-AU"/>
        </w:rPr>
        <w:t>‘Senate Inquiry into Indefinite detention of people with cognitive and psychiatric impairment in Australia’</w:t>
      </w:r>
      <w:r w:rsidRPr="00A838B0">
        <w:rPr>
          <w:rFonts w:ascii="Calibri" w:eastAsia="MS Mincho" w:hAnsi="Calibri" w:cs="Arial"/>
          <w:color w:val="000000"/>
          <w:sz w:val="22"/>
          <w:szCs w:val="22"/>
          <w:bdr w:val="none" w:sz="0" w:space="0" w:color="auto"/>
          <w:lang w:val="en-AU"/>
        </w:rPr>
        <w:t>.</w:t>
      </w:r>
    </w:p>
    <w:p w14:paraId="2086DCD6" w14:textId="77777777" w:rsidR="000107BF" w:rsidRPr="00A838B0" w:rsidRDefault="000107BF" w:rsidP="00A5062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both"/>
        <w:rPr>
          <w:rFonts w:ascii="Calibri" w:hAnsi="Calibri"/>
          <w:sz w:val="22"/>
          <w:szCs w:val="22"/>
          <w:lang w:val="en-AU"/>
        </w:rPr>
      </w:pPr>
    </w:p>
    <w:p w14:paraId="70D2C585" w14:textId="77777777" w:rsidR="000107BF" w:rsidRPr="00A838B0" w:rsidRDefault="000107BF" w:rsidP="00A5062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both"/>
        <w:rPr>
          <w:rFonts w:ascii="Calibri" w:hAnsi="Calibri"/>
          <w:sz w:val="22"/>
          <w:szCs w:val="22"/>
          <w:lang w:val="en-AU"/>
        </w:rPr>
      </w:pPr>
      <w:r w:rsidRPr="00A838B0">
        <w:rPr>
          <w:rFonts w:ascii="Calibri" w:hAnsi="Calibri"/>
          <w:sz w:val="22"/>
          <w:szCs w:val="22"/>
          <w:lang w:val="en-AU"/>
        </w:rPr>
        <w:t xml:space="preserve">Please update the Committee on measures to implement the recommendations to </w:t>
      </w:r>
      <w:r w:rsidRPr="00A838B0">
        <w:rPr>
          <w:rFonts w:ascii="Calibri" w:hAnsi="Calibri"/>
          <w:bCs/>
          <w:sz w:val="22"/>
          <w:szCs w:val="22"/>
          <w:lang w:val="en-AU"/>
        </w:rPr>
        <w:t xml:space="preserve">reform of the ‘unfitness’ test, the provision of appropriate supports, limits and reviews on detention made by the Australian Law Reform Commission. </w:t>
      </w:r>
    </w:p>
    <w:p w14:paraId="60F07FF7" w14:textId="77777777" w:rsidR="000107BF" w:rsidRDefault="000107BF" w:rsidP="00A50622">
      <w:pPr>
        <w:spacing w:line="276" w:lineRule="auto"/>
      </w:pPr>
    </w:p>
    <w:p w14:paraId="60FC9523" w14:textId="77777777" w:rsidR="00A50622" w:rsidRDefault="00A50622" w:rsidP="00A50622">
      <w:pPr>
        <w:spacing w:line="276" w:lineRule="auto"/>
      </w:pPr>
    </w:p>
    <w:p w14:paraId="154707A2" w14:textId="77777777" w:rsidR="00A50622" w:rsidRPr="00672A23" w:rsidRDefault="00A50622" w:rsidP="00A5062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rPr>
          <w:rFonts w:ascii="Calibri" w:hAnsi="Calibri"/>
          <w:b/>
          <w:color w:val="2E74B5" w:themeColor="accent1" w:themeShade="BF"/>
          <w:sz w:val="28"/>
          <w:szCs w:val="28"/>
          <w:lang w:val="en-AU"/>
        </w:rPr>
      </w:pPr>
      <w:r w:rsidRPr="00672A23">
        <w:rPr>
          <w:rFonts w:ascii="Calibri" w:hAnsi="Calibri"/>
          <w:b/>
          <w:color w:val="2E74B5" w:themeColor="accent1" w:themeShade="BF"/>
          <w:sz w:val="28"/>
          <w:szCs w:val="28"/>
          <w:lang w:val="en-AU"/>
        </w:rPr>
        <w:t>Endnotes</w:t>
      </w:r>
    </w:p>
    <w:p w14:paraId="63343043" w14:textId="77777777" w:rsidR="00A50622" w:rsidRDefault="00A50622" w:rsidP="00A50622">
      <w:pPr>
        <w:spacing w:line="276" w:lineRule="auto"/>
      </w:pPr>
    </w:p>
    <w:sectPr w:rsidR="00A50622" w:rsidSect="00A838B0">
      <w:footerReference w:type="even" r:id="rId8"/>
      <w:footerReference w:type="default" r:id="rId9"/>
      <w:headerReference w:type="first" r:id="rId10"/>
      <w:endnotePr>
        <w:numFmt w:val="decimal"/>
      </w:endnotePr>
      <w:pgSz w:w="11906" w:h="16838"/>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141817" w14:textId="77777777" w:rsidR="00541AD5" w:rsidRDefault="00541AD5" w:rsidP="000107BF">
      <w:r>
        <w:separator/>
      </w:r>
    </w:p>
  </w:endnote>
  <w:endnote w:type="continuationSeparator" w:id="0">
    <w:p w14:paraId="2E844FCB" w14:textId="77777777" w:rsidR="00541AD5" w:rsidRDefault="00541AD5" w:rsidP="000107BF">
      <w:r>
        <w:continuationSeparator/>
      </w:r>
    </w:p>
  </w:endnote>
  <w:endnote w:id="1">
    <w:p w14:paraId="00218BB5" w14:textId="77777777" w:rsidR="00A838B0" w:rsidRPr="00A838B0" w:rsidRDefault="00A838B0" w:rsidP="000107BF">
      <w:pPr>
        <w:pStyle w:val="EndnoteText"/>
        <w:contextualSpacing/>
        <w:rPr>
          <w:rFonts w:ascii="Calibri" w:hAnsi="Calibri" w:cs="Arial"/>
          <w:sz w:val="16"/>
          <w:szCs w:val="16"/>
        </w:rPr>
      </w:pPr>
      <w:r w:rsidRPr="00A838B0">
        <w:rPr>
          <w:rStyle w:val="EndnoteReference"/>
          <w:rFonts w:ascii="Calibri" w:hAnsi="Calibri" w:cs="Arial"/>
          <w:sz w:val="16"/>
          <w:szCs w:val="16"/>
        </w:rPr>
        <w:endnoteRef/>
      </w:r>
      <w:r w:rsidRPr="00A838B0">
        <w:rPr>
          <w:rFonts w:ascii="Calibri" w:hAnsi="Calibri" w:cs="Arial"/>
          <w:sz w:val="16"/>
          <w:szCs w:val="16"/>
        </w:rPr>
        <w:t xml:space="preserve"> </w:t>
      </w:r>
      <w:r w:rsidRPr="00A838B0">
        <w:rPr>
          <w:rFonts w:ascii="Calibri" w:hAnsi="Calibri" w:cs="Arial"/>
          <w:sz w:val="16"/>
          <w:szCs w:val="16"/>
          <w:u w:color="BC2504"/>
        </w:rPr>
        <w:t xml:space="preserve">Australian Law Reform Commission, </w:t>
      </w:r>
      <w:r w:rsidRPr="00A838B0">
        <w:rPr>
          <w:rFonts w:ascii="Calibri" w:hAnsi="Calibri" w:cs="Arial"/>
          <w:bCs/>
          <w:i/>
          <w:sz w:val="16"/>
          <w:szCs w:val="16"/>
        </w:rPr>
        <w:t>Equality, Capacity and Disability in Commonwealth Laws</w:t>
      </w:r>
      <w:r w:rsidRPr="00A838B0">
        <w:rPr>
          <w:rFonts w:ascii="Calibri" w:hAnsi="Calibri" w:cs="Arial"/>
          <w:bCs/>
          <w:sz w:val="16"/>
          <w:szCs w:val="16"/>
        </w:rPr>
        <w:t>,</w:t>
      </w:r>
      <w:r w:rsidRPr="00A838B0">
        <w:rPr>
          <w:rFonts w:ascii="Calibri" w:hAnsi="Calibri" w:cs="Arial"/>
          <w:bCs/>
          <w:i/>
          <w:sz w:val="16"/>
          <w:szCs w:val="16"/>
        </w:rPr>
        <w:t xml:space="preserve"> </w:t>
      </w:r>
      <w:r w:rsidRPr="00A838B0">
        <w:rPr>
          <w:rFonts w:ascii="Calibri" w:hAnsi="Calibri" w:cs="Arial"/>
          <w:bCs/>
          <w:sz w:val="16"/>
          <w:szCs w:val="16"/>
        </w:rPr>
        <w:t>ALRC Report 124, (2014).</w:t>
      </w:r>
    </w:p>
  </w:endnote>
  <w:endnote w:id="2">
    <w:p w14:paraId="21F94319" w14:textId="77777777" w:rsidR="00A838B0" w:rsidRPr="00A838B0" w:rsidRDefault="00A838B0" w:rsidP="000107BF">
      <w:pPr>
        <w:pStyle w:val="EndnoteText"/>
        <w:contextualSpacing/>
        <w:rPr>
          <w:rFonts w:ascii="Calibri" w:hAnsi="Calibri"/>
          <w:i/>
          <w:sz w:val="16"/>
          <w:szCs w:val="16"/>
        </w:rPr>
      </w:pPr>
      <w:r w:rsidRPr="00A838B0">
        <w:rPr>
          <w:rStyle w:val="EndnoteReference"/>
          <w:rFonts w:ascii="Calibri" w:hAnsi="Calibri"/>
          <w:sz w:val="16"/>
          <w:szCs w:val="16"/>
        </w:rPr>
        <w:endnoteRef/>
      </w:r>
      <w:r w:rsidRPr="00A838B0">
        <w:rPr>
          <w:rFonts w:ascii="Calibri" w:hAnsi="Calibri"/>
          <w:sz w:val="16"/>
          <w:szCs w:val="16"/>
        </w:rPr>
        <w:t xml:space="preserve"> Australian Human Rights Commission, </w:t>
      </w:r>
      <w:r w:rsidRPr="00A838B0">
        <w:rPr>
          <w:rFonts w:ascii="Calibri" w:hAnsi="Calibri"/>
          <w:i/>
          <w:sz w:val="16"/>
          <w:szCs w:val="16"/>
        </w:rPr>
        <w:t xml:space="preserve">indefinite detention of people with cognitive and psychiatric impairment in Australia, </w:t>
      </w:r>
      <w:r w:rsidRPr="00A838B0">
        <w:rPr>
          <w:rFonts w:ascii="Calibri" w:hAnsi="Calibri"/>
          <w:sz w:val="16"/>
          <w:szCs w:val="16"/>
        </w:rPr>
        <w:t xml:space="preserve">Submission to the Senate Community Affairs References Committee, March 2016, p.4, available at; </w:t>
      </w:r>
      <w:hyperlink r:id="rId1" w:history="1">
        <w:r w:rsidRPr="00A838B0">
          <w:rPr>
            <w:rStyle w:val="Hyperlink"/>
            <w:rFonts w:ascii="Calibri" w:hAnsi="Calibri"/>
            <w:sz w:val="16"/>
            <w:szCs w:val="16"/>
          </w:rPr>
          <w:t>https://www.humanrights.gov.au/sites/default/files/AHRC_Submission_on_indefinite_detention2016.pdf</w:t>
        </w:r>
      </w:hyperlink>
      <w:r w:rsidRPr="00A838B0">
        <w:rPr>
          <w:rFonts w:ascii="Calibri" w:hAnsi="Calibri"/>
          <w:sz w:val="16"/>
          <w:szCs w:val="16"/>
        </w:rPr>
        <w:t xml:space="preserve"> (accessed 31 July 2017)</w:t>
      </w:r>
    </w:p>
  </w:endnote>
  <w:endnote w:id="3">
    <w:p w14:paraId="728FCD3A" w14:textId="77777777" w:rsidR="00A838B0" w:rsidRPr="00A838B0" w:rsidRDefault="00A838B0" w:rsidP="000107BF">
      <w:pPr>
        <w:pStyle w:val="EndnoteText"/>
        <w:contextualSpacing/>
        <w:rPr>
          <w:rFonts w:ascii="Calibri" w:hAnsi="Calibri"/>
          <w:sz w:val="16"/>
          <w:szCs w:val="16"/>
        </w:rPr>
      </w:pPr>
      <w:r w:rsidRPr="00A838B0">
        <w:rPr>
          <w:rStyle w:val="EndnoteReference"/>
          <w:rFonts w:ascii="Calibri" w:hAnsi="Calibri" w:cs="Arial"/>
          <w:sz w:val="16"/>
          <w:szCs w:val="16"/>
        </w:rPr>
        <w:endnoteRef/>
      </w:r>
      <w:r w:rsidRPr="00A838B0">
        <w:rPr>
          <w:rFonts w:ascii="Calibri" w:hAnsi="Calibri" w:cs="Arial"/>
          <w:sz w:val="16"/>
          <w:szCs w:val="16"/>
        </w:rPr>
        <w:t xml:space="preserve"> First Peoples Disability Justice Consortium, </w:t>
      </w:r>
      <w:r w:rsidRPr="00A838B0">
        <w:rPr>
          <w:rFonts w:ascii="Calibri" w:hAnsi="Calibri" w:cs="Arial"/>
          <w:i/>
          <w:sz w:val="16"/>
          <w:szCs w:val="16"/>
        </w:rPr>
        <w:t>Aboriginal and Torres Strait Islander Perspectives on the Recurrent and Indefinite Detention of People with Cognitive and Psychiatric Impairment</w:t>
      </w:r>
      <w:r w:rsidRPr="00A838B0">
        <w:rPr>
          <w:rFonts w:ascii="Calibri" w:hAnsi="Calibri" w:cs="Arial"/>
          <w:sz w:val="16"/>
          <w:szCs w:val="16"/>
        </w:rPr>
        <w:t xml:space="preserve">, April 2016, First Peoples Disability Network. </w:t>
      </w:r>
      <w:hyperlink r:id="rId2" w:history="1">
        <w:r w:rsidRPr="00A838B0">
          <w:rPr>
            <w:rStyle w:val="Hyperlink"/>
            <w:rFonts w:ascii="Calibri" w:hAnsi="Calibri" w:cs="Arial"/>
            <w:sz w:val="16"/>
            <w:szCs w:val="16"/>
          </w:rPr>
          <w:t>http://fpdn.org.au/wp-content/uploads/2016/10/FPDN-Senate-Inquiry-Indefinite-Detention-Submission_Final.pdf</w:t>
        </w:r>
      </w:hyperlink>
      <w:r w:rsidRPr="00A838B0">
        <w:rPr>
          <w:rStyle w:val="Hyperlink"/>
          <w:rFonts w:ascii="Calibri" w:hAnsi="Calibri" w:cs="Arial"/>
          <w:sz w:val="16"/>
          <w:szCs w:val="16"/>
        </w:rPr>
        <w:t xml:space="preserve">  </w:t>
      </w:r>
    </w:p>
  </w:endnote>
  <w:endnote w:id="4">
    <w:p w14:paraId="11C12CAC" w14:textId="77777777" w:rsidR="00A838B0" w:rsidRPr="00A838B0" w:rsidRDefault="00A838B0" w:rsidP="000107BF">
      <w:pPr>
        <w:pStyle w:val="EndnoteText"/>
        <w:contextualSpacing/>
        <w:rPr>
          <w:rFonts w:ascii="Calibri" w:hAnsi="Calibri" w:cs="Arial"/>
          <w:sz w:val="16"/>
          <w:szCs w:val="16"/>
        </w:rPr>
      </w:pPr>
      <w:r w:rsidRPr="00A838B0">
        <w:rPr>
          <w:rStyle w:val="EndnoteReference"/>
          <w:rFonts w:ascii="Calibri" w:hAnsi="Calibri" w:cs="Arial"/>
          <w:sz w:val="16"/>
          <w:szCs w:val="16"/>
        </w:rPr>
        <w:endnoteRef/>
      </w:r>
      <w:r w:rsidRPr="00A838B0">
        <w:rPr>
          <w:rFonts w:ascii="Calibri" w:hAnsi="Calibri" w:cs="Arial"/>
          <w:sz w:val="16"/>
          <w:szCs w:val="16"/>
        </w:rPr>
        <w:t xml:space="preserve"> </w:t>
      </w:r>
      <w:proofErr w:type="spellStart"/>
      <w:r w:rsidRPr="00A838B0">
        <w:rPr>
          <w:rFonts w:ascii="Calibri" w:hAnsi="Calibri" w:cs="Arial"/>
          <w:sz w:val="16"/>
          <w:szCs w:val="16"/>
        </w:rPr>
        <w:t>Sotiri</w:t>
      </w:r>
      <w:proofErr w:type="spellEnd"/>
      <w:r w:rsidRPr="00A838B0">
        <w:rPr>
          <w:rFonts w:ascii="Calibri" w:hAnsi="Calibri" w:cs="Arial"/>
          <w:sz w:val="16"/>
          <w:szCs w:val="16"/>
        </w:rPr>
        <w:t xml:space="preserve">, M, McGee, P, &amp; Baldry, E (2012) </w:t>
      </w:r>
      <w:r w:rsidRPr="00A838B0">
        <w:rPr>
          <w:rFonts w:ascii="Calibri" w:hAnsi="Calibri" w:cs="Arial"/>
          <w:i/>
          <w:sz w:val="16"/>
          <w:szCs w:val="16"/>
        </w:rPr>
        <w:t>No End in Sight. The Imprisonment and Indefinite Detention of Indigenous Australians with a Cognitive Impairment</w:t>
      </w:r>
      <w:r w:rsidRPr="00A838B0">
        <w:rPr>
          <w:rFonts w:ascii="Calibri" w:hAnsi="Calibri" w:cs="Arial"/>
          <w:sz w:val="16"/>
          <w:szCs w:val="16"/>
        </w:rPr>
        <w:t>. Sydney: University of NSW.</w:t>
      </w:r>
    </w:p>
  </w:endnote>
  <w:endnote w:id="5">
    <w:p w14:paraId="3ADB8D0A" w14:textId="77777777" w:rsidR="00A838B0" w:rsidRPr="00A838B0" w:rsidRDefault="00A838B0" w:rsidP="000107BF">
      <w:pPr>
        <w:pStyle w:val="EndnoteText"/>
        <w:contextualSpacing/>
        <w:rPr>
          <w:rFonts w:ascii="Calibri" w:hAnsi="Calibri" w:cs="Arial"/>
          <w:sz w:val="16"/>
          <w:szCs w:val="16"/>
        </w:rPr>
      </w:pPr>
      <w:r w:rsidRPr="00A838B0">
        <w:rPr>
          <w:rStyle w:val="EndnoteReference"/>
          <w:rFonts w:ascii="Calibri" w:hAnsi="Calibri" w:cs="Arial"/>
          <w:sz w:val="16"/>
          <w:szCs w:val="16"/>
        </w:rPr>
        <w:endnoteRef/>
      </w:r>
      <w:r w:rsidRPr="00A838B0">
        <w:rPr>
          <w:rFonts w:ascii="Calibri" w:hAnsi="Calibri" w:cs="Arial"/>
          <w:sz w:val="16"/>
          <w:szCs w:val="16"/>
        </w:rPr>
        <w:t xml:space="preserve"> </w:t>
      </w:r>
      <w:proofErr w:type="spellStart"/>
      <w:r w:rsidRPr="00A838B0">
        <w:rPr>
          <w:rFonts w:ascii="Calibri" w:hAnsi="Calibri" w:cs="Arial"/>
          <w:sz w:val="16"/>
          <w:szCs w:val="16"/>
        </w:rPr>
        <w:t>Sotiri</w:t>
      </w:r>
      <w:proofErr w:type="spellEnd"/>
      <w:r w:rsidRPr="00A838B0">
        <w:rPr>
          <w:rFonts w:ascii="Calibri" w:hAnsi="Calibri" w:cs="Arial"/>
          <w:sz w:val="16"/>
          <w:szCs w:val="16"/>
        </w:rPr>
        <w:t xml:space="preserve">, M, McGee, P, &amp; Baldry, E (2012) </w:t>
      </w:r>
      <w:r w:rsidRPr="00A838B0">
        <w:rPr>
          <w:rFonts w:ascii="Calibri" w:hAnsi="Calibri" w:cs="Arial"/>
          <w:i/>
          <w:sz w:val="16"/>
          <w:szCs w:val="16"/>
        </w:rPr>
        <w:t>No End in Sight. The Imprisonment and Indefinite Detention of Indigenous Australians with a Cognitive Impairment</w:t>
      </w:r>
      <w:r w:rsidRPr="00A838B0">
        <w:rPr>
          <w:rFonts w:ascii="Calibri" w:hAnsi="Calibri" w:cs="Arial"/>
          <w:sz w:val="16"/>
          <w:szCs w:val="16"/>
        </w:rPr>
        <w:t xml:space="preserve">. Sydney: University of NSW. See also Eileen </w:t>
      </w:r>
      <w:proofErr w:type="spellStart"/>
      <w:r w:rsidRPr="00A838B0">
        <w:rPr>
          <w:rFonts w:ascii="Calibri" w:hAnsi="Calibri" w:cs="Arial"/>
          <w:sz w:val="16"/>
          <w:szCs w:val="16"/>
        </w:rPr>
        <w:t>Baldry</w:t>
      </w:r>
      <w:proofErr w:type="spellEnd"/>
      <w:r w:rsidRPr="00A838B0">
        <w:rPr>
          <w:rFonts w:ascii="Calibri" w:hAnsi="Calibri" w:cs="Arial"/>
          <w:sz w:val="16"/>
          <w:szCs w:val="16"/>
        </w:rPr>
        <w:t xml:space="preserve">, Ruth </w:t>
      </w:r>
      <w:proofErr w:type="spellStart"/>
      <w:r w:rsidRPr="00A838B0">
        <w:rPr>
          <w:rFonts w:ascii="Calibri" w:hAnsi="Calibri" w:cs="Arial"/>
          <w:sz w:val="16"/>
          <w:szCs w:val="16"/>
        </w:rPr>
        <w:t>McCausland</w:t>
      </w:r>
      <w:proofErr w:type="spellEnd"/>
      <w:r w:rsidRPr="00A838B0">
        <w:rPr>
          <w:rFonts w:ascii="Calibri" w:hAnsi="Calibri" w:cs="Arial"/>
          <w:sz w:val="16"/>
          <w:szCs w:val="16"/>
        </w:rPr>
        <w:t xml:space="preserve">, Leanne Dowse, Elizabeth </w:t>
      </w:r>
      <w:proofErr w:type="spellStart"/>
      <w:r w:rsidRPr="00A838B0">
        <w:rPr>
          <w:rFonts w:ascii="Calibri" w:hAnsi="Calibri" w:cs="Arial"/>
          <w:sz w:val="16"/>
          <w:szCs w:val="16"/>
        </w:rPr>
        <w:t>McEntyre</w:t>
      </w:r>
      <w:proofErr w:type="spellEnd"/>
      <w:r w:rsidRPr="00A838B0">
        <w:rPr>
          <w:rFonts w:ascii="Calibri" w:hAnsi="Calibri" w:cs="Arial"/>
          <w:sz w:val="16"/>
          <w:szCs w:val="16"/>
        </w:rPr>
        <w:t xml:space="preserve">, </w:t>
      </w:r>
      <w:r w:rsidRPr="00A838B0">
        <w:rPr>
          <w:rFonts w:ascii="Calibri" w:hAnsi="Calibri" w:cs="Arial"/>
          <w:i/>
          <w:sz w:val="16"/>
          <w:szCs w:val="16"/>
        </w:rPr>
        <w:t xml:space="preserve">A predictable and preventable path: Aboriginal people with mental and cognitive disabilities in the criminal justice system, </w:t>
      </w:r>
      <w:r w:rsidRPr="00A838B0">
        <w:rPr>
          <w:rFonts w:ascii="Calibri" w:hAnsi="Calibri" w:cs="Arial"/>
          <w:sz w:val="16"/>
          <w:szCs w:val="16"/>
        </w:rPr>
        <w:t xml:space="preserve">UNSW, October 2015, 104, available at </w:t>
      </w:r>
      <w:hyperlink r:id="rId3" w:history="1">
        <w:r w:rsidRPr="00A838B0">
          <w:rPr>
            <w:rStyle w:val="Hyperlink"/>
            <w:rFonts w:ascii="Calibri" w:hAnsi="Calibri" w:cs="Arial"/>
            <w:sz w:val="16"/>
            <w:szCs w:val="16"/>
          </w:rPr>
          <w:t>https://www.mhdcd.unsw.edu.au/sites/www.mhdcd.unsw.edu.au/files/u18/pdf/a_predictable_and_preventable_path_2nov15.pdf</w:t>
        </w:r>
      </w:hyperlink>
      <w:r w:rsidRPr="00A838B0">
        <w:rPr>
          <w:rFonts w:ascii="Calibri" w:hAnsi="Calibri" w:cs="Arial"/>
          <w:sz w:val="16"/>
          <w:szCs w:val="16"/>
        </w:rPr>
        <w:t xml:space="preserve"> (accessed 31 July 2017).</w:t>
      </w:r>
    </w:p>
  </w:endnote>
  <w:endnote w:id="6">
    <w:p w14:paraId="13BE8836" w14:textId="77777777" w:rsidR="00A838B0" w:rsidRPr="00A838B0" w:rsidRDefault="00A838B0" w:rsidP="000107BF">
      <w:pPr>
        <w:pStyle w:val="EndnoteText"/>
        <w:rPr>
          <w:rFonts w:ascii="Calibri" w:hAnsi="Calibri"/>
          <w:sz w:val="16"/>
          <w:szCs w:val="16"/>
        </w:rPr>
      </w:pPr>
      <w:r w:rsidRPr="00A838B0">
        <w:rPr>
          <w:rStyle w:val="EndnoteReference"/>
          <w:rFonts w:ascii="Calibri" w:hAnsi="Calibri"/>
          <w:sz w:val="16"/>
          <w:szCs w:val="16"/>
        </w:rPr>
        <w:endnoteRef/>
      </w:r>
      <w:r w:rsidRPr="00A838B0">
        <w:rPr>
          <w:rFonts w:ascii="Calibri" w:hAnsi="Calibri"/>
          <w:sz w:val="16"/>
          <w:szCs w:val="16"/>
        </w:rPr>
        <w:t xml:space="preserve"> KA, KB, KC and KD v Commonwealth (Department of Prime Minister and Cabinet, Department of Social Services, Attorney-General’s Department) [2014] </w:t>
      </w:r>
      <w:proofErr w:type="spellStart"/>
      <w:r w:rsidRPr="00A838B0">
        <w:rPr>
          <w:rFonts w:ascii="Calibri" w:hAnsi="Calibri"/>
          <w:sz w:val="16"/>
          <w:szCs w:val="16"/>
        </w:rPr>
        <w:t>AusHRC</w:t>
      </w:r>
      <w:proofErr w:type="spellEnd"/>
      <w:r w:rsidRPr="00A838B0">
        <w:rPr>
          <w:rFonts w:ascii="Calibri" w:hAnsi="Calibri"/>
          <w:sz w:val="16"/>
          <w:szCs w:val="16"/>
        </w:rPr>
        <w:t xml:space="preserve"> 80</w:t>
      </w:r>
    </w:p>
  </w:endnote>
  <w:endnote w:id="7">
    <w:p w14:paraId="0F7C2F5A" w14:textId="77777777" w:rsidR="00A838B0" w:rsidRPr="00A838B0" w:rsidRDefault="00A838B0" w:rsidP="000107BF">
      <w:pPr>
        <w:pStyle w:val="EndnoteText"/>
        <w:rPr>
          <w:rFonts w:ascii="Calibri" w:hAnsi="Calibri"/>
          <w:sz w:val="16"/>
          <w:szCs w:val="16"/>
        </w:rPr>
      </w:pPr>
      <w:r w:rsidRPr="00A838B0">
        <w:rPr>
          <w:rStyle w:val="EndnoteReference"/>
          <w:rFonts w:ascii="Calibri" w:hAnsi="Calibri"/>
          <w:sz w:val="16"/>
          <w:szCs w:val="16"/>
        </w:rPr>
        <w:endnoteRef/>
      </w:r>
      <w:r w:rsidRPr="00A838B0">
        <w:rPr>
          <w:rFonts w:ascii="Calibri" w:hAnsi="Calibri"/>
          <w:sz w:val="16"/>
          <w:szCs w:val="16"/>
        </w:rPr>
        <w:t xml:space="preserve"> Australian Law Reform Commission, </w:t>
      </w:r>
      <w:r w:rsidRPr="00A838B0">
        <w:rPr>
          <w:rFonts w:ascii="Calibri" w:hAnsi="Calibri"/>
          <w:i/>
          <w:sz w:val="16"/>
          <w:szCs w:val="16"/>
        </w:rPr>
        <w:t>Equality, Capacity and Disability in Commonwealth Laws</w:t>
      </w:r>
      <w:r w:rsidRPr="00A838B0">
        <w:rPr>
          <w:rFonts w:ascii="Calibri" w:hAnsi="Calibri"/>
          <w:sz w:val="16"/>
          <w:szCs w:val="16"/>
        </w:rPr>
        <w:t>, ALRC Report 124 (2014).</w:t>
      </w:r>
    </w:p>
  </w:endnote>
  <w:endnote w:id="8">
    <w:p w14:paraId="2A3137DC" w14:textId="77777777" w:rsidR="00A838B0" w:rsidRPr="00A838B0" w:rsidRDefault="00A838B0" w:rsidP="000107BF">
      <w:pPr>
        <w:pStyle w:val="EndnoteText"/>
        <w:tabs>
          <w:tab w:val="right" w:pos="0"/>
        </w:tabs>
        <w:rPr>
          <w:rFonts w:ascii="Calibri" w:hAnsi="Calibri"/>
          <w:sz w:val="16"/>
          <w:szCs w:val="16"/>
        </w:rPr>
      </w:pPr>
      <w:r w:rsidRPr="00A838B0">
        <w:rPr>
          <w:rStyle w:val="EndnoteReference"/>
          <w:rFonts w:ascii="Calibri" w:hAnsi="Calibri" w:cs="Arial"/>
          <w:sz w:val="16"/>
          <w:szCs w:val="16"/>
        </w:rPr>
        <w:endnoteRef/>
      </w:r>
      <w:r w:rsidRPr="00A838B0">
        <w:rPr>
          <w:rFonts w:ascii="Calibri" w:hAnsi="Calibri" w:cs="Arial"/>
          <w:sz w:val="16"/>
          <w:szCs w:val="16"/>
        </w:rPr>
        <w:t xml:space="preserve"> Community Affairs References Committee, ‘Indefinite Detention of people with cognitive and psychiatric impairment in Australia’, Commonwealth of Australia, 2016, </w:t>
      </w:r>
      <w:hyperlink r:id="rId4" w:history="1">
        <w:r w:rsidRPr="00A838B0">
          <w:rPr>
            <w:rStyle w:val="Hyperlink"/>
            <w:rFonts w:ascii="Calibri" w:hAnsi="Calibri"/>
            <w:color w:val="000000"/>
            <w:sz w:val="16"/>
            <w:szCs w:val="16"/>
          </w:rPr>
          <w:t>http://www.aph.gov.au/Parliamentary_Business/Committees/Senate/Community_Affairs/IndefiniteDetention45/Report</w:t>
        </w:r>
      </w:hyperlink>
      <w:r w:rsidRPr="00A838B0">
        <w:rPr>
          <w:rFonts w:ascii="Calibri" w:hAnsi="Calibri"/>
          <w:sz w:val="16"/>
          <w:szCs w:val="16"/>
        </w:rPr>
        <w:t xml:space="preserve"> </w:t>
      </w:r>
    </w:p>
  </w:endnote>
  <w:endnote w:id="9">
    <w:p w14:paraId="3D38B42F" w14:textId="77777777" w:rsidR="00A838B0" w:rsidRPr="00A838B0" w:rsidRDefault="00A838B0" w:rsidP="000107BF">
      <w:pPr>
        <w:pStyle w:val="EndnoteText"/>
        <w:tabs>
          <w:tab w:val="right" w:pos="0"/>
        </w:tabs>
        <w:rPr>
          <w:rFonts w:ascii="Calibri" w:hAnsi="Calibri" w:cs="Arial"/>
          <w:sz w:val="16"/>
          <w:szCs w:val="16"/>
        </w:rPr>
      </w:pPr>
      <w:r w:rsidRPr="00A838B0">
        <w:rPr>
          <w:rStyle w:val="EndnoteReference"/>
          <w:rFonts w:ascii="Calibri" w:hAnsi="Calibri" w:cs="Arial"/>
          <w:sz w:val="16"/>
          <w:szCs w:val="16"/>
        </w:rPr>
        <w:endnoteRef/>
      </w:r>
      <w:r w:rsidRPr="00A838B0">
        <w:rPr>
          <w:rFonts w:ascii="Calibri" w:hAnsi="Calibri" w:cs="Arial"/>
          <w:sz w:val="16"/>
          <w:szCs w:val="16"/>
        </w:rPr>
        <w:t xml:space="preserve"> ‘Universal Periodic Review - Australia’s opening statement’, delivered to the UPR Working Group for Australian’s second UPR, 9 November 2015, </w:t>
      </w:r>
      <w:hyperlink r:id="rId5" w:history="1">
        <w:r w:rsidRPr="00A838B0">
          <w:rPr>
            <w:rStyle w:val="Hyperlink"/>
            <w:rFonts w:ascii="Calibri" w:hAnsi="Calibri" w:cs="Arial"/>
            <w:sz w:val="16"/>
            <w:szCs w:val="16"/>
          </w:rPr>
          <w:t>https://www.ag.gov.au/RightsAndProtections/HumanRights/United-Nations-Human-Rights-Reporting/Pages/Australias-Universal-Periodic-Review.aspx</w:t>
        </w:r>
      </w:hyperlink>
      <w:r w:rsidRPr="00A838B0">
        <w:rPr>
          <w:rFonts w:ascii="Calibri" w:hAnsi="Calibri" w:cs="Arial"/>
          <w:sz w:val="16"/>
          <w:szCs w:val="16"/>
        </w:rPr>
        <w:t xml:space="preserve"> </w:t>
      </w:r>
    </w:p>
  </w:endnote>
  <w:endnote w:id="10">
    <w:p w14:paraId="436550EE" w14:textId="77777777" w:rsidR="00A838B0" w:rsidRPr="00A838B0" w:rsidRDefault="00A838B0" w:rsidP="000107BF">
      <w:pPr>
        <w:pStyle w:val="EndnoteText"/>
        <w:rPr>
          <w:rFonts w:ascii="Calibri" w:hAnsi="Calibri" w:cs="Arial"/>
          <w:sz w:val="16"/>
          <w:szCs w:val="16"/>
        </w:rPr>
      </w:pPr>
      <w:r w:rsidRPr="00A838B0">
        <w:rPr>
          <w:rStyle w:val="EndnoteReference"/>
          <w:rFonts w:ascii="Calibri" w:hAnsi="Calibri" w:cs="Arial"/>
          <w:sz w:val="16"/>
          <w:szCs w:val="16"/>
        </w:rPr>
        <w:endnoteRef/>
      </w:r>
      <w:r w:rsidRPr="00A838B0">
        <w:rPr>
          <w:rFonts w:ascii="Calibri" w:hAnsi="Calibri" w:cs="Arial"/>
          <w:sz w:val="16"/>
          <w:szCs w:val="16"/>
        </w:rPr>
        <w:t xml:space="preserve"> Committee on Economic, Social and Cultural Rights, ‘List of issues in relation to the fifth periodic report of Australia, Addendum, Replies of Australia to the list of issues, 61st </w:t>
      </w:r>
      <w:proofErr w:type="spellStart"/>
      <w:r w:rsidRPr="00A838B0">
        <w:rPr>
          <w:rFonts w:ascii="Calibri" w:hAnsi="Calibri" w:cs="Arial"/>
          <w:sz w:val="16"/>
          <w:szCs w:val="16"/>
        </w:rPr>
        <w:t>sess</w:t>
      </w:r>
      <w:proofErr w:type="spellEnd"/>
      <w:r w:rsidRPr="00A838B0">
        <w:rPr>
          <w:rFonts w:ascii="Calibri" w:hAnsi="Calibri" w:cs="Arial"/>
          <w:sz w:val="16"/>
          <w:szCs w:val="16"/>
        </w:rPr>
        <w:t>, UN Doc E/C.12/AUS/Q/5/Add.1, 29 May-23 June2017, paras 133 - 134.</w:t>
      </w:r>
    </w:p>
  </w:endnote>
  <w:endnote w:id="11">
    <w:p w14:paraId="20DE9CD8" w14:textId="77777777" w:rsidR="00A838B0" w:rsidRPr="00A838B0" w:rsidRDefault="00A838B0" w:rsidP="000107BF">
      <w:pPr>
        <w:pStyle w:val="EndnoteText"/>
        <w:rPr>
          <w:rFonts w:ascii="Calibri" w:hAnsi="Calibri"/>
          <w:sz w:val="16"/>
          <w:szCs w:val="16"/>
        </w:rPr>
      </w:pPr>
      <w:r w:rsidRPr="00A838B0">
        <w:rPr>
          <w:rStyle w:val="EndnoteReference"/>
          <w:rFonts w:ascii="Calibri" w:hAnsi="Calibri"/>
          <w:sz w:val="16"/>
          <w:szCs w:val="16"/>
        </w:rPr>
        <w:endnoteRef/>
      </w:r>
      <w:r w:rsidRPr="00A838B0">
        <w:rPr>
          <w:rFonts w:ascii="Calibri" w:hAnsi="Calibri"/>
          <w:sz w:val="16"/>
          <w:szCs w:val="16"/>
        </w:rPr>
        <w:t xml:space="preserve"> Committee on the Rights of Persons with Disabilities, Concluding observations on the initial report of Australia, adopted by the Committee at its tenth session (2-13 September 2013), UN Doc CRPD/C/AUS/CO/1, paras 31-32.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EC3B1" w14:textId="77777777" w:rsidR="00A50622" w:rsidRDefault="00A50622" w:rsidP="00C43F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F0FC61" w14:textId="77777777" w:rsidR="00A50622" w:rsidRDefault="00A50622" w:rsidP="00A5062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50175" w14:textId="77777777" w:rsidR="00A50622" w:rsidRPr="00C0570B" w:rsidRDefault="00A50622" w:rsidP="00C43FC6">
    <w:pPr>
      <w:pStyle w:val="Footer"/>
      <w:framePr w:wrap="around" w:vAnchor="text" w:hAnchor="margin" w:xAlign="right" w:y="1"/>
      <w:rPr>
        <w:rStyle w:val="PageNumber"/>
        <w:rFonts w:ascii="Calibri" w:hAnsi="Calibri"/>
        <w:sz w:val="20"/>
        <w:szCs w:val="20"/>
      </w:rPr>
    </w:pPr>
    <w:r w:rsidRPr="00C0570B">
      <w:rPr>
        <w:rStyle w:val="PageNumber"/>
        <w:rFonts w:ascii="Calibri" w:hAnsi="Calibri"/>
        <w:sz w:val="20"/>
        <w:szCs w:val="20"/>
      </w:rPr>
      <w:fldChar w:fldCharType="begin"/>
    </w:r>
    <w:r w:rsidRPr="00C0570B">
      <w:rPr>
        <w:rStyle w:val="PageNumber"/>
        <w:rFonts w:ascii="Calibri" w:hAnsi="Calibri"/>
        <w:sz w:val="20"/>
        <w:szCs w:val="20"/>
      </w:rPr>
      <w:instrText xml:space="preserve">PAGE  </w:instrText>
    </w:r>
    <w:r w:rsidRPr="00C0570B">
      <w:rPr>
        <w:rStyle w:val="PageNumber"/>
        <w:rFonts w:ascii="Calibri" w:hAnsi="Calibri"/>
        <w:sz w:val="20"/>
        <w:szCs w:val="20"/>
      </w:rPr>
      <w:fldChar w:fldCharType="separate"/>
    </w:r>
    <w:r w:rsidR="005105E1">
      <w:rPr>
        <w:rStyle w:val="PageNumber"/>
        <w:rFonts w:ascii="Calibri" w:hAnsi="Calibri"/>
        <w:noProof/>
        <w:sz w:val="20"/>
        <w:szCs w:val="20"/>
      </w:rPr>
      <w:t>2</w:t>
    </w:r>
    <w:r w:rsidRPr="00C0570B">
      <w:rPr>
        <w:rStyle w:val="PageNumber"/>
        <w:rFonts w:ascii="Calibri" w:hAnsi="Calibri"/>
        <w:sz w:val="20"/>
        <w:szCs w:val="20"/>
      </w:rPr>
      <w:fldChar w:fldCharType="end"/>
    </w:r>
  </w:p>
  <w:p w14:paraId="1EBA88F6" w14:textId="77777777" w:rsidR="00A50622" w:rsidRDefault="00A50622" w:rsidP="00A5062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6A224B" w14:textId="77777777" w:rsidR="00541AD5" w:rsidRDefault="00541AD5" w:rsidP="000107BF">
      <w:r>
        <w:separator/>
      </w:r>
    </w:p>
  </w:footnote>
  <w:footnote w:type="continuationSeparator" w:id="0">
    <w:p w14:paraId="772EEC4D" w14:textId="77777777" w:rsidR="00541AD5" w:rsidRDefault="00541AD5" w:rsidP="000107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2CFE1" w14:textId="77777777" w:rsidR="00541AD5" w:rsidRPr="00E414A6" w:rsidRDefault="00541AD5" w:rsidP="000107BF">
    <w:pPr>
      <w:pStyle w:val="Header"/>
      <w:rPr>
        <w:rFonts w:ascii="Calibri" w:hAnsi="Calibri"/>
        <w:b/>
        <w:color w:val="2E74B5" w:themeColor="accent1" w:themeShade="BF"/>
        <w:sz w:val="36"/>
        <w:szCs w:val="36"/>
        <w:lang w:val="en-AU"/>
      </w:rPr>
    </w:pPr>
    <w:r w:rsidRPr="00E414A6">
      <w:rPr>
        <w:rFonts w:ascii="Calibri" w:hAnsi="Calibri"/>
        <w:noProof/>
        <w:color w:val="2E74B5" w:themeColor="accent1" w:themeShade="BF"/>
        <w:sz w:val="36"/>
        <w:szCs w:val="36"/>
        <w:lang w:val="en-AU" w:eastAsia="en-AU"/>
      </w:rPr>
      <w:drawing>
        <wp:anchor distT="0" distB="0" distL="114300" distR="114300" simplePos="0" relativeHeight="251659264" behindDoc="1" locked="0" layoutInCell="1" allowOverlap="1" wp14:anchorId="2C90E97F" wp14:editId="4E5A7AB0">
          <wp:simplePos x="0" y="0"/>
          <wp:positionH relativeFrom="column">
            <wp:posOffset>3810000</wp:posOffset>
          </wp:positionH>
          <wp:positionV relativeFrom="paragraph">
            <wp:posOffset>-281940</wp:posOffset>
          </wp:positionV>
          <wp:extent cx="1905000" cy="752475"/>
          <wp:effectExtent l="0" t="0" r="0" b="9525"/>
          <wp:wrapTight wrapText="bothSides">
            <wp:wrapPolygon edited="0">
              <wp:start x="0" y="0"/>
              <wp:lineTo x="0" y="21327"/>
              <wp:lineTo x="21384" y="21327"/>
              <wp:lineTo x="2138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a DPOAustralia_Logo_Email_200px.jpg"/>
                  <pic:cNvPicPr/>
                </pic:nvPicPr>
                <pic:blipFill>
                  <a:blip r:embed="rId1">
                    <a:extLst>
                      <a:ext uri="{28A0092B-C50C-407E-A947-70E740481C1C}">
                        <a14:useLocalDpi xmlns:a14="http://schemas.microsoft.com/office/drawing/2010/main" val="0"/>
                      </a:ext>
                    </a:extLst>
                  </a:blip>
                  <a:stretch>
                    <a:fillRect/>
                  </a:stretch>
                </pic:blipFill>
                <pic:spPr>
                  <a:xfrm>
                    <a:off x="0" y="0"/>
                    <a:ext cx="1905000" cy="752475"/>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b/>
        <w:color w:val="2E74B5" w:themeColor="accent1" w:themeShade="BF"/>
        <w:sz w:val="36"/>
        <w:szCs w:val="36"/>
        <w:lang w:val="en-AU"/>
      </w:rPr>
      <w:t xml:space="preserve">List of Issues for </w:t>
    </w:r>
    <w:r w:rsidRPr="00E414A6">
      <w:rPr>
        <w:rFonts w:ascii="Calibri" w:hAnsi="Calibri"/>
        <w:b/>
        <w:color w:val="2E74B5" w:themeColor="accent1" w:themeShade="BF"/>
        <w:sz w:val="36"/>
        <w:szCs w:val="36"/>
        <w:lang w:val="en-AU"/>
      </w:rPr>
      <w:t>Australia</w:t>
    </w:r>
  </w:p>
  <w:p w14:paraId="406DA99A" w14:textId="77777777" w:rsidR="00541AD5" w:rsidRPr="000107BF" w:rsidRDefault="00541AD5" w:rsidP="000107BF">
    <w:pPr>
      <w:pStyle w:val="Header"/>
      <w:rPr>
        <w:rFonts w:ascii="Calibri" w:hAnsi="Calibri"/>
        <w:color w:val="2E74B5" w:themeColor="accent1" w:themeShade="BF"/>
        <w:sz w:val="36"/>
        <w:szCs w:val="36"/>
      </w:rPr>
    </w:pPr>
    <w:r>
      <w:rPr>
        <w:rFonts w:ascii="Calibri" w:hAnsi="Calibri"/>
        <w:b/>
        <w:color w:val="2E74B5" w:themeColor="accent1" w:themeShade="BF"/>
        <w:sz w:val="36"/>
        <w:szCs w:val="36"/>
        <w:lang w:val="en-AU"/>
      </w:rPr>
      <w:t xml:space="preserve">CRPD </w:t>
    </w:r>
    <w:r w:rsidRPr="00E414A6">
      <w:rPr>
        <w:rFonts w:ascii="Calibri" w:hAnsi="Calibri"/>
        <w:b/>
        <w:color w:val="2E74B5" w:themeColor="accent1" w:themeShade="BF"/>
        <w:sz w:val="36"/>
        <w:szCs w:val="36"/>
        <w:lang w:val="en-AU"/>
      </w:rPr>
      <w:t>Fact Sheet</w:t>
    </w:r>
    <w:r w:rsidRPr="00E414A6">
      <w:rPr>
        <w:rFonts w:ascii="Calibri" w:hAnsi="Calibri"/>
        <w:b/>
        <w:noProof/>
        <w:color w:val="2E74B5" w:themeColor="accent1" w:themeShade="BF"/>
        <w:sz w:val="36"/>
        <w:szCs w:val="3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AB0992"/>
    <w:multiLevelType w:val="multilevel"/>
    <w:tmpl w:val="AADC6E82"/>
    <w:lvl w:ilvl="0">
      <w:start w:val="1"/>
      <w:numFmt w:val="decimal"/>
      <w:pStyle w:val="PFNumLevel1"/>
      <w:lvlText w:val="%1"/>
      <w:lvlJc w:val="left"/>
      <w:pPr>
        <w:tabs>
          <w:tab w:val="num" w:pos="924"/>
        </w:tabs>
        <w:ind w:left="924" w:hanging="924"/>
      </w:pPr>
      <w:rPr>
        <w:rFonts w:hint="default"/>
      </w:rPr>
    </w:lvl>
    <w:lvl w:ilvl="1">
      <w:start w:val="1"/>
      <w:numFmt w:val="decimal"/>
      <w:lvlText w:val="%2."/>
      <w:lvlJc w:val="left"/>
      <w:pPr>
        <w:tabs>
          <w:tab w:val="num" w:pos="1848"/>
        </w:tabs>
        <w:ind w:left="1848" w:hanging="924"/>
      </w:pPr>
      <w:rPr>
        <w:rFonts w:ascii="Arial" w:eastAsia="Times New Roman" w:hAnsi="Arial" w:cs="Times New Roman"/>
      </w:rPr>
    </w:lvl>
    <w:lvl w:ilvl="2">
      <w:start w:val="1"/>
      <w:numFmt w:val="decimal"/>
      <w:lvlText w:val="%1.%2.%3"/>
      <w:lvlJc w:val="left"/>
      <w:pPr>
        <w:tabs>
          <w:tab w:val="num" w:pos="2773"/>
        </w:tabs>
        <w:ind w:left="2773" w:hanging="925"/>
      </w:pPr>
      <w:rPr>
        <w:rFonts w:hint="default"/>
      </w:rPr>
    </w:lvl>
    <w:lvl w:ilvl="3">
      <w:start w:val="1"/>
      <w:numFmt w:val="lowerLetter"/>
      <w:pStyle w:val="PFNumLevel4"/>
      <w:lvlText w:val="(%4)"/>
      <w:lvlJc w:val="left"/>
      <w:pPr>
        <w:tabs>
          <w:tab w:val="num" w:pos="3697"/>
        </w:tabs>
        <w:ind w:left="3697" w:hanging="924"/>
      </w:pPr>
      <w:rPr>
        <w:rFonts w:ascii="Calibri" w:hAnsi="Calibri" w:hint="default"/>
        <w:b w:val="0"/>
        <w:bCs w:val="0"/>
        <w:i w:val="0"/>
        <w:iCs w:val="0"/>
        <w:caps w:val="0"/>
        <w:smallCaps w:val="0"/>
        <w:strike w:val="0"/>
        <w:dstrike w:val="0"/>
        <w:color w:val="000000"/>
        <w:spacing w:val="0"/>
        <w:w w:val="100"/>
        <w:kern w:val="28"/>
        <w:position w:val="0"/>
        <w:sz w:val="22"/>
        <w:u w:val="none"/>
        <w:effect w:val="none"/>
        <w:bdr w:val="none" w:sz="0" w:space="0" w:color="auto"/>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848"/>
        </w:tabs>
        <w:ind w:left="1848" w:hanging="924"/>
      </w:pPr>
      <w:rPr>
        <w:rFonts w:hint="default"/>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1848" w:hanging="1848"/>
      </w:pPr>
      <w:rPr>
        <w:rFonts w:hint="default"/>
        <w:b w:val="0"/>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7BF"/>
    <w:rsid w:val="000107BF"/>
    <w:rsid w:val="000B2BC4"/>
    <w:rsid w:val="00170AAC"/>
    <w:rsid w:val="001E38ED"/>
    <w:rsid w:val="00213300"/>
    <w:rsid w:val="0029479C"/>
    <w:rsid w:val="002B1892"/>
    <w:rsid w:val="00310C04"/>
    <w:rsid w:val="003509F1"/>
    <w:rsid w:val="003671A8"/>
    <w:rsid w:val="004B2470"/>
    <w:rsid w:val="005105E1"/>
    <w:rsid w:val="00541AD5"/>
    <w:rsid w:val="008B474D"/>
    <w:rsid w:val="00951815"/>
    <w:rsid w:val="00A50622"/>
    <w:rsid w:val="00A838B0"/>
    <w:rsid w:val="00B069D3"/>
    <w:rsid w:val="00C0570B"/>
    <w:rsid w:val="00CB09BA"/>
    <w:rsid w:val="00F934C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DD50039"/>
  <w15:docId w15:val="{3D82B378-5202-46C0-B249-7CEF38152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107BF"/>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07BF"/>
    <w:pPr>
      <w:tabs>
        <w:tab w:val="center" w:pos="4513"/>
        <w:tab w:val="right" w:pos="9026"/>
      </w:tabs>
    </w:pPr>
  </w:style>
  <w:style w:type="character" w:customStyle="1" w:styleId="HeaderChar">
    <w:name w:val="Header Char"/>
    <w:basedOn w:val="DefaultParagraphFont"/>
    <w:link w:val="Header"/>
    <w:uiPriority w:val="99"/>
    <w:rsid w:val="000107BF"/>
    <w:rPr>
      <w:sz w:val="24"/>
    </w:rPr>
  </w:style>
  <w:style w:type="paragraph" w:styleId="Footer">
    <w:name w:val="footer"/>
    <w:basedOn w:val="Normal"/>
    <w:link w:val="FooterChar"/>
    <w:uiPriority w:val="99"/>
    <w:unhideWhenUsed/>
    <w:rsid w:val="000107BF"/>
    <w:pPr>
      <w:tabs>
        <w:tab w:val="center" w:pos="4513"/>
        <w:tab w:val="right" w:pos="9026"/>
      </w:tabs>
    </w:pPr>
  </w:style>
  <w:style w:type="character" w:customStyle="1" w:styleId="FooterChar">
    <w:name w:val="Footer Char"/>
    <w:basedOn w:val="DefaultParagraphFont"/>
    <w:link w:val="Footer"/>
    <w:uiPriority w:val="99"/>
    <w:rsid w:val="000107BF"/>
    <w:rPr>
      <w:sz w:val="24"/>
    </w:rPr>
  </w:style>
  <w:style w:type="character" w:styleId="Hyperlink">
    <w:name w:val="Hyperlink"/>
    <w:uiPriority w:val="99"/>
    <w:rsid w:val="000107BF"/>
    <w:rPr>
      <w:u w:val="single"/>
    </w:rPr>
  </w:style>
  <w:style w:type="paragraph" w:styleId="FootnoteText">
    <w:name w:val="footnote text"/>
    <w:aliases w:val="Footnote Text Char Char Char Char Char Char,Footnote Text Char Char Char Char Char Char Char Char Char Char Char Char Char Char Char Char Char,Footnote Text Char Char Char Char Char Char Char Char Char Char Char Char Char Char Char Char"/>
    <w:basedOn w:val="Normal"/>
    <w:link w:val="FootnoteTextChar"/>
    <w:uiPriority w:val="99"/>
    <w:unhideWhenUsed/>
    <w:rsid w:val="000107B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Pr>
      <w:rFonts w:ascii="Calibri" w:eastAsia="Calibri" w:hAnsi="Calibri"/>
      <w:sz w:val="20"/>
      <w:szCs w:val="20"/>
      <w:bdr w:val="none" w:sz="0" w:space="0" w:color="auto"/>
      <w:lang w:val="en-AU"/>
    </w:rPr>
  </w:style>
  <w:style w:type="character" w:customStyle="1" w:styleId="FootnoteTextChar">
    <w:name w:val="Footnote Text Char"/>
    <w:aliases w:val="Footnote Text Char Char Char Char Char Char Char,Footnote Text Char Char Char Char Char Char Char Char Char Char Char Char Char Char Char Char Char Char"/>
    <w:basedOn w:val="DefaultParagraphFont"/>
    <w:link w:val="FootnoteText"/>
    <w:uiPriority w:val="99"/>
    <w:rsid w:val="000107BF"/>
    <w:rPr>
      <w:rFonts w:ascii="Calibri" w:eastAsia="Calibri" w:hAnsi="Calibri" w:cs="Times New Roman"/>
      <w:sz w:val="20"/>
      <w:szCs w:val="20"/>
    </w:rPr>
  </w:style>
  <w:style w:type="character" w:styleId="FootnoteReference">
    <w:name w:val="footnote reference"/>
    <w:aliases w:val="Footnotes refss,Footnote number,Footnote,Ref,de nota al pie,opcalrc,callout,NO,4_G Char Char Char Char,Footnotes refss Char Char Char Char,ftref Char Char Char Char,BVI fnr Char Char Char Char,BVI fnr Car Car Char Char Char Char,4_G,f"/>
    <w:uiPriority w:val="99"/>
    <w:qFormat/>
    <w:rsid w:val="000107BF"/>
    <w:rPr>
      <w:vertAlign w:val="superscript"/>
    </w:rPr>
  </w:style>
  <w:style w:type="paragraph" w:customStyle="1" w:styleId="PFNumLevel4">
    <w:name w:val="PF (Num) Level 4"/>
    <w:basedOn w:val="Normal"/>
    <w:rsid w:val="000107BF"/>
    <w:pPr>
      <w:numPr>
        <w:ilvl w:val="3"/>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3697"/>
      </w:tabs>
      <w:spacing w:before="120" w:after="120" w:line="276" w:lineRule="auto"/>
      <w:ind w:left="1702" w:hanging="851"/>
    </w:pPr>
    <w:rPr>
      <w:rFonts w:ascii="Calibri" w:eastAsia="Times New Roman" w:hAnsi="Calibri" w:cs="Calibri"/>
      <w:color w:val="000000"/>
      <w:sz w:val="22"/>
      <w:szCs w:val="20"/>
      <w:bdr w:val="none" w:sz="0" w:space="0" w:color="auto"/>
      <w:lang w:val="en-AU"/>
    </w:rPr>
  </w:style>
  <w:style w:type="paragraph" w:customStyle="1" w:styleId="PFNumLevel1">
    <w:name w:val="PF (Num) Level 1"/>
    <w:basedOn w:val="Normal"/>
    <w:rsid w:val="000107BF"/>
    <w:pPr>
      <w:numPr>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924"/>
        <w:tab w:val="left" w:pos="851"/>
      </w:tabs>
      <w:spacing w:before="240" w:after="120" w:line="276" w:lineRule="auto"/>
      <w:ind w:left="851" w:hanging="851"/>
      <w:outlineLvl w:val="0"/>
    </w:pPr>
    <w:rPr>
      <w:rFonts w:ascii="Calibri" w:eastAsia="Times New Roman" w:hAnsi="Calibri" w:cs="Calibri"/>
      <w:color w:val="000000"/>
      <w:kern w:val="28"/>
      <w:sz w:val="22"/>
      <w:szCs w:val="20"/>
      <w:bdr w:val="none" w:sz="0" w:space="0" w:color="auto"/>
      <w:lang w:val="x-none" w:eastAsia="en-AU"/>
    </w:rPr>
  </w:style>
  <w:style w:type="paragraph" w:styleId="DocumentMap">
    <w:name w:val="Document Map"/>
    <w:basedOn w:val="Normal"/>
    <w:link w:val="DocumentMapChar"/>
    <w:uiPriority w:val="99"/>
    <w:semiHidden/>
    <w:unhideWhenUsed/>
    <w:rsid w:val="000B2BC4"/>
    <w:rPr>
      <w:rFonts w:ascii="Lucida Grande" w:hAnsi="Lucida Grande" w:cs="Lucida Grande"/>
    </w:rPr>
  </w:style>
  <w:style w:type="character" w:customStyle="1" w:styleId="DocumentMapChar">
    <w:name w:val="Document Map Char"/>
    <w:basedOn w:val="DefaultParagraphFont"/>
    <w:link w:val="DocumentMap"/>
    <w:uiPriority w:val="99"/>
    <w:semiHidden/>
    <w:rsid w:val="000B2BC4"/>
    <w:rPr>
      <w:rFonts w:ascii="Lucida Grande" w:eastAsia="Arial Unicode MS" w:hAnsi="Lucida Grande" w:cs="Lucida Grande"/>
      <w:sz w:val="24"/>
      <w:szCs w:val="24"/>
      <w:bdr w:val="nil"/>
      <w:lang w:val="en-US"/>
    </w:rPr>
  </w:style>
  <w:style w:type="paragraph" w:styleId="BalloonText">
    <w:name w:val="Balloon Text"/>
    <w:basedOn w:val="Normal"/>
    <w:link w:val="BalloonTextChar"/>
    <w:uiPriority w:val="99"/>
    <w:semiHidden/>
    <w:unhideWhenUsed/>
    <w:rsid w:val="00541A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1AD5"/>
    <w:rPr>
      <w:rFonts w:ascii="Lucida Grande" w:eastAsia="Arial Unicode MS" w:hAnsi="Lucida Grande" w:cs="Lucida Grande"/>
      <w:sz w:val="18"/>
      <w:szCs w:val="18"/>
      <w:bdr w:val="nil"/>
      <w:lang w:val="en-US"/>
    </w:rPr>
  </w:style>
  <w:style w:type="paragraph" w:styleId="EndnoteText">
    <w:name w:val="endnote text"/>
    <w:basedOn w:val="Normal"/>
    <w:link w:val="EndnoteTextChar"/>
    <w:uiPriority w:val="99"/>
    <w:semiHidden/>
    <w:unhideWhenUsed/>
    <w:rsid w:val="00A838B0"/>
  </w:style>
  <w:style w:type="character" w:customStyle="1" w:styleId="EndnoteTextChar">
    <w:name w:val="Endnote Text Char"/>
    <w:basedOn w:val="DefaultParagraphFont"/>
    <w:link w:val="EndnoteText"/>
    <w:uiPriority w:val="99"/>
    <w:semiHidden/>
    <w:rsid w:val="00A838B0"/>
    <w:rPr>
      <w:rFonts w:ascii="Times New Roman" w:eastAsia="Arial Unicode MS" w:hAnsi="Times New Roman" w:cs="Times New Roman"/>
      <w:sz w:val="24"/>
      <w:szCs w:val="24"/>
      <w:bdr w:val="nil"/>
      <w:lang w:val="en-US"/>
    </w:rPr>
  </w:style>
  <w:style w:type="character" w:styleId="EndnoteReference">
    <w:name w:val="endnote reference"/>
    <w:basedOn w:val="DefaultParagraphFont"/>
    <w:uiPriority w:val="99"/>
    <w:semiHidden/>
    <w:unhideWhenUsed/>
    <w:rsid w:val="00A838B0"/>
    <w:rPr>
      <w:vertAlign w:val="superscript"/>
    </w:rPr>
  </w:style>
  <w:style w:type="character" w:styleId="PageNumber">
    <w:name w:val="page number"/>
    <w:basedOn w:val="DefaultParagraphFont"/>
    <w:uiPriority w:val="99"/>
    <w:semiHidden/>
    <w:unhideWhenUsed/>
    <w:rsid w:val="00A506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www.mhdcd.unsw.edu.au/sites/www.mhdcd.unsw.edu.au/files/u18/pdf/a_predictable_and_preventable_path_2nov15.pdf" TargetMode="External"/><Relationship Id="rId2" Type="http://schemas.openxmlformats.org/officeDocument/2006/relationships/hyperlink" Target="http://fpdn.org.au/wp-content/uploads/2016/10/FPDN-Senate-Inquiry-Indefinite-Detention-Submission_Final.pdf" TargetMode="External"/><Relationship Id="rId1" Type="http://schemas.openxmlformats.org/officeDocument/2006/relationships/hyperlink" Target="https://www.humanrights.gov.au/sites/default/files/AHRC_Submission_on_indefinite_detention2016.pdf" TargetMode="External"/><Relationship Id="rId5" Type="http://schemas.openxmlformats.org/officeDocument/2006/relationships/hyperlink" Target="https://www.ag.gov.au/RightsAndProtections/HumanRights/United-Nations-Human-Rights-Reporting/Pages/Australias-Universal-Periodic-Review.aspx" TargetMode="External"/><Relationship Id="rId4" Type="http://schemas.openxmlformats.org/officeDocument/2006/relationships/hyperlink" Target="http://www.aph.gov.au/Parliamentary_Business/Committees/Senate/Community_Affairs/IndefiniteDetention45/Repor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5BED1-0B20-4EBB-87CC-A6AAC5627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633</Words>
  <Characters>3611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Therese Sands</dc:creator>
  <cp:keywords/>
  <dc:description/>
  <cp:lastModifiedBy>Therese Sands</cp:lastModifiedBy>
  <cp:revision>4</cp:revision>
  <dcterms:created xsi:type="dcterms:W3CDTF">2017-08-29T12:30:00Z</dcterms:created>
  <dcterms:modified xsi:type="dcterms:W3CDTF">2017-11-22T05:00:00Z</dcterms:modified>
</cp:coreProperties>
</file>