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778EB" w14:textId="77777777" w:rsidR="0029479C" w:rsidRDefault="0029479C"/>
    <w:p w14:paraId="54168757" w14:textId="77777777" w:rsidR="000107BF" w:rsidRDefault="000107BF"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lang w:val="en-AU"/>
        </w:rPr>
      </w:pPr>
    </w:p>
    <w:p w14:paraId="7F5308BE" w14:textId="77777777" w:rsidR="0089656C" w:rsidRDefault="00EA1857"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2E74B5" w:themeColor="accent1" w:themeShade="BF"/>
          <w:sz w:val="28"/>
          <w:szCs w:val="28"/>
          <w:lang w:val="en-AU"/>
        </w:rPr>
      </w:pPr>
      <w:r>
        <w:rPr>
          <w:rFonts w:ascii="Calibri" w:hAnsi="Calibri"/>
          <w:b/>
          <w:color w:val="2E74B5" w:themeColor="accent1" w:themeShade="BF"/>
          <w:sz w:val="28"/>
          <w:szCs w:val="28"/>
          <w:lang w:val="en-AU"/>
        </w:rPr>
        <w:t>ISSUE</w:t>
      </w:r>
      <w:r w:rsidR="000107BF" w:rsidRPr="000107BF">
        <w:rPr>
          <w:rFonts w:ascii="Calibri" w:hAnsi="Calibri"/>
          <w:b/>
          <w:color w:val="2E74B5" w:themeColor="accent1" w:themeShade="BF"/>
          <w:sz w:val="28"/>
          <w:szCs w:val="28"/>
          <w:lang w:val="en-AU"/>
        </w:rPr>
        <w:t>:</w:t>
      </w:r>
      <w:r>
        <w:rPr>
          <w:rFonts w:ascii="Calibri" w:hAnsi="Calibri"/>
          <w:b/>
          <w:color w:val="2E74B5" w:themeColor="accent1" w:themeShade="BF"/>
          <w:sz w:val="28"/>
          <w:szCs w:val="28"/>
          <w:lang w:val="en-AU"/>
        </w:rPr>
        <w:tab/>
      </w:r>
      <w:r w:rsidR="000107BF">
        <w:rPr>
          <w:rFonts w:ascii="Calibri" w:hAnsi="Calibri"/>
          <w:b/>
          <w:color w:val="2E74B5" w:themeColor="accent1" w:themeShade="BF"/>
          <w:sz w:val="28"/>
          <w:szCs w:val="28"/>
          <w:lang w:val="en-AU"/>
        </w:rPr>
        <w:t xml:space="preserve"> </w:t>
      </w:r>
      <w:r w:rsidR="0089656C" w:rsidRPr="00EA1857">
        <w:rPr>
          <w:rFonts w:ascii="Calibri" w:hAnsi="Calibri"/>
          <w:b/>
          <w:color w:val="2E74B5" w:themeColor="accent1" w:themeShade="BF"/>
          <w:sz w:val="28"/>
          <w:szCs w:val="28"/>
          <w:lang w:val="en-AU"/>
        </w:rPr>
        <w:t>Discrimination against migrants and refugees with disability</w:t>
      </w:r>
      <w:r w:rsidR="000107BF">
        <w:rPr>
          <w:rFonts w:ascii="Calibri" w:hAnsi="Calibri"/>
          <w:color w:val="2E74B5" w:themeColor="accent1" w:themeShade="BF"/>
          <w:sz w:val="28"/>
          <w:szCs w:val="28"/>
          <w:lang w:val="en-AU"/>
        </w:rPr>
        <w:t xml:space="preserve"> </w:t>
      </w:r>
    </w:p>
    <w:p w14:paraId="2F834FB2" w14:textId="77777777" w:rsidR="00EA1857" w:rsidRDefault="00EA1857"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2E74B5" w:themeColor="accent1" w:themeShade="BF"/>
          <w:lang w:val="en-AU"/>
        </w:rPr>
      </w:pPr>
    </w:p>
    <w:p w14:paraId="5B951E14" w14:textId="77777777" w:rsidR="000107BF" w:rsidRPr="00440136" w:rsidRDefault="000107BF"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2E74B5" w:themeColor="accent1" w:themeShade="BF"/>
          <w:sz w:val="20"/>
          <w:szCs w:val="20"/>
          <w:lang w:val="en-AU"/>
        </w:rPr>
      </w:pPr>
      <w:r w:rsidRPr="00440136">
        <w:rPr>
          <w:rFonts w:ascii="Calibri" w:hAnsi="Calibri"/>
          <w:color w:val="2E74B5" w:themeColor="accent1" w:themeShade="BF"/>
          <w:sz w:val="20"/>
          <w:szCs w:val="20"/>
          <w:lang w:val="en-AU"/>
        </w:rPr>
        <w:t>(See Article 1</w:t>
      </w:r>
      <w:r w:rsidR="0089656C" w:rsidRPr="00440136">
        <w:rPr>
          <w:rFonts w:ascii="Calibri" w:hAnsi="Calibri"/>
          <w:color w:val="2E74B5" w:themeColor="accent1" w:themeShade="BF"/>
          <w:sz w:val="20"/>
          <w:szCs w:val="20"/>
          <w:lang w:val="en-AU"/>
        </w:rPr>
        <w:t>8</w:t>
      </w:r>
      <w:r w:rsidRPr="00440136">
        <w:rPr>
          <w:rFonts w:ascii="Calibri" w:hAnsi="Calibri"/>
          <w:color w:val="2E74B5" w:themeColor="accent1" w:themeShade="BF"/>
          <w:sz w:val="20"/>
          <w:szCs w:val="20"/>
          <w:lang w:val="en-AU"/>
        </w:rPr>
        <w:t xml:space="preserve"> on page 1</w:t>
      </w:r>
      <w:r w:rsidR="0089656C" w:rsidRPr="00440136">
        <w:rPr>
          <w:rFonts w:ascii="Calibri" w:hAnsi="Calibri"/>
          <w:color w:val="2E74B5" w:themeColor="accent1" w:themeShade="BF"/>
          <w:sz w:val="20"/>
          <w:szCs w:val="20"/>
          <w:lang w:val="en-AU"/>
        </w:rPr>
        <w:t>3</w:t>
      </w:r>
      <w:r w:rsidRPr="00440136">
        <w:rPr>
          <w:rFonts w:ascii="Calibri" w:hAnsi="Calibri"/>
          <w:color w:val="2E74B5" w:themeColor="accent1" w:themeShade="BF"/>
          <w:sz w:val="20"/>
          <w:szCs w:val="20"/>
          <w:lang w:val="en-AU"/>
        </w:rPr>
        <w:t xml:space="preserve"> of DPO Australia Submission to the CRPD) </w:t>
      </w:r>
    </w:p>
    <w:p w14:paraId="02AFCADF" w14:textId="77777777" w:rsidR="000107BF" w:rsidRDefault="000107BF"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lang w:val="en-AU"/>
        </w:rPr>
      </w:pPr>
    </w:p>
    <w:p w14:paraId="373EDA93" w14:textId="77777777" w:rsidR="00440136" w:rsidRPr="00E414A6" w:rsidRDefault="00440136"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lang w:val="en-AU"/>
        </w:rPr>
      </w:pPr>
    </w:p>
    <w:p w14:paraId="2D068C2E" w14:textId="77777777" w:rsidR="000107BF" w:rsidRPr="00440136" w:rsidRDefault="000107BF"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Calibri" w:hAnsi="Calibri"/>
          <w:b/>
          <w:color w:val="2E74B5" w:themeColor="accent1" w:themeShade="BF"/>
          <w:sz w:val="28"/>
          <w:szCs w:val="28"/>
          <w:lang w:val="en-AU"/>
        </w:rPr>
      </w:pPr>
      <w:r w:rsidRPr="00440136">
        <w:rPr>
          <w:rFonts w:ascii="Calibri" w:hAnsi="Calibri"/>
          <w:b/>
          <w:color w:val="2E74B5" w:themeColor="accent1" w:themeShade="BF"/>
          <w:sz w:val="28"/>
          <w:szCs w:val="28"/>
          <w:lang w:val="en-AU"/>
        </w:rPr>
        <w:t>Background</w:t>
      </w:r>
    </w:p>
    <w:p w14:paraId="6F3C78E8" w14:textId="412042BA" w:rsidR="00440136" w:rsidRPr="00440136" w:rsidRDefault="0089656C" w:rsidP="00440136">
      <w:pPr>
        <w:spacing w:line="276" w:lineRule="auto"/>
        <w:jc w:val="both"/>
        <w:rPr>
          <w:rFonts w:ascii="Calibri" w:eastAsia="Times New Roman" w:hAnsi="Calibri"/>
          <w:bCs/>
          <w:sz w:val="22"/>
          <w:szCs w:val="22"/>
          <w:lang w:val="en-AU"/>
        </w:rPr>
      </w:pPr>
      <w:r w:rsidRPr="00440136">
        <w:rPr>
          <w:rFonts w:ascii="Calibri" w:eastAsia="Times New Roman" w:hAnsi="Calibri"/>
          <w:bCs/>
          <w:sz w:val="22"/>
          <w:szCs w:val="22"/>
          <w:lang w:val="en-AU"/>
        </w:rPr>
        <w:t xml:space="preserve">People with disability, and families who have members with disability, </w:t>
      </w:r>
      <w:r w:rsidR="00392CD8" w:rsidRPr="00440136">
        <w:rPr>
          <w:rFonts w:ascii="Calibri" w:eastAsia="Times New Roman" w:hAnsi="Calibri"/>
          <w:bCs/>
          <w:sz w:val="22"/>
          <w:szCs w:val="22"/>
          <w:lang w:val="en-AU"/>
        </w:rPr>
        <w:t xml:space="preserve">consistently have </w:t>
      </w:r>
      <w:r w:rsidRPr="00440136">
        <w:rPr>
          <w:rFonts w:ascii="Calibri" w:eastAsia="Times New Roman" w:hAnsi="Calibri"/>
          <w:bCs/>
          <w:sz w:val="22"/>
          <w:szCs w:val="22"/>
          <w:lang w:val="en-AU"/>
        </w:rPr>
        <w:t xml:space="preserve">their visa applications denied because they are unable to meet the strict health requirement under the </w:t>
      </w:r>
      <w:r w:rsidRPr="00440136">
        <w:rPr>
          <w:rFonts w:ascii="Calibri" w:eastAsia="Times New Roman" w:hAnsi="Calibri"/>
          <w:bCs/>
          <w:i/>
          <w:sz w:val="22"/>
          <w:szCs w:val="22"/>
          <w:lang w:val="en-AU"/>
        </w:rPr>
        <w:t>Migration Act 1958</w:t>
      </w:r>
      <w:r w:rsidRPr="00440136">
        <w:rPr>
          <w:rFonts w:ascii="Calibri" w:eastAsia="Times New Roman" w:hAnsi="Calibri"/>
          <w:bCs/>
          <w:sz w:val="22"/>
          <w:szCs w:val="22"/>
          <w:lang w:val="en-AU"/>
        </w:rPr>
        <w:t xml:space="preserve"> (</w:t>
      </w:r>
      <w:proofErr w:type="spellStart"/>
      <w:r w:rsidRPr="00440136">
        <w:rPr>
          <w:rFonts w:ascii="Calibri" w:eastAsia="Times New Roman" w:hAnsi="Calibri"/>
          <w:bCs/>
          <w:sz w:val="22"/>
          <w:szCs w:val="22"/>
          <w:lang w:val="en-AU"/>
        </w:rPr>
        <w:t>Cth</w:t>
      </w:r>
      <w:proofErr w:type="spellEnd"/>
      <w:r w:rsidRPr="00440136">
        <w:rPr>
          <w:rFonts w:ascii="Calibri" w:eastAsia="Times New Roman" w:hAnsi="Calibri"/>
          <w:bCs/>
          <w:sz w:val="22"/>
          <w:szCs w:val="22"/>
          <w:lang w:val="en-AU"/>
        </w:rPr>
        <w:t>).</w:t>
      </w:r>
      <w:r w:rsidR="00440136" w:rsidRPr="00440136">
        <w:rPr>
          <w:rFonts w:ascii="Calibri" w:eastAsia="Times New Roman" w:hAnsi="Calibri"/>
          <w:bCs/>
          <w:sz w:val="22"/>
          <w:szCs w:val="22"/>
          <w:vertAlign w:val="superscript"/>
          <w:lang w:val="en-AU"/>
        </w:rPr>
        <w:endnoteReference w:id="1"/>
      </w:r>
      <w:r w:rsidR="00440136" w:rsidRPr="00440136">
        <w:rPr>
          <w:rFonts w:ascii="Calibri" w:eastAsia="Times New Roman" w:hAnsi="Calibri"/>
          <w:bCs/>
          <w:sz w:val="22"/>
          <w:szCs w:val="22"/>
          <w:lang w:val="en-AU"/>
        </w:rPr>
        <w:t xml:space="preserve"> An individual or family could have been living in Australia for many years, contributing to the economic and social life of the community, but they will be deported because of a failure to meet the health requirement.</w:t>
      </w:r>
      <w:r w:rsidR="00440136" w:rsidRPr="00440136">
        <w:rPr>
          <w:rFonts w:ascii="Calibri" w:eastAsia="Times New Roman" w:hAnsi="Calibri"/>
          <w:bCs/>
          <w:sz w:val="22"/>
          <w:szCs w:val="22"/>
          <w:vertAlign w:val="superscript"/>
          <w:lang w:val="en-AU"/>
        </w:rPr>
        <w:endnoteReference w:id="2"/>
      </w:r>
      <w:r w:rsidR="00440136" w:rsidRPr="00440136">
        <w:rPr>
          <w:rFonts w:ascii="Calibri" w:eastAsia="Times New Roman" w:hAnsi="Calibri"/>
          <w:bCs/>
          <w:sz w:val="22"/>
          <w:szCs w:val="22"/>
          <w:lang w:val="en-AU"/>
        </w:rPr>
        <w:t xml:space="preserve">  </w:t>
      </w:r>
    </w:p>
    <w:p w14:paraId="7DF755F6" w14:textId="77777777" w:rsidR="00440136" w:rsidRPr="00440136" w:rsidRDefault="00440136" w:rsidP="00440136">
      <w:pPr>
        <w:spacing w:line="276" w:lineRule="auto"/>
        <w:jc w:val="both"/>
        <w:rPr>
          <w:rFonts w:ascii="Calibri" w:eastAsia="Times New Roman" w:hAnsi="Calibri"/>
          <w:bCs/>
          <w:sz w:val="22"/>
          <w:szCs w:val="22"/>
          <w:lang w:val="en-AU"/>
        </w:rPr>
      </w:pPr>
    </w:p>
    <w:p w14:paraId="14A9BDF9" w14:textId="429BBC2E" w:rsidR="00440136" w:rsidRPr="00440136" w:rsidRDefault="00440136" w:rsidP="00440136">
      <w:pPr>
        <w:spacing w:line="276" w:lineRule="auto"/>
        <w:jc w:val="both"/>
        <w:rPr>
          <w:rFonts w:ascii="Calibri" w:eastAsia="Times New Roman" w:hAnsi="Calibri"/>
          <w:bCs/>
          <w:sz w:val="22"/>
          <w:szCs w:val="22"/>
          <w:lang w:val="en-AU"/>
        </w:rPr>
      </w:pPr>
      <w:r w:rsidRPr="00440136">
        <w:rPr>
          <w:rFonts w:ascii="Calibri" w:eastAsia="Times New Roman" w:hAnsi="Calibri"/>
          <w:bCs/>
          <w:sz w:val="22"/>
          <w:szCs w:val="22"/>
          <w:lang w:val="en-AU"/>
        </w:rPr>
        <w:t>The health requirement means that the visa applicant must be free of a ‘disease or condition’</w:t>
      </w:r>
      <w:r>
        <w:rPr>
          <w:rFonts w:ascii="Calibri" w:eastAsia="Times New Roman" w:hAnsi="Calibri"/>
          <w:bCs/>
          <w:sz w:val="22"/>
          <w:szCs w:val="22"/>
          <w:lang w:val="en-AU"/>
        </w:rPr>
        <w:t>,</w:t>
      </w:r>
      <w:r w:rsidRPr="00440136">
        <w:rPr>
          <w:rFonts w:ascii="Calibri" w:eastAsia="Times New Roman" w:hAnsi="Calibri"/>
          <w:bCs/>
          <w:sz w:val="22"/>
          <w:szCs w:val="22"/>
          <w:lang w:val="en-AU"/>
        </w:rPr>
        <w:t xml:space="preserve"> which would cost a significant amount, or prevent access to health care for Australian citizens.</w:t>
      </w:r>
      <w:r>
        <w:rPr>
          <w:rFonts w:ascii="Calibri" w:eastAsia="Times New Roman" w:hAnsi="Calibri"/>
          <w:bCs/>
          <w:sz w:val="22"/>
          <w:szCs w:val="22"/>
          <w:lang w:val="en-AU"/>
        </w:rPr>
        <w:t xml:space="preserve"> </w:t>
      </w:r>
      <w:r w:rsidRPr="00440136">
        <w:rPr>
          <w:rFonts w:ascii="Calibri" w:eastAsia="Times New Roman" w:hAnsi="Calibri"/>
          <w:bCs/>
          <w:sz w:val="22"/>
          <w:szCs w:val="22"/>
          <w:lang w:val="en-AU"/>
        </w:rPr>
        <w:t>It is extremely difficult for children and adults with disability to meet the health requirement given the focus is exclusively on the perceived economic cost of the applicant’s ‘condition’ and the perceived ‘burden’ this will place on public health and community resources.  There is no recognition of the economic, social and cultural contributions of people with disability and their families.  The only recourse for people with disability, and families who have members with disability is to seek Ministerial intervention.  This relies on significant lobbying, public pressure and petitioning to achieve, and often does not result in a fair outcome.</w:t>
      </w:r>
      <w:r w:rsidRPr="00440136">
        <w:rPr>
          <w:rFonts w:ascii="Calibri" w:eastAsia="Times New Roman" w:hAnsi="Calibri"/>
          <w:bCs/>
          <w:sz w:val="22"/>
          <w:szCs w:val="22"/>
          <w:vertAlign w:val="superscript"/>
          <w:lang w:val="en-AU"/>
        </w:rPr>
        <w:endnoteReference w:id="3"/>
      </w:r>
    </w:p>
    <w:p w14:paraId="4EE9B9D2" w14:textId="77777777" w:rsidR="00440136" w:rsidRPr="00440136" w:rsidRDefault="00440136" w:rsidP="00440136">
      <w:pPr>
        <w:spacing w:line="276" w:lineRule="auto"/>
        <w:jc w:val="both"/>
        <w:rPr>
          <w:rFonts w:ascii="Calibri" w:eastAsia="Times New Roman" w:hAnsi="Calibri"/>
          <w:bCs/>
          <w:sz w:val="22"/>
          <w:szCs w:val="22"/>
          <w:lang w:val="en-AU"/>
        </w:rPr>
      </w:pPr>
    </w:p>
    <w:p w14:paraId="778A8840" w14:textId="479F9498" w:rsidR="00440136" w:rsidRPr="00440136" w:rsidRDefault="00440136" w:rsidP="00440136">
      <w:pPr>
        <w:spacing w:line="276" w:lineRule="auto"/>
        <w:jc w:val="both"/>
        <w:rPr>
          <w:rFonts w:ascii="Calibri" w:eastAsia="Times New Roman" w:hAnsi="Calibri"/>
          <w:bCs/>
          <w:sz w:val="22"/>
          <w:szCs w:val="22"/>
          <w:lang w:val="en-AU"/>
        </w:rPr>
      </w:pPr>
      <w:r w:rsidRPr="00440136">
        <w:rPr>
          <w:rFonts w:ascii="Calibri" w:eastAsia="Times New Roman" w:hAnsi="Calibri"/>
          <w:bCs/>
          <w:sz w:val="22"/>
          <w:szCs w:val="22"/>
          <w:lang w:val="en-AU"/>
        </w:rPr>
        <w:t>While the health requirement does not, on its face, discriminate against persons with a disability, the provisions indirectly discriminate against people with disability.</w:t>
      </w:r>
      <w:r>
        <w:rPr>
          <w:rFonts w:ascii="Calibri" w:eastAsia="Times New Roman" w:hAnsi="Calibri"/>
          <w:bCs/>
          <w:sz w:val="22"/>
          <w:szCs w:val="22"/>
          <w:lang w:val="en-AU"/>
        </w:rPr>
        <w:t xml:space="preserve"> </w:t>
      </w:r>
      <w:r w:rsidRPr="00440136">
        <w:rPr>
          <w:rFonts w:ascii="Calibri" w:eastAsia="Times New Roman" w:hAnsi="Calibri"/>
          <w:bCs/>
          <w:sz w:val="22"/>
          <w:szCs w:val="22"/>
          <w:lang w:val="en-AU"/>
        </w:rPr>
        <w:t>The Joint Standing Committee on Migration’s Inquiry into the Migration Treatment of Disability (</w:t>
      </w:r>
      <w:r w:rsidRPr="00440136">
        <w:rPr>
          <w:rFonts w:ascii="Calibri" w:eastAsia="Times New Roman" w:hAnsi="Calibri"/>
          <w:bCs/>
          <w:i/>
          <w:sz w:val="22"/>
          <w:szCs w:val="22"/>
          <w:lang w:val="en-AU"/>
        </w:rPr>
        <w:t>Enabling Australia</w:t>
      </w:r>
      <w:r w:rsidRPr="00440136">
        <w:rPr>
          <w:rFonts w:ascii="Calibri" w:eastAsia="Times New Roman" w:hAnsi="Calibri"/>
          <w:bCs/>
          <w:sz w:val="22"/>
          <w:szCs w:val="22"/>
          <w:lang w:val="en-AU"/>
        </w:rPr>
        <w:t>) stated that the health requirement is discriminatory in that it sets ‘standards of health requirement which the disabled do not or cannot meet’.</w:t>
      </w:r>
      <w:r w:rsidRPr="00440136">
        <w:rPr>
          <w:rFonts w:ascii="Calibri" w:eastAsia="Times New Roman" w:hAnsi="Calibri"/>
          <w:bCs/>
          <w:sz w:val="22"/>
          <w:szCs w:val="22"/>
          <w:vertAlign w:val="superscript"/>
          <w:lang w:val="en-AU"/>
        </w:rPr>
        <w:endnoteReference w:id="4"/>
      </w:r>
      <w:r>
        <w:rPr>
          <w:rFonts w:ascii="Calibri" w:eastAsia="Times New Roman" w:hAnsi="Calibri"/>
          <w:bCs/>
          <w:sz w:val="22"/>
          <w:szCs w:val="22"/>
          <w:lang w:val="en-AU"/>
        </w:rPr>
        <w:t xml:space="preserve"> </w:t>
      </w:r>
      <w:r w:rsidRPr="00440136">
        <w:rPr>
          <w:rFonts w:ascii="Calibri" w:eastAsia="Times New Roman" w:hAnsi="Calibri"/>
          <w:bCs/>
          <w:sz w:val="22"/>
          <w:szCs w:val="22"/>
          <w:lang w:val="en-AU"/>
        </w:rPr>
        <w:t>The discriminatory effect of the health requirement on migrants and refugees with disability has also been noted by the Special Rapporteur on the human rights of migrants.</w:t>
      </w:r>
      <w:r w:rsidRPr="00440136">
        <w:rPr>
          <w:rStyle w:val="EndnoteReference"/>
          <w:rFonts w:ascii="Calibri" w:eastAsia="Times New Roman" w:hAnsi="Calibri"/>
          <w:bCs/>
          <w:sz w:val="22"/>
          <w:szCs w:val="22"/>
          <w:lang w:val="en-AU"/>
        </w:rPr>
        <w:endnoteReference w:id="5"/>
      </w:r>
      <w:r w:rsidRPr="00440136">
        <w:rPr>
          <w:rFonts w:ascii="Calibri" w:eastAsia="Times New Roman" w:hAnsi="Calibri"/>
          <w:bCs/>
          <w:sz w:val="22"/>
          <w:szCs w:val="22"/>
          <w:lang w:val="en-AU"/>
        </w:rPr>
        <w:t xml:space="preserve"> </w:t>
      </w:r>
    </w:p>
    <w:p w14:paraId="1899ECB9" w14:textId="77777777" w:rsidR="00440136" w:rsidRPr="00440136" w:rsidRDefault="00440136" w:rsidP="00440136">
      <w:pPr>
        <w:spacing w:line="276" w:lineRule="auto"/>
        <w:jc w:val="both"/>
        <w:rPr>
          <w:rFonts w:ascii="Calibri" w:eastAsia="Times New Roman" w:hAnsi="Calibri"/>
          <w:bCs/>
          <w:sz w:val="22"/>
          <w:szCs w:val="22"/>
          <w:lang w:val="en-AU"/>
        </w:rPr>
      </w:pPr>
    </w:p>
    <w:p w14:paraId="641B3738" w14:textId="77777777" w:rsidR="00440136" w:rsidRPr="00440136" w:rsidRDefault="00440136" w:rsidP="00440136">
      <w:pPr>
        <w:widowControl w:val="0"/>
        <w:spacing w:line="276" w:lineRule="auto"/>
        <w:jc w:val="both"/>
        <w:rPr>
          <w:rFonts w:asciiTheme="minorHAnsi" w:eastAsia="Times New Roman" w:hAnsiTheme="minorHAnsi" w:cstheme="minorHAnsi"/>
          <w:sz w:val="22"/>
          <w:szCs w:val="22"/>
        </w:rPr>
      </w:pPr>
      <w:r w:rsidRPr="00440136">
        <w:rPr>
          <w:rFonts w:asciiTheme="minorHAnsi" w:eastAsia="Times New Roman" w:hAnsiTheme="minorHAnsi" w:cstheme="minorHAnsi"/>
          <w:sz w:val="22"/>
          <w:szCs w:val="22"/>
        </w:rPr>
        <w:t>The Australia Government has made some amendments to its visa policy processes and requirements for people with disability, but key legislative and policy reform has not been undertaken.  This includes reforms recommended by the Committee on Economic, Social and Cultural Rights to amend the Migration Act 1958 (</w:t>
      </w:r>
      <w:proofErr w:type="spellStart"/>
      <w:r w:rsidRPr="00440136">
        <w:rPr>
          <w:rFonts w:asciiTheme="minorHAnsi" w:eastAsia="Times New Roman" w:hAnsiTheme="minorHAnsi" w:cstheme="minorHAnsi"/>
          <w:sz w:val="22"/>
          <w:szCs w:val="22"/>
        </w:rPr>
        <w:t>Cth</w:t>
      </w:r>
      <w:proofErr w:type="spellEnd"/>
      <w:r w:rsidRPr="00440136">
        <w:rPr>
          <w:rFonts w:asciiTheme="minorHAnsi" w:eastAsia="Times New Roman" w:hAnsiTheme="minorHAnsi" w:cstheme="minorHAnsi"/>
          <w:sz w:val="22"/>
          <w:szCs w:val="22"/>
        </w:rPr>
        <w:t>) and the Disability Discrimination Act 1992 (</w:t>
      </w:r>
      <w:proofErr w:type="spellStart"/>
      <w:r w:rsidRPr="00440136">
        <w:rPr>
          <w:rFonts w:asciiTheme="minorHAnsi" w:eastAsia="Times New Roman" w:hAnsiTheme="minorHAnsi" w:cstheme="minorHAnsi"/>
          <w:sz w:val="22"/>
          <w:szCs w:val="22"/>
        </w:rPr>
        <w:t>Cth</w:t>
      </w:r>
      <w:proofErr w:type="spellEnd"/>
      <w:r w:rsidRPr="00440136">
        <w:rPr>
          <w:rFonts w:asciiTheme="minorHAnsi" w:eastAsia="Times New Roman" w:hAnsiTheme="minorHAnsi" w:cstheme="minorHAnsi"/>
          <w:sz w:val="22"/>
          <w:szCs w:val="22"/>
        </w:rPr>
        <w:t>) “to ensure that the rights to equality and non-discrimination apply to all aspects of migration law, policy and practice.”</w:t>
      </w:r>
      <w:r w:rsidRPr="00440136">
        <w:rPr>
          <w:rFonts w:asciiTheme="minorHAnsi" w:eastAsia="Times New Roman" w:hAnsiTheme="minorHAnsi" w:cstheme="minorHAnsi"/>
          <w:sz w:val="22"/>
          <w:szCs w:val="22"/>
          <w:vertAlign w:val="superscript"/>
        </w:rPr>
        <w:endnoteReference w:id="6"/>
      </w:r>
      <w:r w:rsidRPr="00440136">
        <w:rPr>
          <w:rFonts w:asciiTheme="minorHAnsi" w:eastAsia="Times New Roman" w:hAnsiTheme="minorHAnsi" w:cstheme="minorHAnsi"/>
          <w:sz w:val="22"/>
          <w:szCs w:val="22"/>
        </w:rPr>
        <w:t xml:space="preserve"> </w:t>
      </w:r>
    </w:p>
    <w:p w14:paraId="03223A29" w14:textId="77777777" w:rsidR="00440136" w:rsidRPr="00440136" w:rsidRDefault="00440136" w:rsidP="00440136">
      <w:pPr>
        <w:widowControl w:val="0"/>
        <w:spacing w:line="276" w:lineRule="auto"/>
        <w:jc w:val="both"/>
        <w:rPr>
          <w:rFonts w:asciiTheme="minorHAnsi" w:eastAsia="Times New Roman" w:hAnsiTheme="minorHAnsi" w:cstheme="minorHAnsi"/>
          <w:sz w:val="22"/>
          <w:szCs w:val="22"/>
        </w:rPr>
      </w:pPr>
    </w:p>
    <w:p w14:paraId="531DF010" w14:textId="173140CF" w:rsidR="00440136" w:rsidRPr="00440136" w:rsidRDefault="00440136" w:rsidP="00440136">
      <w:pPr>
        <w:widowControl w:val="0"/>
        <w:spacing w:line="276" w:lineRule="auto"/>
        <w:jc w:val="both"/>
        <w:rPr>
          <w:rFonts w:asciiTheme="minorHAnsi" w:eastAsia="Times New Roman" w:hAnsiTheme="minorHAnsi" w:cstheme="minorHAnsi"/>
          <w:sz w:val="22"/>
          <w:szCs w:val="22"/>
        </w:rPr>
      </w:pPr>
      <w:r w:rsidRPr="00440136">
        <w:rPr>
          <w:rFonts w:asciiTheme="minorHAnsi" w:eastAsia="Times New Roman" w:hAnsiTheme="minorHAnsi" w:cstheme="minorHAnsi"/>
          <w:sz w:val="22"/>
          <w:szCs w:val="22"/>
        </w:rPr>
        <w:t>The Australia Government has also not acted on the recommendation from the Committee on the Rights of Persons with Disabilities to withdraw its Interpretative Declaration to CRPD Article 18, which in effect means that Australia maintains the strict health requirement in law and policy.</w:t>
      </w:r>
      <w:r w:rsidRPr="00440136">
        <w:rPr>
          <w:rFonts w:asciiTheme="minorHAnsi" w:eastAsia="Times New Roman" w:hAnsiTheme="minorHAnsi" w:cstheme="minorHAnsi"/>
          <w:sz w:val="22"/>
          <w:szCs w:val="22"/>
          <w:vertAlign w:val="superscript"/>
        </w:rPr>
        <w:endnoteReference w:id="7"/>
      </w:r>
    </w:p>
    <w:p w14:paraId="3E8F865C" w14:textId="77777777" w:rsidR="0057709B" w:rsidRDefault="0057709B" w:rsidP="002E74F8">
      <w:pPr>
        <w:rPr>
          <w:rFonts w:ascii="Calibri" w:eastAsia="Times New Roman" w:hAnsi="Calibri"/>
          <w:bCs/>
          <w:lang w:val="en-AU"/>
        </w:rPr>
      </w:pPr>
    </w:p>
    <w:p w14:paraId="4C925FB6" w14:textId="77777777" w:rsidR="00440136" w:rsidRPr="004D3B5A" w:rsidRDefault="00440136" w:rsidP="004401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Calibri" w:hAnsi="Calibri"/>
          <w:b/>
          <w:color w:val="2E74B5" w:themeColor="accent1" w:themeShade="BF"/>
          <w:sz w:val="28"/>
          <w:szCs w:val="28"/>
          <w:lang w:val="en-AU"/>
        </w:rPr>
      </w:pPr>
      <w:r w:rsidRPr="004D3B5A">
        <w:rPr>
          <w:rFonts w:ascii="Calibri" w:hAnsi="Calibri"/>
          <w:b/>
          <w:color w:val="2E74B5" w:themeColor="accent1" w:themeShade="BF"/>
          <w:sz w:val="28"/>
          <w:szCs w:val="28"/>
          <w:lang w:val="en-AU"/>
        </w:rPr>
        <w:t>Proposed Questions</w:t>
      </w:r>
    </w:p>
    <w:p w14:paraId="23223B29" w14:textId="00B5BCEB" w:rsidR="000107BF" w:rsidRPr="00440136" w:rsidRDefault="000107BF" w:rsidP="004401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b/>
          <w:sz w:val="22"/>
          <w:szCs w:val="22"/>
          <w:lang w:val="en-AU"/>
        </w:rPr>
      </w:pPr>
    </w:p>
    <w:p w14:paraId="269DBE3F" w14:textId="77777777" w:rsidR="0076598A" w:rsidRPr="00DD5886" w:rsidRDefault="0076598A" w:rsidP="00440136">
      <w:pPr>
        <w:jc w:val="both"/>
        <w:rPr>
          <w:rFonts w:ascii="Calibri" w:hAnsi="Calibri"/>
          <w:b/>
          <w:sz w:val="22"/>
          <w:szCs w:val="22"/>
          <w:lang w:val="en-AU"/>
        </w:rPr>
      </w:pPr>
      <w:r w:rsidRPr="00DD5886">
        <w:rPr>
          <w:rFonts w:ascii="Calibri" w:hAnsi="Calibri"/>
          <w:b/>
          <w:sz w:val="22"/>
          <w:szCs w:val="22"/>
          <w:lang w:val="en-AU"/>
        </w:rPr>
        <w:t xml:space="preserve">Please update the Committee on measures taken to improve consistency, transparency and administrative fairness for migrants and asylum seekers with disability applying for an Australian visa, and in particular, compliance with obligations under the Convention, including measures taken to amend the health </w:t>
      </w:r>
      <w:r w:rsidR="0092275E" w:rsidRPr="00DD5886">
        <w:rPr>
          <w:rFonts w:ascii="Calibri" w:hAnsi="Calibri"/>
          <w:b/>
          <w:sz w:val="22"/>
          <w:szCs w:val="22"/>
          <w:lang w:val="en-AU"/>
        </w:rPr>
        <w:t>requirement</w:t>
      </w:r>
      <w:r w:rsidRPr="00DD5886">
        <w:rPr>
          <w:rFonts w:ascii="Calibri" w:hAnsi="Calibri"/>
          <w:b/>
          <w:sz w:val="22"/>
          <w:szCs w:val="22"/>
          <w:lang w:val="en-AU"/>
        </w:rPr>
        <w:t xml:space="preserve"> in the </w:t>
      </w:r>
      <w:r w:rsidRPr="00DD5886">
        <w:rPr>
          <w:rFonts w:ascii="Calibri" w:hAnsi="Calibri"/>
          <w:b/>
          <w:i/>
          <w:sz w:val="22"/>
          <w:szCs w:val="22"/>
          <w:lang w:val="en-AU"/>
        </w:rPr>
        <w:t>Migration Regulations 1994 (</w:t>
      </w:r>
      <w:proofErr w:type="spellStart"/>
      <w:r w:rsidRPr="00DD5886">
        <w:rPr>
          <w:rFonts w:ascii="Calibri" w:hAnsi="Calibri"/>
          <w:b/>
          <w:i/>
          <w:sz w:val="22"/>
          <w:szCs w:val="22"/>
          <w:lang w:val="en-AU"/>
        </w:rPr>
        <w:t>Cth</w:t>
      </w:r>
      <w:proofErr w:type="spellEnd"/>
      <w:r w:rsidRPr="00DD5886">
        <w:rPr>
          <w:rFonts w:ascii="Calibri" w:hAnsi="Calibri"/>
          <w:b/>
          <w:i/>
          <w:sz w:val="22"/>
          <w:szCs w:val="22"/>
          <w:lang w:val="en-AU"/>
        </w:rPr>
        <w:t>)</w:t>
      </w:r>
      <w:r w:rsidRPr="00DD5886">
        <w:rPr>
          <w:rFonts w:ascii="Calibri" w:hAnsi="Calibri"/>
          <w:b/>
          <w:sz w:val="22"/>
          <w:szCs w:val="22"/>
          <w:lang w:val="en-AU"/>
        </w:rPr>
        <w:t>.</w:t>
      </w:r>
    </w:p>
    <w:p w14:paraId="0C982D4A" w14:textId="77777777" w:rsidR="000107BF" w:rsidRDefault="000107BF" w:rsidP="00440136">
      <w:pPr>
        <w:jc w:val="both"/>
        <w:rPr>
          <w:sz w:val="22"/>
          <w:szCs w:val="22"/>
        </w:rPr>
      </w:pPr>
      <w:bookmarkStart w:id="0" w:name="_GoBack"/>
      <w:bookmarkEnd w:id="0"/>
    </w:p>
    <w:p w14:paraId="1F2DD093" w14:textId="77777777" w:rsidR="00440136" w:rsidRPr="00440136" w:rsidRDefault="00440136" w:rsidP="004401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cstheme="minorHAnsi"/>
          <w:sz w:val="22"/>
          <w:szCs w:val="22"/>
          <w:lang w:val="en-AU"/>
        </w:rPr>
      </w:pPr>
      <w:r w:rsidRPr="00440136">
        <w:rPr>
          <w:rFonts w:asciiTheme="minorHAnsi" w:hAnsiTheme="minorHAnsi" w:cstheme="minorHAnsi"/>
          <w:sz w:val="22"/>
          <w:szCs w:val="22"/>
          <w:lang w:val="en-AU"/>
        </w:rPr>
        <w:t xml:space="preserve">Please </w:t>
      </w:r>
      <w:r w:rsidRPr="00440136">
        <w:rPr>
          <w:rFonts w:asciiTheme="minorHAnsi" w:eastAsia="MS Mincho" w:hAnsiTheme="minorHAnsi" w:cstheme="minorHAnsi"/>
          <w:color w:val="000000"/>
          <w:sz w:val="22"/>
          <w:szCs w:val="22"/>
          <w:bdr w:val="none" w:sz="0" w:space="0" w:color="auto"/>
          <w:lang w:val="en-AU"/>
        </w:rPr>
        <w:t>provide disaggregated information on the number of people with disability who have been denied immigration visas for reasons related to the health requirement since 2013.</w:t>
      </w:r>
    </w:p>
    <w:p w14:paraId="0F327E8E" w14:textId="77777777" w:rsidR="00440136" w:rsidRPr="00440136" w:rsidRDefault="00440136" w:rsidP="00440136">
      <w:pPr>
        <w:jc w:val="both"/>
        <w:rPr>
          <w:sz w:val="22"/>
          <w:szCs w:val="22"/>
        </w:rPr>
      </w:pPr>
    </w:p>
    <w:p w14:paraId="450E1E6A" w14:textId="77777777" w:rsidR="0076598A" w:rsidRPr="00440136" w:rsidRDefault="0076598A" w:rsidP="00440136">
      <w:pPr>
        <w:jc w:val="both"/>
        <w:rPr>
          <w:rFonts w:asciiTheme="minorHAnsi" w:hAnsiTheme="minorHAnsi" w:cstheme="minorHAnsi"/>
          <w:sz w:val="22"/>
          <w:szCs w:val="22"/>
        </w:rPr>
      </w:pPr>
      <w:r w:rsidRPr="00440136">
        <w:rPr>
          <w:rFonts w:asciiTheme="minorHAnsi" w:hAnsiTheme="minorHAnsi" w:cstheme="minorHAnsi"/>
          <w:sz w:val="22"/>
          <w:szCs w:val="22"/>
        </w:rPr>
        <w:t xml:space="preserve">Please indicate whether Australia intends to remove its Interpretative Declaration to CRPD article 18.  If not, please provide reasons for this. </w:t>
      </w:r>
    </w:p>
    <w:p w14:paraId="0211788C" w14:textId="77777777" w:rsidR="00440136" w:rsidRDefault="00440136" w:rsidP="00440136">
      <w:pPr>
        <w:jc w:val="both"/>
        <w:rPr>
          <w:rFonts w:asciiTheme="minorHAnsi" w:hAnsiTheme="minorHAnsi" w:cstheme="minorHAnsi"/>
          <w:sz w:val="22"/>
          <w:szCs w:val="22"/>
        </w:rPr>
      </w:pPr>
    </w:p>
    <w:p w14:paraId="39CF67D1" w14:textId="77777777" w:rsidR="00CA036A" w:rsidRPr="00440136" w:rsidRDefault="00CA036A" w:rsidP="00440136">
      <w:pPr>
        <w:jc w:val="both"/>
        <w:rPr>
          <w:rFonts w:asciiTheme="minorHAnsi" w:hAnsiTheme="minorHAnsi" w:cstheme="minorHAnsi"/>
          <w:sz w:val="22"/>
          <w:szCs w:val="22"/>
        </w:rPr>
      </w:pPr>
    </w:p>
    <w:p w14:paraId="24FA850F" w14:textId="77777777" w:rsidR="00CA036A" w:rsidRPr="00672A23" w:rsidRDefault="00CA036A" w:rsidP="00CA03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Calibri" w:hAnsi="Calibri"/>
          <w:b/>
          <w:color w:val="2E74B5" w:themeColor="accent1" w:themeShade="BF"/>
          <w:sz w:val="28"/>
          <w:szCs w:val="28"/>
          <w:lang w:val="en-AU"/>
        </w:rPr>
      </w:pPr>
      <w:r w:rsidRPr="00672A23">
        <w:rPr>
          <w:rFonts w:ascii="Calibri" w:hAnsi="Calibri"/>
          <w:b/>
          <w:color w:val="2E74B5" w:themeColor="accent1" w:themeShade="BF"/>
          <w:sz w:val="28"/>
          <w:szCs w:val="28"/>
          <w:lang w:val="en-AU"/>
        </w:rPr>
        <w:t>Endnotes</w:t>
      </w:r>
    </w:p>
    <w:p w14:paraId="529865EB" w14:textId="77777777" w:rsidR="00440136" w:rsidRPr="00440136" w:rsidRDefault="00440136" w:rsidP="00440136">
      <w:pPr>
        <w:jc w:val="both"/>
        <w:rPr>
          <w:rFonts w:asciiTheme="minorHAnsi" w:hAnsiTheme="minorHAnsi" w:cstheme="minorHAnsi"/>
          <w:sz w:val="22"/>
          <w:szCs w:val="22"/>
        </w:rPr>
      </w:pPr>
    </w:p>
    <w:sectPr w:rsidR="00440136" w:rsidRPr="00440136" w:rsidSect="00440136">
      <w:footerReference w:type="even" r:id="rId8"/>
      <w:footerReference w:type="default" r:id="rId9"/>
      <w:headerReference w:type="first" r:id="rId10"/>
      <w:endnotePr>
        <w:numFmt w:val="decimal"/>
      </w:endnotePr>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50159" w14:textId="77777777" w:rsidR="000107BF" w:rsidRDefault="000107BF" w:rsidP="000107BF">
      <w:r>
        <w:separator/>
      </w:r>
    </w:p>
  </w:endnote>
  <w:endnote w:type="continuationSeparator" w:id="0">
    <w:p w14:paraId="70F7E306" w14:textId="77777777" w:rsidR="000107BF" w:rsidRDefault="000107BF" w:rsidP="000107BF">
      <w:r>
        <w:continuationSeparator/>
      </w:r>
    </w:p>
  </w:endnote>
  <w:endnote w:id="1">
    <w:p w14:paraId="275E6020" w14:textId="77777777" w:rsidR="00440136" w:rsidRPr="00440136" w:rsidRDefault="00440136" w:rsidP="0057709B">
      <w:pPr>
        <w:rPr>
          <w:rFonts w:ascii="Calibri" w:hAnsi="Calibri"/>
          <w:sz w:val="16"/>
          <w:szCs w:val="16"/>
        </w:rPr>
      </w:pPr>
      <w:r w:rsidRPr="00440136">
        <w:rPr>
          <w:rFonts w:ascii="Calibri" w:hAnsi="Calibri"/>
          <w:sz w:val="16"/>
          <w:szCs w:val="16"/>
          <w:vertAlign w:val="superscript"/>
        </w:rPr>
        <w:endnoteRef/>
      </w:r>
      <w:r w:rsidRPr="00440136">
        <w:rPr>
          <w:rFonts w:ascii="Calibri" w:hAnsi="Calibri"/>
          <w:sz w:val="16"/>
          <w:szCs w:val="16"/>
        </w:rPr>
        <w:t xml:space="preserve"> The health criterion applies to all visas for permanent entry into Australia. </w:t>
      </w:r>
    </w:p>
  </w:endnote>
  <w:endnote w:id="2">
    <w:p w14:paraId="6A9A71FB" w14:textId="77777777" w:rsidR="00440136" w:rsidRPr="00440136" w:rsidRDefault="00440136" w:rsidP="0057709B">
      <w:pPr>
        <w:pStyle w:val="EndnoteText"/>
        <w:tabs>
          <w:tab w:val="right" w:pos="0"/>
        </w:tabs>
        <w:rPr>
          <w:rFonts w:ascii="Calibri" w:hAnsi="Calibri" w:cstheme="minorHAnsi"/>
          <w:sz w:val="16"/>
          <w:szCs w:val="16"/>
        </w:rPr>
      </w:pPr>
      <w:r w:rsidRPr="00440136">
        <w:rPr>
          <w:rStyle w:val="EndnoteReference"/>
          <w:rFonts w:ascii="Calibri" w:hAnsi="Calibri" w:cstheme="minorHAnsi"/>
          <w:sz w:val="16"/>
          <w:szCs w:val="16"/>
        </w:rPr>
        <w:endnoteRef/>
      </w:r>
      <w:r w:rsidRPr="00440136">
        <w:rPr>
          <w:rFonts w:ascii="Calibri" w:hAnsi="Calibri" w:cstheme="minorHAnsi"/>
          <w:sz w:val="16"/>
          <w:szCs w:val="16"/>
        </w:rPr>
        <w:t xml:space="preserve"> See e.g. See e.g. Rajan, S. (2016), ‘Yet another example of disability discrimination in Australian Immigration’, </w:t>
      </w:r>
      <w:r w:rsidRPr="00440136">
        <w:rPr>
          <w:rFonts w:ascii="Calibri" w:hAnsi="Calibri" w:cstheme="minorHAnsi"/>
          <w:i/>
          <w:sz w:val="16"/>
          <w:szCs w:val="16"/>
        </w:rPr>
        <w:t>The Stringer</w:t>
      </w:r>
      <w:r w:rsidRPr="00440136">
        <w:rPr>
          <w:rFonts w:ascii="Calibri" w:hAnsi="Calibri" w:cstheme="minorHAnsi"/>
          <w:sz w:val="16"/>
          <w:szCs w:val="16"/>
        </w:rPr>
        <w:t>, Available at:</w:t>
      </w:r>
      <w:r w:rsidRPr="00440136">
        <w:rPr>
          <w:rFonts w:ascii="Calibri" w:hAnsi="Calibri" w:cstheme="minorHAnsi"/>
          <w:i/>
          <w:sz w:val="16"/>
          <w:szCs w:val="16"/>
        </w:rPr>
        <w:t xml:space="preserve"> </w:t>
      </w:r>
      <w:hyperlink r:id="rId1" w:history="1">
        <w:r w:rsidRPr="00440136">
          <w:rPr>
            <w:rStyle w:val="Hyperlink"/>
            <w:rFonts w:ascii="Calibri" w:hAnsi="Calibri" w:cstheme="minorHAnsi"/>
            <w:sz w:val="16"/>
            <w:szCs w:val="16"/>
          </w:rPr>
          <w:t>http://thestringer.com.au/yet-another-example-of-disability-discrimination-australian-immigration-12070</w:t>
        </w:r>
      </w:hyperlink>
      <w:r w:rsidRPr="00440136">
        <w:rPr>
          <w:rFonts w:ascii="Calibri" w:hAnsi="Calibri" w:cstheme="minorHAnsi"/>
          <w:sz w:val="16"/>
          <w:szCs w:val="16"/>
        </w:rPr>
        <w:t xml:space="preserve"> ; David Ellery, ‘Canberra family split as right to live Australia revoked’, </w:t>
      </w:r>
      <w:r w:rsidRPr="00440136">
        <w:rPr>
          <w:rFonts w:ascii="Calibri" w:hAnsi="Calibri" w:cstheme="minorHAnsi"/>
          <w:i/>
          <w:sz w:val="16"/>
          <w:szCs w:val="16"/>
        </w:rPr>
        <w:t xml:space="preserve">The Canberra Times, </w:t>
      </w:r>
      <w:r w:rsidRPr="00440136">
        <w:rPr>
          <w:rFonts w:ascii="Calibri" w:hAnsi="Calibri" w:cstheme="minorHAnsi"/>
          <w:sz w:val="16"/>
          <w:szCs w:val="16"/>
        </w:rPr>
        <w:t xml:space="preserve">19 April 2016, </w:t>
      </w:r>
      <w:hyperlink r:id="rId2" w:history="1">
        <w:r w:rsidRPr="00440136">
          <w:rPr>
            <w:rStyle w:val="Hyperlink"/>
            <w:rFonts w:ascii="Calibri" w:hAnsi="Calibri" w:cstheme="minorHAnsi"/>
            <w:sz w:val="16"/>
            <w:szCs w:val="16"/>
          </w:rPr>
          <w:t>http://www.canberratimes.com.au/act-news/watson-family-split-as-right-to-live-in-australia-is-revoked-20160415-go7nyb.html</w:t>
        </w:r>
      </w:hyperlink>
      <w:r w:rsidRPr="00440136">
        <w:rPr>
          <w:rStyle w:val="Hyperlink"/>
          <w:rFonts w:ascii="Calibri" w:hAnsi="Calibri" w:cstheme="minorHAnsi"/>
          <w:sz w:val="16"/>
          <w:szCs w:val="16"/>
        </w:rPr>
        <w:t xml:space="preserve"> ; </w:t>
      </w:r>
      <w:r w:rsidRPr="00440136">
        <w:rPr>
          <w:rFonts w:ascii="Calibri" w:hAnsi="Calibri" w:cstheme="minorHAnsi"/>
          <w:i/>
          <w:sz w:val="16"/>
          <w:szCs w:val="16"/>
        </w:rPr>
        <w:t>SBS Australia</w:t>
      </w:r>
      <w:r w:rsidRPr="00440136">
        <w:rPr>
          <w:rFonts w:ascii="Calibri" w:hAnsi="Calibri" w:cstheme="minorHAnsi"/>
          <w:sz w:val="16"/>
          <w:szCs w:val="16"/>
        </w:rPr>
        <w:t>, ‘Blind Kenyan Father ordered to Leave Australia’, 18</w:t>
      </w:r>
      <w:r w:rsidRPr="00440136">
        <w:rPr>
          <w:rFonts w:ascii="Calibri" w:hAnsi="Calibri" w:cstheme="minorHAnsi"/>
          <w:sz w:val="16"/>
          <w:szCs w:val="16"/>
          <w:vertAlign w:val="superscript"/>
        </w:rPr>
        <w:t>th</w:t>
      </w:r>
      <w:r w:rsidRPr="00440136">
        <w:rPr>
          <w:rFonts w:ascii="Calibri" w:hAnsi="Calibri" w:cstheme="minorHAnsi"/>
          <w:sz w:val="16"/>
          <w:szCs w:val="16"/>
        </w:rPr>
        <w:t xml:space="preserve"> August 2015, </w:t>
      </w:r>
      <w:hyperlink r:id="rId3" w:history="1">
        <w:r w:rsidRPr="00440136">
          <w:rPr>
            <w:rStyle w:val="Hyperlink"/>
            <w:rFonts w:ascii="Calibri" w:hAnsi="Calibri" w:cstheme="minorHAnsi"/>
            <w:sz w:val="16"/>
            <w:szCs w:val="16"/>
          </w:rPr>
          <w:t>http://www.sbs.com.au/news/article/2015/08/18/blind-kenyan-father-ordered-leave-australia</w:t>
        </w:r>
      </w:hyperlink>
      <w:r w:rsidRPr="00440136">
        <w:rPr>
          <w:rFonts w:ascii="Calibri" w:hAnsi="Calibri" w:cstheme="minorHAnsi"/>
          <w:sz w:val="16"/>
          <w:szCs w:val="16"/>
        </w:rPr>
        <w:t xml:space="preserve"> </w:t>
      </w:r>
    </w:p>
  </w:endnote>
  <w:endnote w:id="3">
    <w:p w14:paraId="42139987" w14:textId="77777777" w:rsidR="00440136" w:rsidRPr="00440136" w:rsidRDefault="00440136" w:rsidP="0057709B">
      <w:pPr>
        <w:pStyle w:val="EndnoteText"/>
        <w:tabs>
          <w:tab w:val="right" w:pos="0"/>
        </w:tabs>
        <w:rPr>
          <w:rFonts w:ascii="Calibri" w:hAnsi="Calibri"/>
          <w:sz w:val="16"/>
          <w:szCs w:val="16"/>
        </w:rPr>
      </w:pPr>
      <w:r w:rsidRPr="00440136">
        <w:rPr>
          <w:rStyle w:val="EndnoteReference"/>
          <w:rFonts w:ascii="Calibri" w:hAnsi="Calibri"/>
          <w:sz w:val="16"/>
          <w:szCs w:val="16"/>
        </w:rPr>
        <w:endnoteRef/>
      </w:r>
      <w:r w:rsidRPr="00440136">
        <w:rPr>
          <w:rFonts w:ascii="Calibri" w:hAnsi="Calibri"/>
          <w:sz w:val="16"/>
          <w:szCs w:val="16"/>
        </w:rPr>
        <w:t xml:space="preserve"> See e.g. </w:t>
      </w:r>
      <w:proofErr w:type="spellStart"/>
      <w:r w:rsidRPr="00440136">
        <w:rPr>
          <w:rFonts w:ascii="Calibri" w:hAnsi="Calibri"/>
          <w:sz w:val="16"/>
          <w:szCs w:val="16"/>
        </w:rPr>
        <w:t>Nasrin</w:t>
      </w:r>
      <w:proofErr w:type="spellEnd"/>
      <w:r w:rsidRPr="00440136">
        <w:rPr>
          <w:rFonts w:ascii="Calibri" w:hAnsi="Calibri"/>
          <w:sz w:val="16"/>
          <w:szCs w:val="16"/>
        </w:rPr>
        <w:t xml:space="preserve"> </w:t>
      </w:r>
      <w:proofErr w:type="spellStart"/>
      <w:r w:rsidRPr="00440136">
        <w:rPr>
          <w:rFonts w:ascii="Calibri" w:hAnsi="Calibri"/>
          <w:sz w:val="16"/>
          <w:szCs w:val="16"/>
        </w:rPr>
        <w:t>Haque</w:t>
      </w:r>
      <w:proofErr w:type="spellEnd"/>
      <w:r w:rsidRPr="00440136">
        <w:rPr>
          <w:rFonts w:ascii="Calibri" w:hAnsi="Calibri"/>
          <w:sz w:val="16"/>
          <w:szCs w:val="16"/>
        </w:rPr>
        <w:t xml:space="preserve">, ‘Please do not deport daughter of 2 full-time doctors because of her developmental delay, Petition to the Hon. Peter Dutton, MP, </w:t>
      </w:r>
      <w:hyperlink r:id="rId4" w:history="1">
        <w:r w:rsidRPr="00440136">
          <w:rPr>
            <w:rStyle w:val="Hyperlink"/>
            <w:rFonts w:ascii="Calibri" w:hAnsi="Calibri"/>
            <w:sz w:val="16"/>
            <w:szCs w:val="16"/>
          </w:rPr>
          <w:t>https://www.change.org/p/department-of-immigration-and-border-protection-please-do-not-deport-daughter-of-2-full-time-doctors-because-of-her-developmental-delay</w:t>
        </w:r>
      </w:hyperlink>
      <w:r w:rsidRPr="00440136">
        <w:rPr>
          <w:rFonts w:ascii="Calibri" w:hAnsi="Calibri"/>
          <w:sz w:val="16"/>
          <w:szCs w:val="16"/>
        </w:rPr>
        <w:t xml:space="preserve"> </w:t>
      </w:r>
    </w:p>
  </w:endnote>
  <w:endnote w:id="4">
    <w:p w14:paraId="04F5A6BD" w14:textId="77777777" w:rsidR="00440136" w:rsidRPr="00440136" w:rsidRDefault="00440136" w:rsidP="0057709B">
      <w:pPr>
        <w:rPr>
          <w:rFonts w:ascii="Calibri" w:hAnsi="Calibri"/>
          <w:sz w:val="16"/>
          <w:szCs w:val="16"/>
        </w:rPr>
      </w:pPr>
      <w:r w:rsidRPr="00440136">
        <w:rPr>
          <w:rFonts w:ascii="Calibri" w:hAnsi="Calibri"/>
          <w:sz w:val="16"/>
          <w:szCs w:val="16"/>
          <w:vertAlign w:val="superscript"/>
        </w:rPr>
        <w:endnoteRef/>
      </w:r>
      <w:r w:rsidRPr="00440136">
        <w:rPr>
          <w:rFonts w:ascii="Calibri" w:hAnsi="Calibri"/>
          <w:sz w:val="16"/>
          <w:szCs w:val="16"/>
        </w:rPr>
        <w:t xml:space="preserve"> Australian House of Representatives, Joint Standing Committee on Migration (2010), </w:t>
      </w:r>
      <w:r w:rsidRPr="00440136">
        <w:rPr>
          <w:rFonts w:ascii="Calibri" w:hAnsi="Calibri"/>
          <w:i/>
          <w:sz w:val="16"/>
          <w:szCs w:val="16"/>
        </w:rPr>
        <w:t xml:space="preserve">Enabling Australia: Inquiry into the Migration Treatment of Disability, </w:t>
      </w:r>
      <w:r w:rsidRPr="00440136">
        <w:rPr>
          <w:rFonts w:ascii="Calibri" w:hAnsi="Calibri"/>
          <w:sz w:val="16"/>
          <w:szCs w:val="16"/>
        </w:rPr>
        <w:t xml:space="preserve">177 noting the opinion of Professor Ben Saul. </w:t>
      </w:r>
    </w:p>
  </w:endnote>
  <w:endnote w:id="5">
    <w:p w14:paraId="5F0A5A34" w14:textId="77777777" w:rsidR="00440136" w:rsidRPr="00440136" w:rsidRDefault="00440136" w:rsidP="0057709B">
      <w:pPr>
        <w:pStyle w:val="EndnoteText"/>
        <w:rPr>
          <w:rFonts w:ascii="Calibri" w:hAnsi="Calibri"/>
          <w:sz w:val="16"/>
          <w:szCs w:val="16"/>
        </w:rPr>
      </w:pPr>
      <w:r w:rsidRPr="00440136">
        <w:rPr>
          <w:rStyle w:val="EndnoteReference"/>
          <w:rFonts w:ascii="Calibri" w:hAnsi="Calibri"/>
          <w:sz w:val="16"/>
          <w:szCs w:val="16"/>
        </w:rPr>
        <w:endnoteRef/>
      </w:r>
      <w:r w:rsidRPr="00440136">
        <w:rPr>
          <w:rFonts w:ascii="Calibri" w:hAnsi="Calibri"/>
          <w:sz w:val="16"/>
          <w:szCs w:val="16"/>
        </w:rPr>
        <w:t xml:space="preserve"> Francois </w:t>
      </w:r>
      <w:proofErr w:type="spellStart"/>
      <w:r w:rsidRPr="00440136">
        <w:rPr>
          <w:rFonts w:ascii="Calibri" w:hAnsi="Calibri"/>
          <w:sz w:val="16"/>
          <w:szCs w:val="16"/>
        </w:rPr>
        <w:t>Crepeau</w:t>
      </w:r>
      <w:proofErr w:type="spellEnd"/>
      <w:r w:rsidRPr="00440136">
        <w:rPr>
          <w:rFonts w:ascii="Calibri" w:hAnsi="Calibri"/>
          <w:sz w:val="16"/>
          <w:szCs w:val="16"/>
        </w:rPr>
        <w:t>, ‘Report of the Special Rapporteur on the human rights of migrants of Australia and the regional processing centres in Nauru’, 35</w:t>
      </w:r>
      <w:r w:rsidRPr="00440136">
        <w:rPr>
          <w:rFonts w:ascii="Calibri" w:hAnsi="Calibri"/>
          <w:sz w:val="16"/>
          <w:szCs w:val="16"/>
          <w:vertAlign w:val="superscript"/>
        </w:rPr>
        <w:t>th</w:t>
      </w:r>
      <w:r w:rsidRPr="00440136">
        <w:rPr>
          <w:rFonts w:ascii="Calibri" w:hAnsi="Calibri"/>
          <w:sz w:val="16"/>
          <w:szCs w:val="16"/>
        </w:rPr>
        <w:t xml:space="preserve"> </w:t>
      </w:r>
      <w:proofErr w:type="spellStart"/>
      <w:r w:rsidRPr="00440136">
        <w:rPr>
          <w:rFonts w:ascii="Calibri" w:hAnsi="Calibri"/>
          <w:sz w:val="16"/>
          <w:szCs w:val="16"/>
        </w:rPr>
        <w:t>sess</w:t>
      </w:r>
      <w:proofErr w:type="spellEnd"/>
      <w:r w:rsidRPr="00440136">
        <w:rPr>
          <w:rFonts w:ascii="Calibri" w:hAnsi="Calibri"/>
          <w:sz w:val="16"/>
          <w:szCs w:val="16"/>
        </w:rPr>
        <w:t>, Human Rights Council, Agenda item 3, UN Doc A/HRC/35/25/Add.3 (24 April 2017) [92].</w:t>
      </w:r>
    </w:p>
  </w:endnote>
  <w:endnote w:id="6">
    <w:p w14:paraId="2B3369EA" w14:textId="77777777" w:rsidR="00440136" w:rsidRPr="00440136" w:rsidRDefault="00440136" w:rsidP="00392CD8">
      <w:pPr>
        <w:pStyle w:val="EndnoteText"/>
        <w:tabs>
          <w:tab w:val="right" w:pos="0"/>
        </w:tabs>
        <w:rPr>
          <w:rFonts w:ascii="Calibri" w:hAnsi="Calibri" w:cstheme="minorHAnsi"/>
          <w:sz w:val="16"/>
          <w:szCs w:val="16"/>
        </w:rPr>
      </w:pPr>
      <w:r w:rsidRPr="00440136">
        <w:rPr>
          <w:rStyle w:val="EndnoteReference"/>
          <w:rFonts w:ascii="Calibri" w:hAnsi="Calibri" w:cstheme="minorHAnsi"/>
          <w:sz w:val="16"/>
          <w:szCs w:val="16"/>
        </w:rPr>
        <w:endnoteRef/>
      </w:r>
      <w:r w:rsidRPr="00440136">
        <w:rPr>
          <w:rFonts w:ascii="Calibri" w:hAnsi="Calibri" w:cstheme="minorHAnsi"/>
          <w:sz w:val="16"/>
          <w:szCs w:val="16"/>
        </w:rPr>
        <w:t xml:space="preserve"> Committee on Economic, Social and Cultural Rights, ‘Consideration of Reports Submitted by States Parties under Articles 16 and 17 of the Covenant, Australia, UN Doc E/C.12/AUS/CO/4, 42</w:t>
      </w:r>
      <w:r w:rsidRPr="00440136">
        <w:rPr>
          <w:rFonts w:ascii="Calibri" w:hAnsi="Calibri" w:cstheme="minorHAnsi"/>
          <w:sz w:val="16"/>
          <w:szCs w:val="16"/>
          <w:vertAlign w:val="superscript"/>
        </w:rPr>
        <w:t>nd</w:t>
      </w:r>
      <w:r w:rsidRPr="00440136">
        <w:rPr>
          <w:rFonts w:ascii="Calibri" w:hAnsi="Calibri" w:cstheme="minorHAnsi"/>
          <w:sz w:val="16"/>
          <w:szCs w:val="16"/>
        </w:rPr>
        <w:t xml:space="preserve"> </w:t>
      </w:r>
      <w:proofErr w:type="spellStart"/>
      <w:r w:rsidRPr="00440136">
        <w:rPr>
          <w:rFonts w:ascii="Calibri" w:hAnsi="Calibri" w:cstheme="minorHAnsi"/>
          <w:sz w:val="16"/>
          <w:szCs w:val="16"/>
        </w:rPr>
        <w:t>sess</w:t>
      </w:r>
      <w:proofErr w:type="spellEnd"/>
      <w:r w:rsidRPr="00440136">
        <w:rPr>
          <w:rFonts w:ascii="Calibri" w:hAnsi="Calibri" w:cstheme="minorHAnsi"/>
          <w:sz w:val="16"/>
          <w:szCs w:val="16"/>
        </w:rPr>
        <w:t>, 12 June 2009, para 16.</w:t>
      </w:r>
    </w:p>
  </w:endnote>
  <w:endnote w:id="7">
    <w:p w14:paraId="6E72F47F" w14:textId="77777777" w:rsidR="00440136" w:rsidRPr="00440136" w:rsidRDefault="00440136" w:rsidP="00392CD8">
      <w:pPr>
        <w:pStyle w:val="EndnoteText"/>
        <w:tabs>
          <w:tab w:val="right" w:pos="0"/>
        </w:tabs>
        <w:rPr>
          <w:rFonts w:ascii="Calibri" w:hAnsi="Calibri" w:cstheme="minorHAnsi"/>
          <w:sz w:val="16"/>
          <w:szCs w:val="16"/>
        </w:rPr>
      </w:pPr>
      <w:r w:rsidRPr="00440136">
        <w:rPr>
          <w:rStyle w:val="EndnoteReference"/>
          <w:rFonts w:ascii="Calibri" w:hAnsi="Calibri" w:cstheme="minorHAnsi"/>
          <w:sz w:val="16"/>
          <w:szCs w:val="16"/>
        </w:rPr>
        <w:endnoteRef/>
      </w:r>
      <w:r w:rsidRPr="00440136">
        <w:rPr>
          <w:rFonts w:ascii="Calibri" w:hAnsi="Calibri" w:cstheme="minorHAnsi"/>
          <w:sz w:val="16"/>
          <w:szCs w:val="16"/>
        </w:rPr>
        <w:t xml:space="preserve"> Committee on the Rights of Persons with Disabilities, ‘Concluding observations on the initial report of Australia, adopted by the Committee at its tenth session (2-13 September 2013), UN Doc CRPD/C/AUS/CO/1, 21 October 2013, paras 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9CF45" w14:textId="77777777" w:rsidR="00CA036A" w:rsidRDefault="00CA036A" w:rsidP="00C43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B6DA3" w14:textId="77777777" w:rsidR="00CA036A" w:rsidRDefault="00CA036A" w:rsidP="00CA03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5E73" w14:textId="77777777" w:rsidR="00CA036A" w:rsidRPr="00D9684E" w:rsidRDefault="00CA036A" w:rsidP="00C43FC6">
    <w:pPr>
      <w:pStyle w:val="Footer"/>
      <w:framePr w:wrap="around" w:vAnchor="text" w:hAnchor="margin" w:xAlign="right" w:y="1"/>
      <w:rPr>
        <w:rStyle w:val="PageNumber"/>
        <w:rFonts w:ascii="Calibri" w:hAnsi="Calibri"/>
        <w:sz w:val="20"/>
        <w:szCs w:val="20"/>
      </w:rPr>
    </w:pPr>
    <w:r w:rsidRPr="00D9684E">
      <w:rPr>
        <w:rStyle w:val="PageNumber"/>
        <w:rFonts w:ascii="Calibri" w:hAnsi="Calibri"/>
        <w:sz w:val="20"/>
        <w:szCs w:val="20"/>
      </w:rPr>
      <w:fldChar w:fldCharType="begin"/>
    </w:r>
    <w:r w:rsidRPr="00D9684E">
      <w:rPr>
        <w:rStyle w:val="PageNumber"/>
        <w:rFonts w:ascii="Calibri" w:hAnsi="Calibri"/>
        <w:sz w:val="20"/>
        <w:szCs w:val="20"/>
      </w:rPr>
      <w:instrText xml:space="preserve">PAGE  </w:instrText>
    </w:r>
    <w:r w:rsidRPr="00D9684E">
      <w:rPr>
        <w:rStyle w:val="PageNumber"/>
        <w:rFonts w:ascii="Calibri" w:hAnsi="Calibri"/>
        <w:sz w:val="20"/>
        <w:szCs w:val="20"/>
      </w:rPr>
      <w:fldChar w:fldCharType="separate"/>
    </w:r>
    <w:r w:rsidR="00DD5886">
      <w:rPr>
        <w:rStyle w:val="PageNumber"/>
        <w:rFonts w:ascii="Calibri" w:hAnsi="Calibri"/>
        <w:noProof/>
        <w:sz w:val="20"/>
        <w:szCs w:val="20"/>
      </w:rPr>
      <w:t>2</w:t>
    </w:r>
    <w:r w:rsidRPr="00D9684E">
      <w:rPr>
        <w:rStyle w:val="PageNumber"/>
        <w:rFonts w:ascii="Calibri" w:hAnsi="Calibri"/>
        <w:sz w:val="20"/>
        <w:szCs w:val="20"/>
      </w:rPr>
      <w:fldChar w:fldCharType="end"/>
    </w:r>
  </w:p>
  <w:p w14:paraId="1025265C" w14:textId="77777777" w:rsidR="00CA036A" w:rsidRDefault="00CA036A" w:rsidP="00CA03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19AA1" w14:textId="77777777" w:rsidR="000107BF" w:rsidRDefault="000107BF" w:rsidP="000107BF">
      <w:r>
        <w:separator/>
      </w:r>
    </w:p>
  </w:footnote>
  <w:footnote w:type="continuationSeparator" w:id="0">
    <w:p w14:paraId="563B1F03" w14:textId="77777777" w:rsidR="000107BF" w:rsidRDefault="000107BF" w:rsidP="00010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D814C" w14:textId="77777777" w:rsidR="000107BF" w:rsidRPr="00E414A6" w:rsidRDefault="000107BF" w:rsidP="000107BF">
    <w:pPr>
      <w:pStyle w:val="Header"/>
      <w:rPr>
        <w:rFonts w:ascii="Calibri" w:hAnsi="Calibri"/>
        <w:b/>
        <w:color w:val="2E74B5" w:themeColor="accent1" w:themeShade="BF"/>
        <w:sz w:val="36"/>
        <w:szCs w:val="36"/>
        <w:lang w:val="en-AU"/>
      </w:rPr>
    </w:pPr>
    <w:r w:rsidRPr="00E414A6">
      <w:rPr>
        <w:rFonts w:ascii="Calibri" w:hAnsi="Calibri"/>
        <w:noProof/>
        <w:color w:val="2E74B5" w:themeColor="accent1" w:themeShade="BF"/>
        <w:sz w:val="36"/>
        <w:szCs w:val="36"/>
        <w:lang w:val="en-AU" w:eastAsia="en-AU"/>
      </w:rPr>
      <w:drawing>
        <wp:anchor distT="0" distB="0" distL="114300" distR="114300" simplePos="0" relativeHeight="251659264" behindDoc="1" locked="0" layoutInCell="1" allowOverlap="1" wp14:anchorId="4C8ED3C1" wp14:editId="1E5E6BE8">
          <wp:simplePos x="0" y="0"/>
          <wp:positionH relativeFrom="column">
            <wp:posOffset>3810000</wp:posOffset>
          </wp:positionH>
          <wp:positionV relativeFrom="paragraph">
            <wp:posOffset>-281940</wp:posOffset>
          </wp:positionV>
          <wp:extent cx="1905000" cy="752475"/>
          <wp:effectExtent l="0" t="0" r="0" b="9525"/>
          <wp:wrapTight wrapText="bothSides">
            <wp:wrapPolygon edited="0">
              <wp:start x="0" y="0"/>
              <wp:lineTo x="0" y="21327"/>
              <wp:lineTo x="21384" y="21327"/>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 DPOAustralia_Logo_Email_200px.jpg"/>
                  <pic:cNvPicPr/>
                </pic:nvPicPr>
                <pic:blipFill>
                  <a:blip r:embed="rId1">
                    <a:extLst>
                      <a:ext uri="{28A0092B-C50C-407E-A947-70E740481C1C}">
                        <a14:useLocalDpi xmlns:a14="http://schemas.microsoft.com/office/drawing/2010/main" val="0"/>
                      </a:ext>
                    </a:extLst>
                  </a:blip>
                  <a:stretch>
                    <a:fillRect/>
                  </a:stretch>
                </pic:blipFill>
                <pic:spPr>
                  <a:xfrm>
                    <a:off x="0" y="0"/>
                    <a:ext cx="1905000" cy="7524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color w:val="2E74B5" w:themeColor="accent1" w:themeShade="BF"/>
        <w:sz w:val="36"/>
        <w:szCs w:val="36"/>
        <w:lang w:val="en-AU"/>
      </w:rPr>
      <w:t xml:space="preserve">List of Issues for </w:t>
    </w:r>
    <w:r w:rsidRPr="00E414A6">
      <w:rPr>
        <w:rFonts w:ascii="Calibri" w:hAnsi="Calibri"/>
        <w:b/>
        <w:color w:val="2E74B5" w:themeColor="accent1" w:themeShade="BF"/>
        <w:sz w:val="36"/>
        <w:szCs w:val="36"/>
        <w:lang w:val="en-AU"/>
      </w:rPr>
      <w:t>Australia</w:t>
    </w:r>
  </w:p>
  <w:p w14:paraId="42660D1D" w14:textId="77777777" w:rsidR="000107BF" w:rsidRPr="000107BF" w:rsidRDefault="000107BF" w:rsidP="000107BF">
    <w:pPr>
      <w:pStyle w:val="Header"/>
      <w:rPr>
        <w:rFonts w:ascii="Calibri" w:hAnsi="Calibri"/>
        <w:color w:val="2E74B5" w:themeColor="accent1" w:themeShade="BF"/>
        <w:sz w:val="36"/>
        <w:szCs w:val="36"/>
      </w:rPr>
    </w:pPr>
    <w:r>
      <w:rPr>
        <w:rFonts w:ascii="Calibri" w:hAnsi="Calibri"/>
        <w:b/>
        <w:color w:val="2E74B5" w:themeColor="accent1" w:themeShade="BF"/>
        <w:sz w:val="36"/>
        <w:szCs w:val="36"/>
        <w:lang w:val="en-AU"/>
      </w:rPr>
      <w:t xml:space="preserve">CRPD </w:t>
    </w:r>
    <w:r w:rsidRPr="00E414A6">
      <w:rPr>
        <w:rFonts w:ascii="Calibri" w:hAnsi="Calibri"/>
        <w:b/>
        <w:color w:val="2E74B5" w:themeColor="accent1" w:themeShade="BF"/>
        <w:sz w:val="36"/>
        <w:szCs w:val="36"/>
        <w:lang w:val="en-AU"/>
      </w:rPr>
      <w:t>Fact Sheet</w:t>
    </w:r>
    <w:r w:rsidRPr="00E414A6">
      <w:rPr>
        <w:rFonts w:ascii="Calibri" w:hAnsi="Calibri"/>
        <w:b/>
        <w:noProof/>
        <w:color w:val="2E74B5" w:themeColor="accent1" w:themeShade="BF"/>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B0992"/>
    <w:multiLevelType w:val="multilevel"/>
    <w:tmpl w:val="AADC6E82"/>
    <w:lvl w:ilvl="0">
      <w:start w:val="1"/>
      <w:numFmt w:val="decimal"/>
      <w:pStyle w:val="PFNumLevel1"/>
      <w:lvlText w:val="%1"/>
      <w:lvlJc w:val="left"/>
      <w:pPr>
        <w:tabs>
          <w:tab w:val="num" w:pos="924"/>
        </w:tabs>
        <w:ind w:left="924" w:hanging="924"/>
      </w:pPr>
      <w:rPr>
        <w:rFonts w:hint="default"/>
      </w:rPr>
    </w:lvl>
    <w:lvl w:ilvl="1">
      <w:start w:val="1"/>
      <w:numFmt w:val="decimal"/>
      <w:lvlText w:val="%2."/>
      <w:lvlJc w:val="left"/>
      <w:pPr>
        <w:tabs>
          <w:tab w:val="num" w:pos="1848"/>
        </w:tabs>
        <w:ind w:left="1848" w:hanging="924"/>
      </w:pPr>
      <w:rPr>
        <w:rFonts w:ascii="Arial" w:eastAsia="Times New Roman" w:hAnsi="Arial" w:cs="Times New Roman"/>
      </w:rPr>
    </w:lvl>
    <w:lvl w:ilvl="2">
      <w:start w:val="1"/>
      <w:numFmt w:val="decimal"/>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Calibri" w:hAnsi="Calibri" w:hint="default"/>
        <w:b w:val="0"/>
        <w:bCs w:val="0"/>
        <w:i w:val="0"/>
        <w:iCs w:val="0"/>
        <w:caps w:val="0"/>
        <w:smallCaps w:val="0"/>
        <w:strike w:val="0"/>
        <w:dstrike w:val="0"/>
        <w:color w:val="000000"/>
        <w:spacing w:val="0"/>
        <w:w w:val="100"/>
        <w:kern w:val="28"/>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BF"/>
    <w:rsid w:val="000107BF"/>
    <w:rsid w:val="001E38ED"/>
    <w:rsid w:val="00250116"/>
    <w:rsid w:val="0029479C"/>
    <w:rsid w:val="002D7405"/>
    <w:rsid w:val="002E74F8"/>
    <w:rsid w:val="003671A8"/>
    <w:rsid w:val="00392CD8"/>
    <w:rsid w:val="00440136"/>
    <w:rsid w:val="004425C2"/>
    <w:rsid w:val="0057709B"/>
    <w:rsid w:val="005F763F"/>
    <w:rsid w:val="0076598A"/>
    <w:rsid w:val="00866E16"/>
    <w:rsid w:val="0089656C"/>
    <w:rsid w:val="0092275E"/>
    <w:rsid w:val="00B60AD6"/>
    <w:rsid w:val="00BF2065"/>
    <w:rsid w:val="00C60D21"/>
    <w:rsid w:val="00CA036A"/>
    <w:rsid w:val="00CB09BA"/>
    <w:rsid w:val="00D9684E"/>
    <w:rsid w:val="00DD5886"/>
    <w:rsid w:val="00EA1857"/>
    <w:rsid w:val="00EF44CC"/>
    <w:rsid w:val="00F36E06"/>
    <w:rsid w:val="00FD67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DD98B2"/>
  <w15:docId w15:val="{91BF5BFD-8920-4EE6-BED5-6FB37EC6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07B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7BF"/>
    <w:pPr>
      <w:tabs>
        <w:tab w:val="center" w:pos="4513"/>
        <w:tab w:val="right" w:pos="9026"/>
      </w:tabs>
    </w:pPr>
  </w:style>
  <w:style w:type="character" w:customStyle="1" w:styleId="HeaderChar">
    <w:name w:val="Header Char"/>
    <w:basedOn w:val="DefaultParagraphFont"/>
    <w:link w:val="Header"/>
    <w:uiPriority w:val="99"/>
    <w:rsid w:val="000107BF"/>
    <w:rPr>
      <w:sz w:val="24"/>
    </w:rPr>
  </w:style>
  <w:style w:type="paragraph" w:styleId="Footer">
    <w:name w:val="footer"/>
    <w:basedOn w:val="Normal"/>
    <w:link w:val="FooterChar"/>
    <w:uiPriority w:val="99"/>
    <w:unhideWhenUsed/>
    <w:rsid w:val="000107BF"/>
    <w:pPr>
      <w:tabs>
        <w:tab w:val="center" w:pos="4513"/>
        <w:tab w:val="right" w:pos="9026"/>
      </w:tabs>
    </w:pPr>
  </w:style>
  <w:style w:type="character" w:customStyle="1" w:styleId="FooterChar">
    <w:name w:val="Footer Char"/>
    <w:basedOn w:val="DefaultParagraphFont"/>
    <w:link w:val="Footer"/>
    <w:uiPriority w:val="99"/>
    <w:rsid w:val="000107BF"/>
    <w:rPr>
      <w:sz w:val="24"/>
    </w:rPr>
  </w:style>
  <w:style w:type="character" w:styleId="Hyperlink">
    <w:name w:val="Hyperlink"/>
    <w:uiPriority w:val="99"/>
    <w:rsid w:val="000107BF"/>
    <w:rPr>
      <w:u w:val="single"/>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
    <w:basedOn w:val="Normal"/>
    <w:link w:val="FootnoteTextChar"/>
    <w:uiPriority w:val="99"/>
    <w:unhideWhenUsed/>
    <w:qFormat/>
    <w:rsid w:val="000107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0"/>
      <w:szCs w:val="20"/>
      <w:bdr w:val="none" w:sz="0" w:space="0" w:color="auto"/>
      <w:lang w:val="en-AU"/>
    </w:rPr>
  </w:style>
  <w:style w:type="character" w:customStyle="1" w:styleId="FootnoteTextChar">
    <w:name w:val="Footnote Text Char"/>
    <w:aliases w:val="Footnote Text Char Char Char Char Char Char Char,Footnote Text Char Char Char Char Char Char Char Char Char Char Char Char Char Char Char Char Char Char"/>
    <w:basedOn w:val="DefaultParagraphFont"/>
    <w:link w:val="FootnoteText"/>
    <w:uiPriority w:val="99"/>
    <w:rsid w:val="000107BF"/>
    <w:rPr>
      <w:rFonts w:ascii="Calibri" w:eastAsia="Calibri" w:hAnsi="Calibri" w:cs="Times New Roman"/>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f"/>
    <w:link w:val="4GCharCharChar"/>
    <w:uiPriority w:val="99"/>
    <w:qFormat/>
    <w:rsid w:val="000107BF"/>
    <w:rPr>
      <w:vertAlign w:val="superscript"/>
    </w:rPr>
  </w:style>
  <w:style w:type="paragraph" w:customStyle="1" w:styleId="PFNumLevel4">
    <w:name w:val="PF (Num) Level 4"/>
    <w:basedOn w:val="Normal"/>
    <w:rsid w:val="000107BF"/>
    <w:pPr>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3697"/>
      </w:tabs>
      <w:spacing w:before="120" w:after="120" w:line="276" w:lineRule="auto"/>
      <w:ind w:left="1702" w:hanging="851"/>
    </w:pPr>
    <w:rPr>
      <w:rFonts w:ascii="Calibri" w:eastAsia="Times New Roman" w:hAnsi="Calibri" w:cs="Calibri"/>
      <w:color w:val="000000"/>
      <w:sz w:val="22"/>
      <w:szCs w:val="20"/>
      <w:bdr w:val="none" w:sz="0" w:space="0" w:color="auto"/>
      <w:lang w:val="en-AU"/>
    </w:rPr>
  </w:style>
  <w:style w:type="paragraph" w:customStyle="1" w:styleId="PFNumLevel1">
    <w:name w:val="PF (Num) Level 1"/>
    <w:basedOn w:val="Normal"/>
    <w:rsid w:val="000107BF"/>
    <w:pPr>
      <w:numPr>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924"/>
        <w:tab w:val="left" w:pos="851"/>
      </w:tabs>
      <w:spacing w:before="240" w:after="120" w:line="276" w:lineRule="auto"/>
      <w:ind w:left="851" w:hanging="851"/>
      <w:outlineLvl w:val="0"/>
    </w:pPr>
    <w:rPr>
      <w:rFonts w:ascii="Calibri" w:eastAsia="Times New Roman" w:hAnsi="Calibri" w:cs="Calibri"/>
      <w:color w:val="000000"/>
      <w:kern w:val="28"/>
      <w:sz w:val="22"/>
      <w:szCs w:val="20"/>
      <w:bdr w:val="none" w:sz="0" w:space="0" w:color="auto"/>
      <w:lang w:val="x-none" w:eastAsia="en-AU"/>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7709B"/>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exact"/>
      <w:jc w:val="both"/>
    </w:pPr>
    <w:rPr>
      <w:rFonts w:asciiTheme="minorHAnsi" w:eastAsiaTheme="minorHAnsi" w:hAnsiTheme="minorHAnsi" w:cstheme="minorBidi"/>
      <w:sz w:val="22"/>
      <w:szCs w:val="22"/>
      <w:bdr w:val="none" w:sz="0" w:space="0" w:color="auto"/>
      <w:vertAlign w:val="superscript"/>
      <w:lang w:val="en-AU"/>
    </w:rPr>
  </w:style>
  <w:style w:type="paragraph" w:styleId="EndnoteText">
    <w:name w:val="endnote text"/>
    <w:basedOn w:val="Normal"/>
    <w:link w:val="EndnoteTextChar"/>
    <w:uiPriority w:val="99"/>
    <w:semiHidden/>
    <w:unhideWhenUsed/>
    <w:rsid w:val="00440136"/>
  </w:style>
  <w:style w:type="character" w:customStyle="1" w:styleId="EndnoteTextChar">
    <w:name w:val="Endnote Text Char"/>
    <w:basedOn w:val="DefaultParagraphFont"/>
    <w:link w:val="EndnoteText"/>
    <w:uiPriority w:val="99"/>
    <w:semiHidden/>
    <w:rsid w:val="00440136"/>
    <w:rPr>
      <w:rFonts w:ascii="Times New Roman" w:eastAsia="Arial Unicode MS" w:hAnsi="Times New Roman" w:cs="Times New Roman"/>
      <w:sz w:val="24"/>
      <w:szCs w:val="24"/>
      <w:bdr w:val="nil"/>
      <w:lang w:val="en-US"/>
    </w:rPr>
  </w:style>
  <w:style w:type="character" w:styleId="EndnoteReference">
    <w:name w:val="endnote reference"/>
    <w:basedOn w:val="DefaultParagraphFont"/>
    <w:uiPriority w:val="99"/>
    <w:semiHidden/>
    <w:unhideWhenUsed/>
    <w:rsid w:val="00440136"/>
    <w:rPr>
      <w:vertAlign w:val="superscript"/>
    </w:rPr>
  </w:style>
  <w:style w:type="character" w:styleId="PageNumber">
    <w:name w:val="page number"/>
    <w:basedOn w:val="DefaultParagraphFont"/>
    <w:uiPriority w:val="99"/>
    <w:semiHidden/>
    <w:unhideWhenUsed/>
    <w:rsid w:val="00CA0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sbs.com.au/news/article/2015/08/18/blind-kenyan-father-ordered-leave-australia" TargetMode="External"/><Relationship Id="rId2" Type="http://schemas.openxmlformats.org/officeDocument/2006/relationships/hyperlink" Target="http://www.canberratimes.com.au/act-news/watson-family-split-as-right-to-live-in-australia-is-revoked-20160415-go7nyb.html" TargetMode="External"/><Relationship Id="rId1" Type="http://schemas.openxmlformats.org/officeDocument/2006/relationships/hyperlink" Target="http://thestringer.com.au/yet-another-example-of-disability-discrimination-australian-immigration-12070" TargetMode="External"/><Relationship Id="rId4" Type="http://schemas.openxmlformats.org/officeDocument/2006/relationships/hyperlink" Target="https://www.change.org/p/department-of-immigration-and-border-protection-please-do-not-deport-daughter-of-2-full-time-doctors-because-of-her-developmental-del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5E812-8389-420D-A589-E1662FEE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Sands</dc:creator>
  <cp:keywords/>
  <dc:description/>
  <cp:lastModifiedBy>Therese Sands</cp:lastModifiedBy>
  <cp:revision>4</cp:revision>
  <dcterms:created xsi:type="dcterms:W3CDTF">2017-08-29T12:23:00Z</dcterms:created>
  <dcterms:modified xsi:type="dcterms:W3CDTF">2017-11-22T05:45:00Z</dcterms:modified>
</cp:coreProperties>
</file>